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A0AF4A">
      <w:pPr>
        <w:spacing w:line="560" w:lineRule="exact"/>
        <w:jc w:val="center"/>
        <w:rPr>
          <w:rFonts w:ascii="方正小标宋简体" w:hAnsi="微软雅黑" w:eastAsia="方正小标宋简体" w:cs="宋体"/>
          <w:b/>
          <w:bCs/>
          <w:color w:val="333333"/>
          <w:kern w:val="0"/>
          <w:sz w:val="44"/>
          <w:szCs w:val="44"/>
        </w:rPr>
      </w:pPr>
      <w:r>
        <w:rPr>
          <w:rFonts w:hint="eastAsia" w:ascii="方正小标宋简体" w:hAnsi="微软雅黑" w:eastAsia="方正小标宋简体" w:cs="宋体"/>
          <w:b/>
          <w:bCs/>
          <w:color w:val="333333"/>
          <w:kern w:val="0"/>
          <w:sz w:val="44"/>
          <w:szCs w:val="44"/>
        </w:rPr>
        <w:t>北京市通州区幼儿园2022年</w:t>
      </w:r>
      <w:bookmarkStart w:id="1" w:name="_GoBack"/>
      <w:bookmarkEnd w:id="1"/>
      <w:r>
        <w:rPr>
          <w:rFonts w:hint="eastAsia" w:ascii="方正小标宋简体" w:hAnsi="微软雅黑" w:eastAsia="方正小标宋简体" w:cs="宋体"/>
          <w:b/>
          <w:bCs/>
          <w:color w:val="333333"/>
          <w:kern w:val="0"/>
          <w:sz w:val="44"/>
          <w:szCs w:val="44"/>
        </w:rPr>
        <w:t>预算情况说明</w:t>
      </w:r>
    </w:p>
    <w:p w14:paraId="75719FBE">
      <w:pPr>
        <w:spacing w:line="560" w:lineRule="exact"/>
        <w:jc w:val="center"/>
        <w:rPr>
          <w:rFonts w:ascii="方正小标宋简体" w:hAnsi="微软雅黑" w:eastAsia="方正小标宋简体" w:cs="宋体"/>
          <w:b/>
          <w:bCs/>
          <w:color w:val="333333"/>
          <w:kern w:val="0"/>
          <w:sz w:val="44"/>
          <w:szCs w:val="44"/>
        </w:rPr>
      </w:pPr>
    </w:p>
    <w:p w14:paraId="230A3197">
      <w:pPr>
        <w:widowControl/>
        <w:spacing w:after="240" w:line="560" w:lineRule="exact"/>
        <w:ind w:firstLine="480"/>
        <w:jc w:val="center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目    录</w:t>
      </w:r>
    </w:p>
    <w:p w14:paraId="591D212E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一、2022年度预算单位情况说明</w:t>
      </w:r>
    </w:p>
    <w:p w14:paraId="4D8ECBCF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二、2022年度单位收入预算说明</w:t>
      </w:r>
    </w:p>
    <w:p w14:paraId="7A2DA5D4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三、2022年度单位支出预算说明</w:t>
      </w:r>
    </w:p>
    <w:p w14:paraId="443FA9DB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四、2022年度单位“三公”经费财政拨款预算说明</w:t>
      </w:r>
    </w:p>
    <w:p w14:paraId="59640981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五、2022年度其他重要事项的情况说明</w:t>
      </w:r>
    </w:p>
    <w:p w14:paraId="6DCD769F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六、2022年度单位预算附表</w:t>
      </w:r>
    </w:p>
    <w:p w14:paraId="7E4CAD04">
      <w:pPr>
        <w:spacing w:line="560" w:lineRule="exact"/>
        <w:ind w:firstLine="643" w:firstLineChars="200"/>
        <w:outlineLvl w:val="0"/>
        <w:rPr>
          <w:rFonts w:ascii="仿宋_GB2312" w:eastAsia="仿宋_GB2312"/>
          <w:b/>
          <w:sz w:val="32"/>
          <w:szCs w:val="32"/>
        </w:rPr>
      </w:pPr>
    </w:p>
    <w:p w14:paraId="5E966B03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一、2022年度预算单位情况说明</w:t>
      </w:r>
    </w:p>
    <w:p w14:paraId="4B9435F8">
      <w:pPr>
        <w:numPr>
          <w:ilvl w:val="0"/>
          <w:numId w:val="1"/>
        </w:num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单位机构设置、主要职责</w:t>
      </w:r>
    </w:p>
    <w:p w14:paraId="0FE749CE">
      <w:pPr>
        <w:rPr>
          <w:rFonts w:hint="eastAsia" w:cs="Calibri"/>
          <w:szCs w:val="21"/>
        </w:rPr>
      </w:pPr>
      <w:r>
        <w:rPr>
          <w:rFonts w:hint="eastAsia" w:ascii="仿宋_GB2312" w:eastAsia="仿宋_GB2312"/>
          <w:sz w:val="32"/>
          <w:szCs w:val="32"/>
        </w:rPr>
        <w:t xml:space="preserve">      1.单位机构设置：本单位设置了</w:t>
      </w:r>
      <w:r>
        <w:rPr>
          <w:rFonts w:hint="eastAsia" w:ascii="仿宋_GB2312" w:eastAsia="仿宋_GB2312" w:cs="Calibri"/>
          <w:sz w:val="32"/>
          <w:szCs w:val="32"/>
        </w:rPr>
        <w:t>园长室、党支部、副园长室、保教主任室、后勤主任室、办公室、财务室等。</w:t>
      </w:r>
    </w:p>
    <w:p w14:paraId="26AC7FC9">
      <w:pPr>
        <w:spacing w:line="560" w:lineRule="exact"/>
        <w:ind w:firstLine="960" w:firstLineChars="300"/>
        <w:rPr>
          <w:rFonts w:hint="eastAsia" w:ascii="仿宋_GB2312" w:eastAsia="仿宋_GB2312" w:cs="Calibri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2.单位主要职责：</w:t>
      </w:r>
      <w:r>
        <w:rPr>
          <w:rFonts w:hint="eastAsia" w:ascii="仿宋_GB2312" w:eastAsia="仿宋_GB2312" w:cs="Calibri"/>
          <w:sz w:val="32"/>
          <w:szCs w:val="32"/>
        </w:rPr>
        <w:t xml:space="preserve"> 为学龄前儿童提供保育和教育服务。</w:t>
      </w:r>
    </w:p>
    <w:p w14:paraId="42AF0515">
      <w:pPr>
        <w:spacing w:line="560" w:lineRule="exact"/>
        <w:ind w:firstLine="960" w:firstLineChars="300"/>
        <w:rPr>
          <w:rFonts w:hint="eastAsia" w:ascii="仿宋_GB2312" w:eastAsia="仿宋_GB2312" w:cs="Calibri"/>
          <w:sz w:val="32"/>
          <w:szCs w:val="32"/>
        </w:rPr>
      </w:pPr>
      <w:r>
        <w:rPr>
          <w:rFonts w:hint="eastAsia" w:ascii="仿宋_GB2312" w:eastAsia="仿宋_GB2312" w:cs="Calibri"/>
          <w:sz w:val="32"/>
          <w:szCs w:val="32"/>
        </w:rPr>
        <w:t>副园长室职责：组织实施教育教学、教育科研等相关工作，确保幼儿园教育教育质量。组织开展幼儿园后勤保障各项工作，确保一线教育教学工作有序开展。</w:t>
      </w:r>
    </w:p>
    <w:p w14:paraId="4F62BFE8">
      <w:pPr>
        <w:spacing w:line="560" w:lineRule="exact"/>
        <w:ind w:firstLine="960" w:firstLineChars="300"/>
        <w:rPr>
          <w:rFonts w:hint="eastAsia" w:ascii="仿宋_GB2312" w:eastAsia="仿宋_GB2312" w:cs="Calibri"/>
          <w:sz w:val="32"/>
          <w:szCs w:val="32"/>
        </w:rPr>
      </w:pPr>
      <w:r>
        <w:rPr>
          <w:rFonts w:hint="eastAsia" w:ascii="仿宋_GB2312" w:eastAsia="仿宋_GB2312" w:cs="Calibri"/>
          <w:sz w:val="32"/>
          <w:szCs w:val="32"/>
        </w:rPr>
        <w:t>后勤主任室职责：协助园领导做好后勤管理工作，负责校园安全、基建、采购等相关工作。</w:t>
      </w:r>
    </w:p>
    <w:p w14:paraId="1A6919D9">
      <w:pPr>
        <w:spacing w:line="560" w:lineRule="exact"/>
        <w:ind w:firstLine="960" w:firstLineChars="300"/>
        <w:rPr>
          <w:rFonts w:hint="eastAsia" w:ascii="仿宋_GB2312" w:eastAsia="仿宋_GB2312" w:cs="Calibri"/>
          <w:sz w:val="32"/>
          <w:szCs w:val="32"/>
        </w:rPr>
      </w:pPr>
      <w:r>
        <w:rPr>
          <w:rFonts w:hint="eastAsia" w:ascii="仿宋_GB2312" w:eastAsia="仿宋_GB2312" w:cs="Calibri"/>
          <w:sz w:val="32"/>
          <w:szCs w:val="32"/>
        </w:rPr>
        <w:t>办公室职责：协助园领导做好各项工作，负责人事、档案管理、公文传输、通知发放、对外接待等工作。</w:t>
      </w:r>
    </w:p>
    <w:p w14:paraId="37072E17">
      <w:pPr>
        <w:spacing w:line="560" w:lineRule="exact"/>
        <w:ind w:firstLine="960" w:firstLineChars="300"/>
        <w:rPr>
          <w:rFonts w:ascii="仿宋_GB2312" w:eastAsia="仿宋_GB2312" w:cs="Calibri"/>
          <w:sz w:val="32"/>
          <w:szCs w:val="32"/>
        </w:rPr>
      </w:pPr>
      <w:r>
        <w:rPr>
          <w:rFonts w:hint="eastAsia" w:ascii="仿宋_GB2312" w:eastAsia="仿宋_GB2312" w:cs="Calibri"/>
          <w:sz w:val="32"/>
          <w:szCs w:val="32"/>
        </w:rPr>
        <w:t>财务室职责：协助园领导做好幼儿园经费管理和使用工作，负责单位预决算、经费收支、财务月报、年报、统计等工作。</w:t>
      </w:r>
    </w:p>
    <w:p w14:paraId="2980026C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（二）人员构成情况</w:t>
      </w:r>
    </w:p>
    <w:p w14:paraId="2EE9A973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我单位事业编制 </w:t>
      </w:r>
      <w:r>
        <w:rPr>
          <w:rFonts w:ascii="仿宋_GB2312" w:eastAsia="仿宋_GB2312"/>
          <w:sz w:val="32"/>
          <w:szCs w:val="32"/>
        </w:rPr>
        <w:t>50</w:t>
      </w:r>
      <w:r>
        <w:rPr>
          <w:rFonts w:hint="eastAsia" w:ascii="仿宋_GB2312" w:eastAsia="仿宋_GB2312"/>
          <w:sz w:val="32"/>
          <w:szCs w:val="32"/>
        </w:rPr>
        <w:t xml:space="preserve"> 人，实际 </w:t>
      </w:r>
      <w:r>
        <w:rPr>
          <w:rFonts w:ascii="仿宋_GB2312" w:eastAsia="仿宋_GB2312"/>
          <w:sz w:val="32"/>
          <w:szCs w:val="32"/>
        </w:rPr>
        <w:t>75</w:t>
      </w:r>
      <w:r>
        <w:rPr>
          <w:rFonts w:hint="eastAsia" w:ascii="仿宋_GB2312" w:eastAsia="仿宋_GB2312"/>
          <w:sz w:val="32"/>
          <w:szCs w:val="32"/>
        </w:rPr>
        <w:t>人；聘用人员（包括其他聘用人员--临时工等）</w:t>
      </w:r>
      <w:r>
        <w:rPr>
          <w:rFonts w:ascii="仿宋_GB2312" w:eastAsia="仿宋_GB2312"/>
          <w:sz w:val="32"/>
          <w:szCs w:val="32"/>
        </w:rPr>
        <w:t>26</w:t>
      </w:r>
      <w:r>
        <w:rPr>
          <w:rFonts w:hint="eastAsia" w:ascii="仿宋_GB2312" w:eastAsia="仿宋_GB2312"/>
          <w:sz w:val="32"/>
          <w:szCs w:val="32"/>
        </w:rPr>
        <w:t>人。</w:t>
      </w:r>
    </w:p>
    <w:p w14:paraId="55166DCD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离退休人员</w:t>
      </w:r>
      <w:r>
        <w:rPr>
          <w:rFonts w:ascii="仿宋_GB2312" w:eastAsia="仿宋_GB2312"/>
          <w:sz w:val="32"/>
          <w:szCs w:val="32"/>
        </w:rPr>
        <w:t>55</w:t>
      </w:r>
      <w:r>
        <w:rPr>
          <w:rFonts w:hint="eastAsia" w:ascii="仿宋_GB2312" w:eastAsia="仿宋_GB2312"/>
          <w:sz w:val="32"/>
          <w:szCs w:val="32"/>
        </w:rPr>
        <w:t xml:space="preserve">人，其中：离休 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 xml:space="preserve"> 人，退休</w:t>
      </w:r>
      <w:r>
        <w:rPr>
          <w:rFonts w:ascii="仿宋_GB2312" w:eastAsia="仿宋_GB2312"/>
          <w:sz w:val="32"/>
          <w:szCs w:val="32"/>
        </w:rPr>
        <w:t>55</w:t>
      </w:r>
      <w:r>
        <w:rPr>
          <w:rFonts w:hint="eastAsia" w:ascii="仿宋_GB2312" w:eastAsia="仿宋_GB2312"/>
          <w:sz w:val="32"/>
          <w:szCs w:val="32"/>
        </w:rPr>
        <w:t>人。</w:t>
      </w:r>
    </w:p>
    <w:p w14:paraId="587F472F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（三）本预算年度的主要工作任务</w:t>
      </w:r>
    </w:p>
    <w:p w14:paraId="3221A47E">
      <w:pPr>
        <w:widowControl/>
        <w:spacing w:after="240" w:line="560" w:lineRule="exact"/>
        <w:ind w:firstLine="48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一、规范管理，发挥党政工团合力，以党建课题为引领，规范党员教育培养，建立有效机制，发挥党员的先锋模范作用。强化“双培养”工程，加大党带团及积极分子培养力度。</w:t>
      </w:r>
    </w:p>
    <w:p w14:paraId="4FB03876">
      <w:pPr>
        <w:widowControl/>
        <w:spacing w:after="240" w:line="560" w:lineRule="exact"/>
        <w:ind w:firstLine="48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行政管理精细化，完善专业教室使用、物品购置、教职工行为规范、保教人员安全规范与一日常规安全要求、职评细则，学习市《关于深化教育体制机制改革的意见》《北京市大中小幼一体化德育体系建设指导纲要》文件、幼儿午睡常规及保教工作规范，规范月评价及学期评价，构建积极向上、重实绩的园所文化。</w:t>
      </w:r>
    </w:p>
    <w:p w14:paraId="7F75FE4B">
      <w:pPr>
        <w:widowControl/>
        <w:spacing w:after="240" w:line="560" w:lineRule="exact"/>
        <w:ind w:firstLine="48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、强化师德师风建设，学习习近平总书记关于“三个牢固树立”、“四有”好老师、“四个引路人”、“四个相统一”、“六要”等重要论述，组织“师德之内涵与外延”培训及“身边的那份感动”师德故事分享活动，寻找身边榜样。结合《十项准则》中“加强安全防范”、“关心爱护幼儿”开展“师德大家谈”活动，使教师明底线，知敬畏。完善师德评价，发挥评价激励作用，表彰师德考核优秀教师及优秀班组，讲好师德故事。</w:t>
      </w:r>
    </w:p>
    <w:p w14:paraId="5DB1CF57">
      <w:pPr>
        <w:widowControl/>
        <w:spacing w:after="240" w:line="560" w:lineRule="exact"/>
        <w:ind w:firstLine="48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四、常态与重点结合，提升卫生保健工作实效。做好疫情防控常态工作。加强健康教育与幼儿自护指导。加强特异体质幼儿专项管理。丰富膳食种类与质量。</w:t>
      </w:r>
    </w:p>
    <w:p w14:paraId="221BA304">
      <w:pPr>
        <w:widowControl/>
        <w:spacing w:after="240" w:line="560" w:lineRule="exact"/>
        <w:ind w:firstLine="48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五、强化安全落实，做好后勤保障。落实“一岗双责”制度，重视安全教育。提高师幼应急逃生能力，做好“三防”工作，强化食堂规范操作，完善资产规范化管理，厉行节约，低能低耗。</w:t>
      </w:r>
    </w:p>
    <w:p w14:paraId="53A97E03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二、2022年度单位收入预算说明</w:t>
      </w:r>
    </w:p>
    <w:p w14:paraId="28541F98">
      <w:pPr>
        <w:rPr>
          <w:rFonts w:cs="Calibri"/>
          <w:szCs w:val="21"/>
        </w:rPr>
      </w:pPr>
      <w:r>
        <w:rPr>
          <w:rFonts w:hint="eastAsia" w:ascii="仿宋_GB2312" w:eastAsia="仿宋_GB2312"/>
          <w:sz w:val="32"/>
          <w:szCs w:val="32"/>
        </w:rPr>
        <w:t>2022年收入预算1821.45万元，比2021年247.49万元增加1573.96万元，增长</w:t>
      </w:r>
      <w:r>
        <w:rPr>
          <w:rFonts w:hint="eastAsia" w:ascii="仿宋_GB2312" w:eastAsia="仿宋_GB2312" w:cs="Calibri"/>
          <w:sz w:val="32"/>
          <w:szCs w:val="32"/>
        </w:rPr>
        <w:t>635.9</w:t>
      </w:r>
      <w:r>
        <w:rPr>
          <w:rFonts w:ascii="仿宋_GB2312" w:eastAsia="仿宋_GB2312" w:cs="Calibri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%。其中：财政拨款1</w:t>
      </w:r>
      <w:r>
        <w:rPr>
          <w:rFonts w:ascii="仿宋_GB2312" w:eastAsia="仿宋_GB2312"/>
          <w:sz w:val="32"/>
          <w:szCs w:val="32"/>
        </w:rPr>
        <w:t>821.45</w:t>
      </w:r>
      <w:r>
        <w:rPr>
          <w:rFonts w:hint="eastAsia" w:ascii="仿宋_GB2312" w:eastAsia="仿宋_GB2312"/>
          <w:sz w:val="32"/>
          <w:szCs w:val="32"/>
        </w:rPr>
        <w:t>万元，比2021年2</w:t>
      </w:r>
      <w:r>
        <w:rPr>
          <w:rFonts w:ascii="仿宋_GB2312" w:eastAsia="仿宋_GB2312"/>
          <w:sz w:val="32"/>
          <w:szCs w:val="32"/>
        </w:rPr>
        <w:t>47.49</w:t>
      </w:r>
      <w:r>
        <w:rPr>
          <w:rFonts w:hint="eastAsia" w:ascii="仿宋_GB2312" w:eastAsia="仿宋_GB2312"/>
          <w:sz w:val="32"/>
          <w:szCs w:val="32"/>
        </w:rPr>
        <w:t>万元增加1</w:t>
      </w:r>
      <w:r>
        <w:rPr>
          <w:rFonts w:ascii="仿宋_GB2312" w:eastAsia="仿宋_GB2312"/>
          <w:sz w:val="32"/>
          <w:szCs w:val="32"/>
        </w:rPr>
        <w:t>573.96</w:t>
      </w:r>
      <w:r>
        <w:rPr>
          <w:rFonts w:hint="eastAsia" w:ascii="仿宋_GB2312" w:eastAsia="仿宋_GB2312"/>
          <w:sz w:val="32"/>
          <w:szCs w:val="32"/>
        </w:rPr>
        <w:t>万元；统筹使用结余资金安排预算0万元，与2021年0万元持平；其他资金0万元，与2021年0万元持平。</w:t>
      </w:r>
    </w:p>
    <w:p w14:paraId="3E4CD047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三、2022年度单位支出预算说明</w:t>
      </w:r>
    </w:p>
    <w:p w14:paraId="23DF0744">
      <w:pPr>
        <w:rPr>
          <w:szCs w:val="21"/>
        </w:rPr>
      </w:pPr>
      <w:r>
        <w:rPr>
          <w:rFonts w:hint="eastAsia" w:ascii="仿宋_GB2312" w:eastAsia="仿宋_GB2312"/>
          <w:sz w:val="32"/>
          <w:szCs w:val="32"/>
        </w:rPr>
        <w:t>（一）基本支出预算1821.45万元，占总支出预算1</w:t>
      </w:r>
      <w:r>
        <w:rPr>
          <w:rFonts w:ascii="仿宋_GB2312" w:eastAsia="仿宋_GB2312"/>
          <w:sz w:val="32"/>
          <w:szCs w:val="32"/>
        </w:rPr>
        <w:t>00</w:t>
      </w:r>
      <w:r>
        <w:rPr>
          <w:rFonts w:hint="eastAsia" w:ascii="仿宋_GB2312" w:eastAsia="仿宋_GB2312"/>
          <w:sz w:val="32"/>
          <w:szCs w:val="32"/>
        </w:rPr>
        <w:t>%，比2021年2</w:t>
      </w:r>
      <w:r>
        <w:rPr>
          <w:rFonts w:ascii="仿宋_GB2312" w:eastAsia="仿宋_GB2312"/>
          <w:sz w:val="32"/>
          <w:szCs w:val="32"/>
        </w:rPr>
        <w:t>47.49</w:t>
      </w:r>
      <w:r>
        <w:rPr>
          <w:rFonts w:hint="eastAsia" w:ascii="仿宋_GB2312" w:eastAsia="仿宋_GB2312"/>
          <w:sz w:val="32"/>
          <w:szCs w:val="32"/>
        </w:rPr>
        <w:t>万元增加1</w:t>
      </w:r>
      <w:r>
        <w:rPr>
          <w:rFonts w:ascii="仿宋_GB2312" w:eastAsia="仿宋_GB2312"/>
          <w:sz w:val="32"/>
          <w:szCs w:val="32"/>
        </w:rPr>
        <w:t>573.96</w:t>
      </w:r>
      <w:r>
        <w:rPr>
          <w:rFonts w:hint="eastAsia" w:ascii="仿宋_GB2312" w:eastAsia="仿宋_GB2312"/>
          <w:sz w:val="32"/>
          <w:szCs w:val="32"/>
        </w:rPr>
        <w:t>万元，增长</w:t>
      </w:r>
      <w:r>
        <w:rPr>
          <w:rFonts w:hint="eastAsia" w:ascii="仿宋_GB2312" w:eastAsia="仿宋_GB2312" w:cs="Calibri"/>
          <w:sz w:val="32"/>
          <w:szCs w:val="32"/>
        </w:rPr>
        <w:t>635.9</w:t>
      </w:r>
      <w:r>
        <w:rPr>
          <w:rFonts w:ascii="仿宋_GB2312" w:eastAsia="仿宋_GB2312" w:cs="Calibri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%，主要增加原因为人员经费增加。</w:t>
      </w:r>
    </w:p>
    <w:p w14:paraId="3E267C84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（二）无项目支出预算0万元，与2021年0万元持平</w:t>
      </w:r>
    </w:p>
    <w:p w14:paraId="6583B25C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（三）无上缴上级支出</w:t>
      </w:r>
    </w:p>
    <w:p w14:paraId="085E6E88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（四）无事业单位经营支出</w:t>
      </w:r>
    </w:p>
    <w:p w14:paraId="29C31B98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（五）无对附属单位补助支出</w:t>
      </w:r>
    </w:p>
    <w:p w14:paraId="3D0654EF">
      <w:pPr>
        <w:spacing w:line="560" w:lineRule="exact"/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四、2022年度</w:t>
      </w:r>
      <w:r>
        <w:rPr>
          <w:rFonts w:hint="eastAsia" w:ascii="黑体" w:eastAsia="黑体"/>
          <w:b/>
          <w:sz w:val="32"/>
          <w:szCs w:val="32"/>
        </w:rPr>
        <w:t>单位“三公”经费财政拨款预算说明</w:t>
      </w:r>
    </w:p>
    <w:p w14:paraId="36F52FF0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_GB2312" w:eastAsia="仿宋_GB2312"/>
          <w:sz w:val="32"/>
          <w:szCs w:val="32"/>
          <w:lang w:eastAsia="zh-CN"/>
        </w:rPr>
        <w:t>“三公”经费</w:t>
      </w:r>
      <w:r>
        <w:rPr>
          <w:rFonts w:hint="eastAsia" w:ascii="仿宋_GB2312" w:eastAsia="仿宋_GB2312"/>
          <w:sz w:val="32"/>
          <w:szCs w:val="32"/>
        </w:rPr>
        <w:t>的单位范围</w:t>
      </w:r>
    </w:p>
    <w:p w14:paraId="773CDF3A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本单位因公出国（境）费用、公务接待费、公务用车购置和运行维护费开支单位包括0个所属单位。</w:t>
      </w:r>
    </w:p>
    <w:p w14:paraId="754CBA7D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</w:t>
      </w:r>
      <w:r>
        <w:rPr>
          <w:rFonts w:hint="eastAsia" w:ascii="仿宋_GB2312" w:eastAsia="仿宋_GB2312"/>
          <w:sz w:val="32"/>
          <w:szCs w:val="32"/>
          <w:lang w:eastAsia="zh-CN"/>
        </w:rPr>
        <w:t>“三公”经费</w:t>
      </w:r>
      <w:r>
        <w:rPr>
          <w:rFonts w:hint="eastAsia" w:ascii="仿宋_GB2312" w:eastAsia="仿宋_GB2312"/>
          <w:sz w:val="32"/>
          <w:szCs w:val="32"/>
        </w:rPr>
        <w:t>财政拨款情况说明</w:t>
      </w:r>
    </w:p>
    <w:p w14:paraId="1B9B4885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2022年</w:t>
      </w:r>
      <w:r>
        <w:rPr>
          <w:rFonts w:hint="eastAsia" w:ascii="仿宋_GB2312" w:eastAsia="仿宋_GB2312"/>
          <w:sz w:val="32"/>
          <w:szCs w:val="32"/>
          <w:lang w:eastAsia="zh-CN"/>
        </w:rPr>
        <w:t>“三公”经费</w:t>
      </w:r>
      <w:r>
        <w:rPr>
          <w:rFonts w:hint="eastAsia" w:ascii="仿宋_GB2312" w:eastAsia="仿宋_GB2312"/>
          <w:sz w:val="32"/>
          <w:szCs w:val="32"/>
        </w:rPr>
        <w:t>财政拨款预算0万元，与2021年0万元持平。其中：</w:t>
      </w:r>
    </w:p>
    <w:p w14:paraId="2F39DA94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1、因公出国（境）费用。2022年预算数0万元，与2021年0万元持平。</w:t>
      </w:r>
    </w:p>
    <w:p w14:paraId="59832573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2、公务接待费。2022年预算0万元，与2021年0万元持平。</w:t>
      </w:r>
    </w:p>
    <w:p w14:paraId="174083C6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公务用车购置和运行维护费。2022年预算数0万元，其中，公务用车购置费2022年预算数0万元，与2021年0万元持平；公务用车运行维护费2022年预算数0万元，与2021年0万元持平，其中：公务用车加油0万元，公务用车维修0万元，公务用车保险0万元，其他0万元，与2021年持平。</w:t>
      </w:r>
    </w:p>
    <w:p w14:paraId="210BF1FD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五、其他重要事项的情况说明</w:t>
      </w:r>
    </w:p>
    <w:p w14:paraId="624F2D15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（一）机关运行经费情况说明</w:t>
      </w:r>
    </w:p>
    <w:p w14:paraId="128164FC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</w:t>
      </w:r>
      <w:r>
        <w:rPr>
          <w:rFonts w:ascii="仿宋_GB2312" w:eastAsia="仿宋_GB2312"/>
          <w:sz w:val="32"/>
          <w:szCs w:val="32"/>
        </w:rPr>
        <w:t>机关运行经费。</w:t>
      </w:r>
    </w:p>
    <w:p w14:paraId="090BCFAC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（二）项目支出绩效目标及评价结果情况说明</w:t>
      </w:r>
    </w:p>
    <w:p w14:paraId="252AAED6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本单位预算</w:t>
      </w:r>
      <w:r>
        <w:rPr>
          <w:rFonts w:ascii="仿宋_GB2312" w:eastAsia="仿宋_GB2312"/>
          <w:sz w:val="32"/>
          <w:szCs w:val="32"/>
        </w:rPr>
        <w:t>批复无项目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718207CE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bookmarkStart w:id="0" w:name="OLE_LINK2"/>
      <w:r>
        <w:rPr>
          <w:rFonts w:hint="eastAsia" w:ascii="仿宋_GB2312" w:eastAsia="仿宋_GB2312"/>
          <w:sz w:val="32"/>
          <w:szCs w:val="32"/>
        </w:rPr>
        <w:t>（三）重点行政事业性收费情况说明</w:t>
      </w:r>
    </w:p>
    <w:bookmarkEnd w:id="0"/>
    <w:p w14:paraId="5058A1A0">
      <w:pPr>
        <w:rPr>
          <w:szCs w:val="21"/>
        </w:rPr>
      </w:pPr>
      <w:r>
        <w:rPr>
          <w:rFonts w:hint="eastAsia" w:ascii="仿宋_GB2312" w:eastAsia="仿宋_GB2312"/>
          <w:sz w:val="32"/>
          <w:szCs w:val="32"/>
        </w:rPr>
        <w:t>保育教育费：收费依据市发展改革委、市教委和市财政局《关于规范本市幼儿园收费有关问题的通知》（京发改规〔2012〕4号），收费标准：一级园</w:t>
      </w:r>
      <w:r>
        <w:rPr>
          <w:rFonts w:ascii="仿宋_GB2312" w:eastAsia="仿宋_GB2312"/>
          <w:sz w:val="32"/>
          <w:szCs w:val="32"/>
        </w:rPr>
        <w:t>750</w:t>
      </w:r>
      <w:r>
        <w:rPr>
          <w:rFonts w:hint="eastAsia" w:ascii="仿宋_GB2312" w:eastAsia="仿宋_GB2312"/>
          <w:sz w:val="32"/>
          <w:szCs w:val="32"/>
        </w:rPr>
        <w:t>元/生.月，收入预计</w:t>
      </w:r>
      <w:r>
        <w:rPr>
          <w:rFonts w:ascii="仿宋_GB2312" w:eastAsia="仿宋_GB2312"/>
          <w:sz w:val="32"/>
          <w:szCs w:val="32"/>
        </w:rPr>
        <w:t>510</w:t>
      </w:r>
      <w:r>
        <w:rPr>
          <w:rFonts w:hint="eastAsia" w:ascii="仿宋_GB2312" w:eastAsia="仿宋_GB2312"/>
          <w:sz w:val="32"/>
          <w:szCs w:val="32"/>
        </w:rPr>
        <w:t>万元，支出已纳入一般预算统筹使用。</w:t>
      </w:r>
    </w:p>
    <w:p w14:paraId="1B7C7BC9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（四）国有资本经营预算财政拨款情况及国有资产占用情况说明</w:t>
      </w:r>
    </w:p>
    <w:p w14:paraId="11A5A131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本单位2022年无国有资本经营预算财政拨款安排的预算。</w:t>
      </w:r>
    </w:p>
    <w:p w14:paraId="1A25A01B">
      <w:pPr>
        <w:rPr>
          <w:szCs w:val="21"/>
        </w:rPr>
      </w:pPr>
      <w:r>
        <w:rPr>
          <w:rFonts w:hint="eastAsia" w:ascii="仿宋_GB2312" w:eastAsia="仿宋_GB2312"/>
          <w:sz w:val="32"/>
          <w:szCs w:val="32"/>
        </w:rPr>
        <w:t>截止202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年12月31日，本单位货币资金</w:t>
      </w:r>
      <w:r>
        <w:rPr>
          <w:rFonts w:ascii="仿宋_GB2312" w:eastAsia="仿宋_GB2312"/>
          <w:sz w:val="32"/>
          <w:szCs w:val="32"/>
        </w:rPr>
        <w:t>389.81</w:t>
      </w:r>
      <w:r>
        <w:rPr>
          <w:rFonts w:hint="eastAsia" w:ascii="仿宋_GB2312" w:eastAsia="仿宋_GB2312"/>
          <w:sz w:val="32"/>
          <w:szCs w:val="32"/>
        </w:rPr>
        <w:t>万元（其中银行存款</w:t>
      </w:r>
      <w:r>
        <w:rPr>
          <w:rFonts w:ascii="仿宋_GB2312" w:eastAsia="仿宋_GB2312"/>
          <w:sz w:val="32"/>
          <w:szCs w:val="32"/>
        </w:rPr>
        <w:t>389.81</w:t>
      </w:r>
      <w:r>
        <w:rPr>
          <w:rFonts w:hint="eastAsia" w:ascii="仿宋_GB2312" w:eastAsia="仿宋_GB2312"/>
          <w:sz w:val="32"/>
          <w:szCs w:val="32"/>
        </w:rPr>
        <w:t>万元），房屋6448.96万元，车辆</w:t>
      </w:r>
      <w:r>
        <w:rPr>
          <w:rFonts w:ascii="仿宋_GB2312" w:eastAsia="仿宋_GB2312"/>
          <w:sz w:val="32"/>
          <w:szCs w:val="32"/>
        </w:rPr>
        <w:t>12.5</w:t>
      </w:r>
      <w:r>
        <w:rPr>
          <w:rFonts w:hint="eastAsia" w:ascii="仿宋_GB2312" w:eastAsia="仿宋_GB2312"/>
          <w:sz w:val="32"/>
          <w:szCs w:val="32"/>
        </w:rPr>
        <w:t>万元，在建工程</w:t>
      </w:r>
      <w:r>
        <w:rPr>
          <w:rFonts w:ascii="仿宋_GB2312" w:eastAsia="仿宋_GB2312"/>
          <w:sz w:val="32"/>
          <w:szCs w:val="32"/>
        </w:rPr>
        <w:t xml:space="preserve"> 0</w:t>
      </w:r>
      <w:r>
        <w:rPr>
          <w:rFonts w:hint="eastAsia" w:ascii="仿宋_GB2312" w:eastAsia="仿宋_GB2312"/>
          <w:sz w:val="32"/>
          <w:szCs w:val="32"/>
        </w:rPr>
        <w:t>万元。</w:t>
      </w:r>
    </w:p>
    <w:p w14:paraId="307BF457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截至2021年12月31日，本单位共有车辆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辆。</w:t>
      </w:r>
    </w:p>
    <w:p w14:paraId="1E5980DA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（五）政府采购预算财政拨款情况说明</w:t>
      </w:r>
    </w:p>
    <w:p w14:paraId="6AB0FD77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本单位2022年无政府采购预算财政拨款安排的预算。</w:t>
      </w:r>
    </w:p>
    <w:p w14:paraId="22F8A901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（六）政府购买服务预算财政拨款情况说明</w:t>
      </w:r>
    </w:p>
    <w:p w14:paraId="38785EFC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本单位2022年无政府购买服务预算财政拨款安排的预算。</w:t>
      </w:r>
    </w:p>
    <w:p w14:paraId="7CE0B84B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（七）名词解释</w:t>
      </w:r>
    </w:p>
    <w:p w14:paraId="540B11C7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预算:遵循统筹兼顾、勤俭节约、量力而行、讲求绩效和收支平衡的原则编制,经法定程序审核批准的国家年度集中性财政收支计划。政府的全部收入和支出都应当纳入预算。地方各级政府财政单位具体编制本级预算草案,各单位编制本单位预算草案。</w:t>
      </w:r>
    </w:p>
    <w:p w14:paraId="47B5D4F0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一般公共预算：是对以税收为主体的财政收入，安排用于保障和改善民生、推动经济社会发展、维护国家安全、维持国家机构正常运转等方面的收支预算。</w:t>
      </w:r>
    </w:p>
    <w:p w14:paraId="25B6C645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政府性基金预算：是对依照法律、行政法规的规定在一定期限内向特定对象征收、收取或者以其他方式筹集的资金，专项用于特定公共事业发展的收支预算。政府性基金预算应当根据基金收入情况和实际支出需要，按基金项目编制，做到以收定支。</w:t>
      </w:r>
    </w:p>
    <w:p w14:paraId="6FE0F8B0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国有资本经营预算：是对国有资本收益作出支出安排的收支预算。国有资本经营预算应当按照收支平衡的原则编制，不列赤字，并安排资金调入一般公共预算。</w:t>
      </w:r>
    </w:p>
    <w:p w14:paraId="24B17DE9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“三公”经费:因公出国(境)费、公务用车购置及运行维护费和公务接待费。其中,因公出国(境)费反映单位公务出国(境)的国际旅费、国外城市间交通费、住宿费、伙食费、培训费、公杂费等支出;公务用车购置及运行维护费反映单位公务用车购置费及燃料费、维修费、过路过桥费、保险费、安全奖励费用等支出;公务接待费反映单位按规定开支的各类公务接待(含外宾接待)费用。</w:t>
      </w:r>
    </w:p>
    <w:p w14:paraId="483824CB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机关运行经费:是指行政单位(含参照公务员法管理事业单位)使用一般公共预算财政拨款安排的基本支出中的日常公用经费支出,包括办公及印刷费、邮电费、差旅费、会议费、福利费、维修(护)费、专用材料费、办公用房水电费、办公用房取暖费、办公用房物业管理费、公务用车运行维护费以及其他费用。</w:t>
      </w:r>
    </w:p>
    <w:p w14:paraId="2CE84EB9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事前绩效评估：指在预算编制时，财政单位根据单位战略规划、事业发展规划、项目申报理由等内容，通过委托第三方的方式，运用科学、合理的评估方法，对项目实施必要性、可行性、绩效目标设置的科学性、财政支持的方式、项目预算的合理性等方面进行客观、公正的评估。</w:t>
      </w:r>
    </w:p>
    <w:p w14:paraId="6720D3EA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绩效评价：指财政单位和预算单位（单位）根据设定的绩效目标，运用科学、合理的绩效评价指标、评价标准和评价方法，对财政支出的经济性、效率性和效益性进行客观、公正的评价。其中，绩效目标的设立是开展绩效评价的前提和基础，绩效评价指标是绩效评价的工具和手段，财政支出的经济性、效率性和效益性是绩效评价的主要内容。</w:t>
      </w:r>
    </w:p>
    <w:p w14:paraId="716EA780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政府采购:各级国家机关、事业单位和团体组织,使用财政性资金采购依法制定的集中采购目录以内的,或者采购限额标准以上的货物、工程和服务的行为,是规范财政支出管理和强化预算约束的有效措施。</w:t>
      </w:r>
    </w:p>
    <w:p w14:paraId="3D1CBE21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政府购买服务:通过发挥市场机制作用,把政府直接提供的一部分公共服务事项以及政府履职所需服务事项,按照一定的方式和程序,交由具备条件的社会力量和事业单位承担,并由政府根据合同约定向其支付费用。</w:t>
      </w:r>
    </w:p>
    <w:p w14:paraId="12B6CFBB">
      <w:pPr>
        <w:spacing w:line="560" w:lineRule="exact"/>
        <w:ind w:firstLine="555"/>
        <w:outlineLvl w:val="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财政监督：指财政单位在财政分配过程中，对国家机关、企事业单位、社会团体和其他组织或个人涉及财政收支、财务收支、国有权益以及其他有关财政管理事项进行监督，对其合法性进行监控、检查、稽核、督促和反映。</w:t>
      </w:r>
    </w:p>
    <w:p w14:paraId="0A4C0750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六、2022年度单位预算附表</w:t>
      </w:r>
    </w:p>
    <w:p w14:paraId="21C13B64">
      <w:pPr>
        <w:pStyle w:val="4"/>
        <w:spacing w:before="0" w:beforeAutospacing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详见2022年度单位预算公开报表</w:t>
      </w:r>
    </w:p>
    <w:p w14:paraId="0D102F11">
      <w:pPr>
        <w:pStyle w:val="4"/>
        <w:spacing w:before="0" w:beforeAutospacing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</w:p>
    <w:p w14:paraId="40EA5A72"/>
    <w:sectPr>
      <w:footerReference r:id="rId3" w:type="default"/>
      <w:footerReference r:id="rId4" w:type="even"/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AE650D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4</w:t>
    </w:r>
    <w:r>
      <w:rPr>
        <w:rStyle w:val="7"/>
      </w:rPr>
      <w:fldChar w:fldCharType="end"/>
    </w:r>
  </w:p>
  <w:p w14:paraId="13679578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F85D78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0A269632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F826B8"/>
    <w:multiLevelType w:val="singleLevel"/>
    <w:tmpl w:val="C6F826B8"/>
    <w:lvl w:ilvl="0" w:tentative="0">
      <w:start w:val="1"/>
      <w:numFmt w:val="chineseCounting"/>
      <w:suff w:val="nothing"/>
      <w:lvlText w:val="（%1）"/>
      <w:lvlJc w:val="left"/>
      <w:rPr>
        <w:rFonts w:hint="eastAsia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F517C"/>
    <w:rsid w:val="00002C08"/>
    <w:rsid w:val="00084874"/>
    <w:rsid w:val="00087381"/>
    <w:rsid w:val="00091839"/>
    <w:rsid w:val="000A40B2"/>
    <w:rsid w:val="000C5DBD"/>
    <w:rsid w:val="000F582B"/>
    <w:rsid w:val="001445CF"/>
    <w:rsid w:val="001F517C"/>
    <w:rsid w:val="00253596"/>
    <w:rsid w:val="002A000B"/>
    <w:rsid w:val="002A6BB3"/>
    <w:rsid w:val="004A7E85"/>
    <w:rsid w:val="00514F17"/>
    <w:rsid w:val="00527E78"/>
    <w:rsid w:val="00575FDA"/>
    <w:rsid w:val="00633D48"/>
    <w:rsid w:val="00673A82"/>
    <w:rsid w:val="006D1A58"/>
    <w:rsid w:val="007867E2"/>
    <w:rsid w:val="00792205"/>
    <w:rsid w:val="00793C5E"/>
    <w:rsid w:val="00936723"/>
    <w:rsid w:val="009D023F"/>
    <w:rsid w:val="00A364D2"/>
    <w:rsid w:val="00A65A6C"/>
    <w:rsid w:val="00AB4CCE"/>
    <w:rsid w:val="00AD1694"/>
    <w:rsid w:val="00AE6290"/>
    <w:rsid w:val="00AE62C2"/>
    <w:rsid w:val="00B471ED"/>
    <w:rsid w:val="00B50D68"/>
    <w:rsid w:val="00B85EDA"/>
    <w:rsid w:val="00C4523D"/>
    <w:rsid w:val="00CB304E"/>
    <w:rsid w:val="00CD0F5F"/>
    <w:rsid w:val="00D46E5E"/>
    <w:rsid w:val="00D97B70"/>
    <w:rsid w:val="00E15A07"/>
    <w:rsid w:val="00E63FE7"/>
    <w:rsid w:val="00E852EF"/>
    <w:rsid w:val="00EB4159"/>
    <w:rsid w:val="00F11C3F"/>
    <w:rsid w:val="00FB57D2"/>
    <w:rsid w:val="3CEF7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page number"/>
    <w:qFormat/>
    <w:uiPriority w:val="0"/>
  </w:style>
  <w:style w:type="character" w:customStyle="1" w:styleId="8">
    <w:name w:val="页眉 字符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字符1"/>
    <w:basedOn w:val="6"/>
    <w:link w:val="2"/>
    <w:semiHidden/>
    <w:uiPriority w:val="99"/>
    <w:rPr>
      <w:sz w:val="18"/>
      <w:szCs w:val="18"/>
    </w:rPr>
  </w:style>
  <w:style w:type="character" w:customStyle="1" w:styleId="10">
    <w:name w:val="页脚 字符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4EBFC-6560-4F85-B7AA-E55DE19535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8</Pages>
  <Words>3226</Words>
  <Characters>3441</Characters>
  <Lines>25</Lines>
  <Paragraphs>7</Paragraphs>
  <TotalTime>317</TotalTime>
  <ScaleCrop>false</ScaleCrop>
  <LinksUpToDate>false</LinksUpToDate>
  <CharactersWithSpaces>3458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2022-05-22T09:00:00Z</dcterms:created>
  <dc:creator>Owner</dc:creator>
  <cp:lastModifiedBy>寇俊鹏</cp:lastModifiedBy>
  <dcterms:modified xsi:type="dcterms:W3CDTF">2025-03-24T06:43:26Z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eyJoZGlkIjoiMDY1MWZiMWEyNWMwNTVlZmNmM2QxMTdmNzZkNjNmZmYiLCJ1c2VySWQiOiI3NTk1ODIzMjQifQ==</vt:lpwstr>
  </property>
  <property fmtid="{D5CDD505-2E9C-101B-9397-08002B2CF9AE}" pid="3" name="KSOProductBuildVer">
    <vt:lpwstr>2052-12.1.0.20305</vt:lpwstr>
  </property>
  <property fmtid="{D5CDD505-2E9C-101B-9397-08002B2CF9AE}" pid="4" name="ICV">
    <vt:lpwstr>39BEDD317E0F47FE92E6336B3870812D_12</vt:lpwstr>
  </property>
</Properties>
</file>