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9126C2">
      <w:pPr>
        <w:spacing w:line="560" w:lineRule="exact"/>
        <w:jc w:val="center"/>
        <w:rPr>
          <w:rFonts w:ascii="方正小标宋简体" w:hAnsi="微软雅黑" w:eastAsia="方正小标宋简体" w:cs="宋体"/>
          <w:b/>
          <w:bCs/>
          <w:color w:val="333333"/>
          <w:kern w:val="0"/>
          <w:sz w:val="44"/>
          <w:szCs w:val="44"/>
        </w:rPr>
      </w:pPr>
      <w:r>
        <w:rPr>
          <w:rFonts w:hint="eastAsia" w:ascii="方正小标宋简体" w:hAnsi="微软雅黑" w:eastAsia="方正小标宋简体" w:cs="宋体"/>
          <w:b/>
          <w:bCs/>
          <w:color w:val="333333"/>
          <w:kern w:val="0"/>
          <w:sz w:val="44"/>
          <w:szCs w:val="44"/>
        </w:rPr>
        <w:t>北京市通州区小务中学2022</w:t>
      </w:r>
      <w:bookmarkStart w:id="1" w:name="_GoBack"/>
      <w:bookmarkEnd w:id="1"/>
      <w:r>
        <w:rPr>
          <w:rFonts w:hint="eastAsia" w:ascii="方正小标宋简体" w:hAnsi="微软雅黑" w:eastAsia="方正小标宋简体" w:cs="宋体"/>
          <w:b/>
          <w:bCs/>
          <w:color w:val="333333"/>
          <w:kern w:val="0"/>
          <w:sz w:val="44"/>
          <w:szCs w:val="44"/>
        </w:rPr>
        <w:t>年预算情况说明</w:t>
      </w:r>
    </w:p>
    <w:p w14:paraId="0655BD4B">
      <w:pPr>
        <w:spacing w:line="560" w:lineRule="exact"/>
        <w:jc w:val="center"/>
        <w:rPr>
          <w:rFonts w:ascii="方正小标宋简体" w:hAnsi="微软雅黑" w:eastAsia="方正小标宋简体" w:cs="宋体"/>
          <w:b/>
          <w:bCs/>
          <w:color w:val="333333"/>
          <w:kern w:val="0"/>
          <w:sz w:val="44"/>
          <w:szCs w:val="44"/>
        </w:rPr>
      </w:pPr>
    </w:p>
    <w:p w14:paraId="21CBA961">
      <w:pPr>
        <w:widowControl/>
        <w:spacing w:after="240" w:line="560" w:lineRule="exact"/>
        <w:ind w:firstLine="480"/>
        <w:jc w:val="center"/>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目    录</w:t>
      </w:r>
    </w:p>
    <w:p w14:paraId="2E6A8022">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一、2022年度预算单位情况说明</w:t>
      </w:r>
    </w:p>
    <w:p w14:paraId="33F9051D">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二、2022年度单位收入预算说明</w:t>
      </w:r>
    </w:p>
    <w:p w14:paraId="03C773AA">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三、2022年度单位支出预算说明</w:t>
      </w:r>
    </w:p>
    <w:p w14:paraId="417B53A6">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四、2022年度单位“三公”经费财政拨款预算说明</w:t>
      </w:r>
    </w:p>
    <w:p w14:paraId="08C6E1A5">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五、2022年度其他重要事项的情况说明</w:t>
      </w:r>
    </w:p>
    <w:p w14:paraId="044820BE">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六、2022年度单位预算附表</w:t>
      </w:r>
    </w:p>
    <w:p w14:paraId="0C57C6B0">
      <w:pPr>
        <w:spacing w:line="560" w:lineRule="exact"/>
        <w:ind w:firstLine="643" w:firstLineChars="200"/>
        <w:outlineLvl w:val="0"/>
        <w:rPr>
          <w:rFonts w:ascii="仿宋_GB2312" w:eastAsia="仿宋_GB2312"/>
          <w:b/>
          <w:sz w:val="32"/>
          <w:szCs w:val="32"/>
        </w:rPr>
      </w:pPr>
    </w:p>
    <w:p w14:paraId="415CF304">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一、2022年度预算单位情况说明</w:t>
      </w:r>
    </w:p>
    <w:p w14:paraId="63D26B3B">
      <w:pPr>
        <w:numPr>
          <w:ilvl w:val="0"/>
          <w:numId w:val="1"/>
        </w:numPr>
        <w:spacing w:line="560" w:lineRule="exact"/>
        <w:ind w:firstLine="555"/>
        <w:rPr>
          <w:rFonts w:ascii="仿宋_GB2312" w:eastAsia="仿宋_GB2312"/>
          <w:sz w:val="32"/>
          <w:szCs w:val="32"/>
        </w:rPr>
      </w:pPr>
      <w:r>
        <w:rPr>
          <w:rFonts w:hint="eastAsia" w:ascii="仿宋_GB2312" w:eastAsia="仿宋_GB2312"/>
          <w:sz w:val="32"/>
          <w:szCs w:val="32"/>
        </w:rPr>
        <w:t>单位机构设置、主要职责</w:t>
      </w:r>
    </w:p>
    <w:p w14:paraId="7F7B7ED7">
      <w:pPr>
        <w:spacing w:line="560" w:lineRule="exact"/>
        <w:rPr>
          <w:rFonts w:hint="eastAsia" w:ascii="仿宋_GB2312" w:eastAsia="仿宋_GB2312"/>
          <w:sz w:val="32"/>
          <w:szCs w:val="32"/>
        </w:rPr>
      </w:pPr>
      <w:r>
        <w:rPr>
          <w:rFonts w:hint="eastAsia" w:ascii="仿宋_GB2312" w:eastAsia="仿宋_GB2312"/>
          <w:sz w:val="32"/>
          <w:szCs w:val="32"/>
        </w:rPr>
        <w:t xml:space="preserve">      1. 我单位内设部门有：德育处、教务处、总务处</w:t>
      </w:r>
    </w:p>
    <w:p w14:paraId="0CD24B67">
      <w:pPr>
        <w:spacing w:line="560" w:lineRule="exact"/>
        <w:ind w:firstLine="960" w:firstLineChars="300"/>
        <w:rPr>
          <w:rFonts w:ascii="仿宋_GB2312" w:eastAsia="仿宋_GB2312"/>
          <w:sz w:val="32"/>
          <w:szCs w:val="32"/>
        </w:rPr>
      </w:pPr>
      <w:r>
        <w:rPr>
          <w:rFonts w:hint="eastAsia" w:ascii="仿宋_GB2312" w:eastAsia="仿宋_GB2312"/>
          <w:sz w:val="32"/>
          <w:szCs w:val="32"/>
        </w:rPr>
        <w:t>2.单位主要职责</w:t>
      </w:r>
    </w:p>
    <w:p w14:paraId="312844AB">
      <w:pPr>
        <w:spacing w:line="560" w:lineRule="exact"/>
        <w:ind w:left="630" w:leftChars="300" w:firstLine="640" w:firstLineChars="200"/>
        <w:rPr>
          <w:rFonts w:hint="eastAsia" w:ascii="仿宋_GB2312" w:eastAsia="仿宋_GB2312"/>
          <w:sz w:val="32"/>
          <w:szCs w:val="32"/>
        </w:rPr>
      </w:pPr>
      <w:r>
        <w:rPr>
          <w:rFonts w:hint="eastAsia" w:ascii="仿宋_GB2312" w:eastAsia="仿宋_GB2312"/>
          <w:sz w:val="32"/>
          <w:szCs w:val="32"/>
        </w:rPr>
        <w:t>德育处职责：德育处是在校长和主管校长的领导下，对学生进行教育和管理的工作部门。德育处要积极贯彻党的教育方针，认真执行上级主管部门和学校布置的各项教育任务，组织部署各类学校教育活动。</w:t>
      </w:r>
    </w:p>
    <w:p w14:paraId="310669C3">
      <w:pPr>
        <w:spacing w:line="560" w:lineRule="exact"/>
        <w:ind w:left="420" w:leftChars="200" w:firstLine="640" w:firstLineChars="200"/>
        <w:rPr>
          <w:rFonts w:hint="eastAsia" w:ascii="仿宋_GB2312" w:eastAsia="仿宋_GB2312"/>
          <w:sz w:val="32"/>
          <w:szCs w:val="32"/>
        </w:rPr>
      </w:pPr>
      <w:r>
        <w:rPr>
          <w:rFonts w:hint="eastAsia" w:ascii="仿宋_GB2312" w:eastAsia="仿宋_GB2312"/>
          <w:sz w:val="32"/>
          <w:szCs w:val="32"/>
        </w:rPr>
        <w:t>教务处职责：教务处是学校负责教学管理的职能部门，在学校党政的领导下，在分管教学副校长的直接领导下对全校本科教学进行组织管理和实施。认真贯彻落实党的教育方针，坚持立德树人根本任务，构建五育并举教育体系，根据学校的办学定位，保障学校人才培养目标的实现，合理配置教学资源，不断提高教学质量，提高教学管理水平和办学效益。</w:t>
      </w:r>
    </w:p>
    <w:p w14:paraId="2FFE2805">
      <w:pPr>
        <w:spacing w:line="560" w:lineRule="exact"/>
        <w:ind w:left="420" w:leftChars="200" w:firstLine="640" w:firstLineChars="200"/>
        <w:rPr>
          <w:rFonts w:ascii="仿宋_GB2312" w:eastAsia="仿宋_GB2312"/>
          <w:sz w:val="32"/>
          <w:szCs w:val="32"/>
        </w:rPr>
      </w:pPr>
      <w:r>
        <w:rPr>
          <w:rFonts w:hint="eastAsia" w:ascii="仿宋_GB2312" w:eastAsia="仿宋_GB2312"/>
          <w:sz w:val="32"/>
          <w:szCs w:val="32"/>
        </w:rPr>
        <w:t>总务处职责: 总务处是在校长领导下，遵照教育方针和勤俭办学原则，协助校长具体管理学校总务工作，为教学服务，为师生的生活服务，领导和组织总务处工作好保障后勤工作。</w:t>
      </w:r>
    </w:p>
    <w:p w14:paraId="6F632C58">
      <w:pPr>
        <w:spacing w:line="560" w:lineRule="exact"/>
        <w:ind w:firstLine="555"/>
        <w:rPr>
          <w:rFonts w:ascii="仿宋_GB2312" w:eastAsia="仿宋_GB2312"/>
          <w:sz w:val="32"/>
          <w:szCs w:val="32"/>
        </w:rPr>
      </w:pPr>
      <w:r>
        <w:rPr>
          <w:rFonts w:hint="eastAsia" w:ascii="仿宋_GB2312" w:eastAsia="仿宋_GB2312"/>
          <w:sz w:val="32"/>
          <w:szCs w:val="32"/>
        </w:rPr>
        <w:t>（二）人员构成情况</w:t>
      </w:r>
    </w:p>
    <w:p w14:paraId="4BB3D9D4">
      <w:pPr>
        <w:spacing w:line="560" w:lineRule="exact"/>
        <w:ind w:firstLine="555"/>
        <w:rPr>
          <w:rFonts w:hint="eastAsia" w:ascii="仿宋_GB2312" w:eastAsia="仿宋_GB2312"/>
          <w:sz w:val="32"/>
          <w:szCs w:val="32"/>
        </w:rPr>
      </w:pPr>
      <w:r>
        <w:rPr>
          <w:rFonts w:hint="eastAsia" w:ascii="仿宋_GB2312" w:eastAsia="仿宋_GB2312"/>
          <w:sz w:val="32"/>
          <w:szCs w:val="32"/>
        </w:rPr>
        <w:t>北京市通州区小务中学事业编制  34 人，实际 34  人；聘用人员（包括其他聘用人员--临时工等）   6 人。</w:t>
      </w:r>
    </w:p>
    <w:p w14:paraId="54100433">
      <w:pPr>
        <w:spacing w:line="560" w:lineRule="exact"/>
        <w:ind w:firstLine="555"/>
        <w:rPr>
          <w:rFonts w:ascii="仿宋_GB2312" w:eastAsia="仿宋_GB2312"/>
          <w:sz w:val="32"/>
          <w:szCs w:val="32"/>
        </w:rPr>
      </w:pPr>
      <w:r>
        <w:rPr>
          <w:rFonts w:hint="eastAsia" w:ascii="仿宋_GB2312" w:eastAsia="仿宋_GB2312"/>
          <w:sz w:val="32"/>
          <w:szCs w:val="32"/>
        </w:rPr>
        <w:t>离退休人员    13人，其中：离休  0人，退休13    人。</w:t>
      </w:r>
    </w:p>
    <w:p w14:paraId="5D59B530">
      <w:pPr>
        <w:spacing w:line="560" w:lineRule="exact"/>
        <w:ind w:firstLine="555"/>
        <w:rPr>
          <w:rFonts w:ascii="仿宋_GB2312" w:eastAsia="仿宋_GB2312"/>
          <w:sz w:val="32"/>
          <w:szCs w:val="32"/>
        </w:rPr>
      </w:pPr>
      <w:r>
        <w:rPr>
          <w:rFonts w:hint="eastAsia" w:ascii="仿宋_GB2312" w:eastAsia="仿宋_GB2312"/>
          <w:sz w:val="32"/>
          <w:szCs w:val="32"/>
        </w:rPr>
        <w:t>（三）本预算年度的主要工作任务</w:t>
      </w:r>
    </w:p>
    <w:p w14:paraId="18F99221">
      <w:pPr>
        <w:spacing w:line="560" w:lineRule="exact"/>
        <w:ind w:firstLine="555"/>
        <w:rPr>
          <w:rFonts w:hint="eastAsia" w:ascii="仿宋_GB2312" w:eastAsia="仿宋_GB2312"/>
          <w:sz w:val="32"/>
          <w:szCs w:val="32"/>
        </w:rPr>
      </w:pPr>
      <w:r>
        <w:rPr>
          <w:rFonts w:hint="eastAsia" w:ascii="仿宋_GB2312" w:eastAsia="仿宋_GB2312"/>
          <w:sz w:val="32"/>
          <w:szCs w:val="32"/>
        </w:rPr>
        <w:t>1.全面贯彻党的教育方针。加强党对学校工作的全面领导，落实立德树人根本任务把意识形态教育贯穿教育教学全过程。推动思想政治课改革创新，增强思政课的思想性理论性、亲和力、针对性。加强师德师风建设，坚持以德立身，依规从教。</w:t>
      </w:r>
    </w:p>
    <w:p w14:paraId="757D5F8D">
      <w:pPr>
        <w:spacing w:line="560" w:lineRule="exact"/>
        <w:ind w:firstLine="555"/>
        <w:rPr>
          <w:rFonts w:hint="eastAsia" w:ascii="仿宋_GB2312" w:eastAsia="仿宋_GB2312"/>
          <w:sz w:val="32"/>
          <w:szCs w:val="32"/>
        </w:rPr>
      </w:pPr>
      <w:r>
        <w:rPr>
          <w:rFonts w:hint="eastAsia" w:ascii="仿宋_GB2312" w:eastAsia="仿宋_GB2312"/>
          <w:sz w:val="32"/>
          <w:szCs w:val="32"/>
        </w:rPr>
        <w:t>2.支持参与教育集团活动。按照区教委的安排全力支持参与教育集团活动。落实《北京市通州区教育集团化办学管理办法(试行)》《北京市通州区集团化办学实施方案》，依据“行政主导、学校协同、资源共享、特色衔接、共同发展”的原则，改革办学模式创新治理体制，促进学校现代化水平显著提升。</w:t>
      </w:r>
    </w:p>
    <w:p w14:paraId="7B7F1FE4">
      <w:pPr>
        <w:spacing w:line="560" w:lineRule="exact"/>
        <w:ind w:firstLine="555"/>
        <w:rPr>
          <w:rFonts w:hint="eastAsia" w:ascii="仿宋_GB2312" w:eastAsia="仿宋_GB2312"/>
          <w:sz w:val="32"/>
          <w:szCs w:val="32"/>
        </w:rPr>
      </w:pPr>
      <w:r>
        <w:rPr>
          <w:rFonts w:hint="eastAsia" w:ascii="仿宋_GB2312" w:eastAsia="仿宋_GB2312"/>
          <w:sz w:val="32"/>
          <w:szCs w:val="32"/>
        </w:rPr>
        <w:t>3.制定规划引领文化自觉。依据《北京市中小学学校文化建设示范校建设与评估指标体系》，结合学校办学特色和实际发展，落实学校章程，进一步梳理办学理念体系和实践体系，制定学校三年发展规划，适时召开学校发展规划研讨会，突出校本特色，探索学校内涵发展及文化建设的路径，疑练办学特色。</w:t>
      </w:r>
    </w:p>
    <w:p w14:paraId="64A9AF4D">
      <w:pPr>
        <w:spacing w:line="560" w:lineRule="exact"/>
        <w:ind w:firstLine="555"/>
        <w:rPr>
          <w:rFonts w:hint="eastAsia" w:ascii="仿宋_GB2312" w:eastAsia="仿宋_GB2312"/>
          <w:sz w:val="32"/>
          <w:szCs w:val="32"/>
        </w:rPr>
      </w:pPr>
      <w:r>
        <w:rPr>
          <w:rFonts w:hint="eastAsia" w:ascii="仿宋_GB2312" w:eastAsia="仿宋_GB2312"/>
          <w:sz w:val="32"/>
          <w:szCs w:val="32"/>
        </w:rPr>
        <w:t>4.项目推动促进优质发展。落实市教委《关于促进通州区教师素质提升计划》和《通州区基础教育质量提升支持计划》，全力做好“城多中小学一体化发展”“全学科阅读”等项目推进工作，坚持问题导向，精准施策，着力补足学校发展中的“弱项”和“短板”，促进学校整体优质发展。</w:t>
      </w:r>
    </w:p>
    <w:p w14:paraId="52F538D1">
      <w:pPr>
        <w:spacing w:line="560" w:lineRule="exact"/>
        <w:ind w:firstLine="555"/>
        <w:rPr>
          <w:rFonts w:hint="eastAsia" w:ascii="仿宋_GB2312" w:eastAsia="仿宋_GB2312"/>
          <w:sz w:val="32"/>
          <w:szCs w:val="32"/>
        </w:rPr>
      </w:pPr>
      <w:r>
        <w:rPr>
          <w:rFonts w:hint="eastAsia" w:ascii="仿宋_GB2312" w:eastAsia="仿宋_GB2312"/>
          <w:sz w:val="32"/>
          <w:szCs w:val="32"/>
        </w:rPr>
        <w:t>5.进一步推进标准化建设。在通过市区级验收的基础上，进一步深入贯彻教育部《义务教育学校管理标准》，落实《通州区义务教育管理标准化建设推进方案》，提高学校精细化管理水平。</w:t>
      </w:r>
    </w:p>
    <w:p w14:paraId="7CA42FB7">
      <w:pPr>
        <w:spacing w:line="560" w:lineRule="exact"/>
        <w:ind w:firstLine="555"/>
        <w:rPr>
          <w:rFonts w:ascii="仿宋_GB2312" w:eastAsia="仿宋_GB2312"/>
          <w:sz w:val="32"/>
          <w:szCs w:val="32"/>
        </w:rPr>
      </w:pPr>
      <w:r>
        <w:rPr>
          <w:rFonts w:hint="eastAsia" w:ascii="仿宋_GB2312" w:eastAsia="仿宋_GB2312"/>
          <w:sz w:val="32"/>
          <w:szCs w:val="32"/>
        </w:rPr>
        <w:t>6.推进学校发展共同体建设。落实《通州区中学教育发展共同体考核评价办法(试行)》，积极推进共同体主题交流、学生培养等活动，如:办学特色、学校管理、文化建设、党建工作、教育科研、信息化建设、学生培养等方面交流研讨，实现共同体学校之间优势互补、资源共享，均衡发展，各具特色的局面，适应城市副中心的发展需求。</w:t>
      </w:r>
    </w:p>
    <w:p w14:paraId="6E1EA38E">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二、2022年度单位收入预算说明</w:t>
      </w:r>
    </w:p>
    <w:p w14:paraId="5CA003AA">
      <w:pPr>
        <w:spacing w:line="560" w:lineRule="exact"/>
        <w:ind w:firstLine="555"/>
        <w:rPr>
          <w:rFonts w:ascii="仿宋_GB2312" w:eastAsia="仿宋_GB2312"/>
          <w:sz w:val="32"/>
          <w:szCs w:val="32"/>
        </w:rPr>
      </w:pPr>
      <w:r>
        <w:rPr>
          <w:rFonts w:hint="eastAsia" w:ascii="仿宋_GB2312" w:eastAsia="仿宋_GB2312"/>
          <w:sz w:val="32"/>
          <w:szCs w:val="32"/>
        </w:rPr>
        <w:t>2022年收入预算753.328196万元，比2021年89.607万元增加663.721196万元，增长740.7  %。其中：财政拨款753.328196万元，比2021年89.607万元增加663.721196万元统筹使用结余资金安排预算0万元，与2021年0万元持平；其他资金0万元，与2021年0万元持平。</w:t>
      </w:r>
    </w:p>
    <w:p w14:paraId="4637B6E1">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三、2022年度单位支出预算说明</w:t>
      </w:r>
    </w:p>
    <w:p w14:paraId="4BE6D753">
      <w:pPr>
        <w:spacing w:line="560" w:lineRule="exact"/>
        <w:ind w:firstLine="555"/>
        <w:rPr>
          <w:rFonts w:ascii="仿宋_GB2312" w:eastAsia="仿宋_GB2312"/>
          <w:sz w:val="32"/>
          <w:szCs w:val="32"/>
        </w:rPr>
      </w:pPr>
      <w:r>
        <w:rPr>
          <w:rFonts w:hint="eastAsia" w:ascii="仿宋_GB2312" w:eastAsia="仿宋_GB2312"/>
          <w:sz w:val="32"/>
          <w:szCs w:val="32"/>
        </w:rPr>
        <w:t>（一）基本支出预算 753.328196万元，占总支出预算100 %，比2021年89.607万元增加663.721196万元，增长740.7%。主要增加原因为人员经费增加。</w:t>
      </w:r>
    </w:p>
    <w:p w14:paraId="6590C19E">
      <w:pPr>
        <w:spacing w:line="560" w:lineRule="exact"/>
        <w:ind w:firstLine="555"/>
        <w:rPr>
          <w:rFonts w:ascii="仿宋_GB2312" w:eastAsia="仿宋_GB2312"/>
          <w:sz w:val="32"/>
          <w:szCs w:val="32"/>
        </w:rPr>
      </w:pPr>
      <w:r>
        <w:rPr>
          <w:rFonts w:hint="eastAsia" w:ascii="仿宋_GB2312" w:eastAsia="仿宋_GB2312"/>
          <w:sz w:val="32"/>
          <w:szCs w:val="32"/>
        </w:rPr>
        <w:t>（二）无项目支出预算0万元，与2021年0万元持平</w:t>
      </w:r>
    </w:p>
    <w:p w14:paraId="333F3FA8">
      <w:pPr>
        <w:spacing w:line="560" w:lineRule="exact"/>
        <w:ind w:firstLine="555"/>
        <w:rPr>
          <w:rFonts w:ascii="仿宋_GB2312" w:eastAsia="仿宋_GB2312"/>
          <w:sz w:val="32"/>
          <w:szCs w:val="32"/>
        </w:rPr>
      </w:pPr>
      <w:r>
        <w:rPr>
          <w:rFonts w:hint="eastAsia" w:ascii="仿宋_GB2312" w:eastAsia="仿宋_GB2312"/>
          <w:sz w:val="32"/>
          <w:szCs w:val="32"/>
        </w:rPr>
        <w:t>（三）无上缴上级支出</w:t>
      </w:r>
    </w:p>
    <w:p w14:paraId="3B46433C">
      <w:pPr>
        <w:spacing w:line="560" w:lineRule="exact"/>
        <w:ind w:firstLine="555"/>
        <w:rPr>
          <w:rFonts w:ascii="仿宋_GB2312" w:eastAsia="仿宋_GB2312"/>
          <w:sz w:val="32"/>
          <w:szCs w:val="32"/>
        </w:rPr>
      </w:pPr>
      <w:r>
        <w:rPr>
          <w:rFonts w:hint="eastAsia" w:ascii="仿宋_GB2312" w:eastAsia="仿宋_GB2312"/>
          <w:sz w:val="32"/>
          <w:szCs w:val="32"/>
        </w:rPr>
        <w:t>（四）无事业单位经营支出</w:t>
      </w:r>
    </w:p>
    <w:p w14:paraId="10536F15">
      <w:pPr>
        <w:spacing w:line="560" w:lineRule="exact"/>
        <w:ind w:firstLine="555"/>
        <w:rPr>
          <w:rFonts w:ascii="仿宋_GB2312" w:eastAsia="仿宋_GB2312"/>
          <w:sz w:val="32"/>
          <w:szCs w:val="32"/>
        </w:rPr>
      </w:pPr>
      <w:r>
        <w:rPr>
          <w:rFonts w:hint="eastAsia" w:ascii="仿宋_GB2312" w:eastAsia="仿宋_GB2312"/>
          <w:sz w:val="32"/>
          <w:szCs w:val="32"/>
        </w:rPr>
        <w:t>（五）无对附属单位补助支出</w:t>
      </w:r>
    </w:p>
    <w:p w14:paraId="7AD87396">
      <w:pPr>
        <w:spacing w:line="560" w:lineRule="exact"/>
        <w:jc w:val="center"/>
        <w:rPr>
          <w:rFonts w:ascii="黑体" w:eastAsia="黑体"/>
          <w:b/>
          <w:sz w:val="32"/>
          <w:szCs w:val="32"/>
        </w:rPr>
      </w:pPr>
      <w:r>
        <w:rPr>
          <w:rFonts w:hint="eastAsia" w:ascii="黑体" w:hAnsi="黑体" w:eastAsia="黑体" w:cs="宋体"/>
          <w:b/>
          <w:bCs/>
          <w:color w:val="333333"/>
          <w:kern w:val="0"/>
          <w:sz w:val="32"/>
          <w:szCs w:val="32"/>
        </w:rPr>
        <w:t>四、2022年度</w:t>
      </w:r>
      <w:r>
        <w:rPr>
          <w:rFonts w:hint="eastAsia" w:ascii="黑体" w:eastAsia="黑体"/>
          <w:b/>
          <w:sz w:val="32"/>
          <w:szCs w:val="32"/>
        </w:rPr>
        <w:t>单位“三公”经费财政拨款预算说明</w:t>
      </w:r>
    </w:p>
    <w:p w14:paraId="11300EE0">
      <w:pPr>
        <w:spacing w:line="560" w:lineRule="exact"/>
        <w:ind w:firstLine="600"/>
        <w:rPr>
          <w:rFonts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“三公”经费</w:t>
      </w:r>
      <w:r>
        <w:rPr>
          <w:rFonts w:hint="eastAsia" w:ascii="仿宋_GB2312" w:eastAsia="仿宋_GB2312"/>
          <w:sz w:val="32"/>
          <w:szCs w:val="32"/>
        </w:rPr>
        <w:t>的单位范围</w:t>
      </w:r>
    </w:p>
    <w:p w14:paraId="2EDB220A">
      <w:pPr>
        <w:spacing w:line="560" w:lineRule="exact"/>
        <w:ind w:firstLine="600"/>
        <w:rPr>
          <w:rFonts w:ascii="仿宋_GB2312" w:eastAsia="仿宋_GB2312"/>
          <w:sz w:val="32"/>
          <w:szCs w:val="32"/>
        </w:rPr>
      </w:pPr>
      <w:r>
        <w:rPr>
          <w:rFonts w:hint="eastAsia" w:ascii="仿宋_GB2312" w:eastAsia="仿宋_GB2312"/>
          <w:sz w:val="32"/>
          <w:szCs w:val="32"/>
        </w:rPr>
        <w:t>本单位因公出国（境）费用、公务接待费、公务用车购置和运行维护费开支单位包括0个所属单位。</w:t>
      </w:r>
    </w:p>
    <w:p w14:paraId="46488C01">
      <w:pPr>
        <w:spacing w:line="560" w:lineRule="exact"/>
        <w:ind w:firstLine="600"/>
        <w:rPr>
          <w:rFonts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“三公”经费</w:t>
      </w:r>
      <w:r>
        <w:rPr>
          <w:rFonts w:hint="eastAsia" w:ascii="仿宋_GB2312" w:eastAsia="仿宋_GB2312"/>
          <w:sz w:val="32"/>
          <w:szCs w:val="32"/>
        </w:rPr>
        <w:t>财政拨款情况说明</w:t>
      </w:r>
    </w:p>
    <w:p w14:paraId="00F8E314">
      <w:pPr>
        <w:spacing w:line="560" w:lineRule="exact"/>
        <w:ind w:firstLine="600"/>
        <w:rPr>
          <w:rFonts w:ascii="仿宋_GB2312" w:eastAsia="仿宋_GB2312"/>
          <w:sz w:val="32"/>
          <w:szCs w:val="32"/>
        </w:rPr>
      </w:pPr>
      <w:r>
        <w:rPr>
          <w:rFonts w:hint="eastAsia" w:ascii="仿宋_GB2312" w:eastAsia="仿宋_GB2312"/>
          <w:sz w:val="32"/>
          <w:szCs w:val="32"/>
        </w:rPr>
        <w:t>2022年</w:t>
      </w:r>
      <w:r>
        <w:rPr>
          <w:rFonts w:hint="eastAsia" w:ascii="仿宋_GB2312" w:eastAsia="仿宋_GB2312"/>
          <w:sz w:val="32"/>
          <w:szCs w:val="32"/>
          <w:lang w:eastAsia="zh-CN"/>
        </w:rPr>
        <w:t>“三公”经费</w:t>
      </w:r>
      <w:r>
        <w:rPr>
          <w:rFonts w:hint="eastAsia" w:ascii="仿宋_GB2312" w:eastAsia="仿宋_GB2312"/>
          <w:sz w:val="32"/>
          <w:szCs w:val="32"/>
        </w:rPr>
        <w:t>财政拨款预算0万元，与2021年0万元持平。其中：</w:t>
      </w:r>
    </w:p>
    <w:p w14:paraId="1FF455D5">
      <w:pPr>
        <w:spacing w:line="560" w:lineRule="exact"/>
        <w:ind w:firstLine="600"/>
        <w:rPr>
          <w:rFonts w:ascii="仿宋_GB2312" w:eastAsia="仿宋_GB2312"/>
          <w:sz w:val="32"/>
          <w:szCs w:val="32"/>
        </w:rPr>
      </w:pPr>
      <w:r>
        <w:rPr>
          <w:rFonts w:hint="eastAsia" w:ascii="仿宋_GB2312" w:eastAsia="仿宋_GB2312"/>
          <w:sz w:val="32"/>
          <w:szCs w:val="32"/>
        </w:rPr>
        <w:t>1、因公出国（境）费用。2022年预算数0万元，与2021年0万元持平。</w:t>
      </w:r>
    </w:p>
    <w:p w14:paraId="3CD2972C">
      <w:pPr>
        <w:spacing w:line="560" w:lineRule="exact"/>
        <w:ind w:firstLine="600"/>
        <w:rPr>
          <w:rFonts w:ascii="仿宋_GB2312" w:eastAsia="仿宋_GB2312"/>
          <w:sz w:val="32"/>
          <w:szCs w:val="32"/>
        </w:rPr>
      </w:pPr>
      <w:r>
        <w:rPr>
          <w:rFonts w:hint="eastAsia" w:ascii="仿宋_GB2312" w:eastAsia="仿宋_GB2312"/>
          <w:sz w:val="32"/>
          <w:szCs w:val="32"/>
        </w:rPr>
        <w:t>2、公务接待费。2022年预算0万元，与2021年0万元持平。</w:t>
      </w:r>
    </w:p>
    <w:p w14:paraId="5538AAD0">
      <w:pPr>
        <w:spacing w:line="560" w:lineRule="exact"/>
        <w:ind w:firstLine="600"/>
        <w:rPr>
          <w:rFonts w:ascii="仿宋_GB2312" w:eastAsia="仿宋_GB2312"/>
          <w:sz w:val="32"/>
          <w:szCs w:val="32"/>
        </w:rPr>
      </w:pPr>
      <w:r>
        <w:rPr>
          <w:rFonts w:hint="eastAsia" w:ascii="仿宋_GB2312" w:eastAsia="仿宋_GB2312"/>
          <w:sz w:val="32"/>
          <w:szCs w:val="32"/>
        </w:rPr>
        <w:t>3、公务用车购置和运行维护费。2022年预算数0万元，其中，公务用车购置费2022年预算数0万元，与2021年0万元持平；公务用车运行维护费2022年预算数0万元，与2021年0万元持平，其中：公务用车加油0万元，公务用车维修0万元，公务用车保险0万元，其他0万元，与2021年持平。</w:t>
      </w:r>
    </w:p>
    <w:p w14:paraId="54701903">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五、其他重要事项的情况说明</w:t>
      </w:r>
    </w:p>
    <w:p w14:paraId="3E53EB36">
      <w:pPr>
        <w:spacing w:line="560" w:lineRule="exact"/>
        <w:ind w:firstLine="640" w:firstLineChars="200"/>
        <w:rPr>
          <w:rFonts w:ascii="仿宋_GB2312" w:eastAsia="仿宋_GB2312"/>
          <w:sz w:val="32"/>
          <w:szCs w:val="32"/>
        </w:rPr>
      </w:pPr>
      <w:r>
        <w:rPr>
          <w:rFonts w:hint="eastAsia" w:ascii="仿宋_GB2312" w:eastAsia="仿宋_GB2312"/>
          <w:sz w:val="32"/>
          <w:szCs w:val="32"/>
        </w:rPr>
        <w:t>（一）机关运行经费情况说明</w:t>
      </w:r>
    </w:p>
    <w:p w14:paraId="21998B15">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本单位无</w:t>
      </w:r>
      <w:r>
        <w:rPr>
          <w:rFonts w:ascii="仿宋_GB2312" w:eastAsia="仿宋_GB2312"/>
          <w:sz w:val="32"/>
          <w:szCs w:val="32"/>
        </w:rPr>
        <w:t>机关运行经费。</w:t>
      </w:r>
    </w:p>
    <w:p w14:paraId="03F79677">
      <w:pPr>
        <w:spacing w:line="560" w:lineRule="exact"/>
        <w:ind w:firstLine="640" w:firstLineChars="200"/>
        <w:rPr>
          <w:rFonts w:ascii="仿宋_GB2312" w:eastAsia="仿宋_GB2312"/>
          <w:sz w:val="32"/>
          <w:szCs w:val="32"/>
        </w:rPr>
      </w:pPr>
      <w:r>
        <w:rPr>
          <w:rFonts w:hint="eastAsia" w:ascii="仿宋_GB2312" w:eastAsia="仿宋_GB2312"/>
          <w:sz w:val="32"/>
          <w:szCs w:val="32"/>
        </w:rPr>
        <w:t>（二）项目支出绩效目标及评价结果情况说明</w:t>
      </w:r>
    </w:p>
    <w:p w14:paraId="170AEECD">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本单位预算</w:t>
      </w:r>
      <w:r>
        <w:rPr>
          <w:rFonts w:ascii="仿宋_GB2312" w:eastAsia="仿宋_GB2312"/>
          <w:sz w:val="32"/>
          <w:szCs w:val="32"/>
        </w:rPr>
        <w:t>批复无项目</w:t>
      </w:r>
      <w:r>
        <w:rPr>
          <w:rFonts w:hint="eastAsia" w:ascii="仿宋_GB2312" w:eastAsia="仿宋_GB2312"/>
          <w:sz w:val="32"/>
          <w:szCs w:val="32"/>
        </w:rPr>
        <w:t>。</w:t>
      </w:r>
    </w:p>
    <w:p w14:paraId="2A6C8B9A">
      <w:pPr>
        <w:spacing w:line="560" w:lineRule="exact"/>
        <w:ind w:firstLine="640" w:firstLineChars="200"/>
        <w:rPr>
          <w:rFonts w:ascii="仿宋_GB2312" w:eastAsia="仿宋_GB2312"/>
          <w:sz w:val="32"/>
          <w:szCs w:val="32"/>
        </w:rPr>
      </w:pPr>
      <w:bookmarkStart w:id="0" w:name="OLE_LINK2"/>
      <w:r>
        <w:rPr>
          <w:rFonts w:hint="eastAsia" w:ascii="仿宋_GB2312" w:eastAsia="仿宋_GB2312"/>
          <w:sz w:val="32"/>
          <w:szCs w:val="32"/>
        </w:rPr>
        <w:t>（三）重点行政事业性收费情况说明</w:t>
      </w:r>
    </w:p>
    <w:bookmarkEnd w:id="0"/>
    <w:p w14:paraId="79909150">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本单位2022年无重点行政事业性收费。</w:t>
      </w:r>
    </w:p>
    <w:p w14:paraId="6E200900">
      <w:pPr>
        <w:spacing w:line="560" w:lineRule="exact"/>
        <w:ind w:firstLine="640" w:firstLineChars="200"/>
        <w:rPr>
          <w:rFonts w:ascii="仿宋_GB2312" w:eastAsia="仿宋_GB2312"/>
          <w:sz w:val="32"/>
          <w:szCs w:val="32"/>
        </w:rPr>
      </w:pPr>
      <w:r>
        <w:rPr>
          <w:rFonts w:hint="eastAsia" w:ascii="仿宋_GB2312" w:eastAsia="仿宋_GB2312"/>
          <w:sz w:val="32"/>
          <w:szCs w:val="32"/>
        </w:rPr>
        <w:t>（四）国有资本经营预算财政拨款情况及国有资产占用情况说明</w:t>
      </w:r>
    </w:p>
    <w:p w14:paraId="0FC14FF7">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本单位2022年无国有资本经营预算财政拨款安排的预算。</w:t>
      </w:r>
    </w:p>
    <w:p w14:paraId="6595A96A">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截止2021年12月31日，本单位货币资金 210.88  万元（其中银行存款210.87万元），房屋67.92   万元，车辆  29.618 万元，在建工程  0万元。</w:t>
      </w:r>
    </w:p>
    <w:p w14:paraId="0424C2E0">
      <w:pPr>
        <w:spacing w:line="560" w:lineRule="exact"/>
        <w:ind w:firstLine="640" w:firstLineChars="200"/>
        <w:rPr>
          <w:rFonts w:ascii="仿宋_GB2312" w:eastAsia="仿宋_GB2312"/>
          <w:sz w:val="32"/>
          <w:szCs w:val="32"/>
        </w:rPr>
      </w:pPr>
      <w:r>
        <w:rPr>
          <w:rFonts w:hint="eastAsia" w:ascii="仿宋_GB2312" w:eastAsia="仿宋_GB2312"/>
          <w:sz w:val="32"/>
          <w:szCs w:val="32"/>
        </w:rPr>
        <w:t>截至2021年12月31日，本单位共有车辆  3 辆。</w:t>
      </w:r>
    </w:p>
    <w:p w14:paraId="2FFDB44F">
      <w:pPr>
        <w:spacing w:line="560" w:lineRule="exact"/>
        <w:ind w:firstLine="640" w:firstLineChars="200"/>
        <w:rPr>
          <w:rFonts w:ascii="仿宋_GB2312" w:eastAsia="仿宋_GB2312"/>
          <w:sz w:val="32"/>
          <w:szCs w:val="32"/>
        </w:rPr>
      </w:pPr>
      <w:r>
        <w:rPr>
          <w:rFonts w:hint="eastAsia" w:ascii="仿宋_GB2312" w:eastAsia="仿宋_GB2312"/>
          <w:sz w:val="32"/>
          <w:szCs w:val="32"/>
        </w:rPr>
        <w:t>（五）政府采购预算财政拨款情况说明</w:t>
      </w:r>
    </w:p>
    <w:p w14:paraId="7A498FE7">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本单位2022年无政府采购预算财政拨款安排的预算。</w:t>
      </w:r>
    </w:p>
    <w:p w14:paraId="35338F1F">
      <w:pPr>
        <w:spacing w:line="560" w:lineRule="exact"/>
        <w:ind w:firstLine="640" w:firstLineChars="200"/>
        <w:rPr>
          <w:rFonts w:ascii="仿宋_GB2312" w:eastAsia="仿宋_GB2312"/>
          <w:sz w:val="32"/>
          <w:szCs w:val="32"/>
        </w:rPr>
      </w:pPr>
      <w:r>
        <w:rPr>
          <w:rFonts w:hint="eastAsia" w:ascii="仿宋_GB2312" w:eastAsia="仿宋_GB2312"/>
          <w:sz w:val="32"/>
          <w:szCs w:val="32"/>
        </w:rPr>
        <w:t>（六）政府购买服务预算财政拨款情况说明</w:t>
      </w:r>
    </w:p>
    <w:p w14:paraId="2769E56D">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本单位2022年无政府购买服务预算财政拨款安排的预算。</w:t>
      </w:r>
    </w:p>
    <w:p w14:paraId="1A267E22">
      <w:pPr>
        <w:spacing w:line="560" w:lineRule="exact"/>
        <w:ind w:firstLine="640" w:firstLineChars="200"/>
        <w:rPr>
          <w:rFonts w:ascii="仿宋_GB2312" w:eastAsia="仿宋_GB2312"/>
          <w:sz w:val="32"/>
          <w:szCs w:val="32"/>
        </w:rPr>
      </w:pPr>
      <w:r>
        <w:rPr>
          <w:rFonts w:hint="eastAsia" w:ascii="仿宋_GB2312" w:eastAsia="仿宋_GB2312"/>
          <w:sz w:val="32"/>
          <w:szCs w:val="32"/>
        </w:rPr>
        <w:t>（七）名词解释</w:t>
      </w:r>
    </w:p>
    <w:p w14:paraId="77C0A599">
      <w:pPr>
        <w:spacing w:line="560" w:lineRule="exact"/>
        <w:ind w:firstLine="640" w:firstLineChars="200"/>
        <w:rPr>
          <w:rFonts w:ascii="仿宋_GB2312" w:eastAsia="仿宋_GB2312"/>
          <w:sz w:val="32"/>
          <w:szCs w:val="32"/>
        </w:rPr>
      </w:pPr>
      <w:r>
        <w:rPr>
          <w:rFonts w:hint="eastAsia" w:ascii="仿宋_GB2312" w:eastAsia="仿宋_GB2312"/>
          <w:sz w:val="32"/>
          <w:szCs w:val="32"/>
        </w:rPr>
        <w:t>预算:遵循统筹兼顾、勤俭节约、量力而行、讲求绩效和收支平衡的原则编制,经法定程序审核批准的国家年度集中性财政收支计划。政府的全部收入和支出都应当纳入预算。地方各级政府财政单位具体编制本级预算草案,各单位编制本单位预算草案。</w:t>
      </w:r>
    </w:p>
    <w:p w14:paraId="2780B3EF">
      <w:pPr>
        <w:spacing w:line="560" w:lineRule="exact"/>
        <w:ind w:firstLine="640" w:firstLineChars="200"/>
        <w:rPr>
          <w:rFonts w:ascii="仿宋_GB2312" w:eastAsia="仿宋_GB2312"/>
          <w:sz w:val="32"/>
          <w:szCs w:val="32"/>
        </w:rPr>
      </w:pPr>
      <w:r>
        <w:rPr>
          <w:rFonts w:hint="eastAsia" w:ascii="仿宋_GB2312" w:eastAsia="仿宋_GB2312"/>
          <w:sz w:val="32"/>
          <w:szCs w:val="32"/>
        </w:rPr>
        <w:t>一般公共预算：是对以税收为主体的财政收入，安排用于保障和改善民生、推动经济社会发展、维护国家安全、维持国家机构正常运转等方面的收支预算。</w:t>
      </w:r>
    </w:p>
    <w:p w14:paraId="06268EE1">
      <w:pPr>
        <w:spacing w:line="560" w:lineRule="exact"/>
        <w:ind w:firstLine="640" w:firstLineChars="200"/>
        <w:rPr>
          <w:rFonts w:ascii="仿宋_GB2312" w:eastAsia="仿宋_GB2312"/>
          <w:sz w:val="32"/>
          <w:szCs w:val="32"/>
        </w:rPr>
      </w:pPr>
      <w:r>
        <w:rPr>
          <w:rFonts w:hint="eastAsia" w:ascii="仿宋_GB2312" w:eastAsia="仿宋_GB2312"/>
          <w:sz w:val="32"/>
          <w:szCs w:val="32"/>
        </w:rPr>
        <w:t>政府性基金预算：是对依照法律、行政法规的规定在一定期限内向特定对象征收、收取或者以其他方式筹集的资金，专项用于特定公共事业发展的收支预算。政府性基金预算应当根据基金收入情况和实际支出需要，按基金项目编制，做到以收定支。</w:t>
      </w:r>
    </w:p>
    <w:p w14:paraId="27B7CAA6">
      <w:pPr>
        <w:spacing w:line="560" w:lineRule="exact"/>
        <w:ind w:firstLine="555"/>
        <w:outlineLvl w:val="0"/>
        <w:rPr>
          <w:rFonts w:ascii="仿宋_GB2312" w:eastAsia="仿宋_GB2312"/>
          <w:sz w:val="32"/>
          <w:szCs w:val="32"/>
        </w:rPr>
      </w:pPr>
      <w:r>
        <w:rPr>
          <w:rFonts w:hint="eastAsia" w:ascii="仿宋_GB2312" w:eastAsia="仿宋_GB2312"/>
          <w:sz w:val="32"/>
          <w:szCs w:val="32"/>
        </w:rPr>
        <w:t>国有资本经营预算：是对国有资本收益作出支出安排的收支预算。国有资本经营预算应当按照收支平衡的原则编制，不列赤字，并安排资金调入一般公共预算。</w:t>
      </w:r>
    </w:p>
    <w:p w14:paraId="1093E53D">
      <w:pPr>
        <w:spacing w:line="560" w:lineRule="exact"/>
        <w:ind w:firstLine="555"/>
        <w:outlineLvl w:val="0"/>
        <w:rPr>
          <w:rFonts w:ascii="仿宋_GB2312" w:eastAsia="仿宋_GB2312"/>
          <w:sz w:val="32"/>
          <w:szCs w:val="32"/>
        </w:rPr>
      </w:pPr>
      <w:r>
        <w:rPr>
          <w:rFonts w:hint="eastAsia" w:ascii="仿宋_GB2312" w:eastAsia="仿宋_GB2312"/>
          <w:sz w:val="32"/>
          <w:szCs w:val="32"/>
        </w:rPr>
        <w:t>“三公”经费:因公出国(境)费、公务用车购置及运行维护费和公务接待费。其中,因公出国(境)费反映单位公务出国(境)的国际旅费、国外城市间交通费、住宿费、伙食费、培训费、公杂费等支出;公务用车购置及运行维护费反映单位公务用车购置费及燃料费、维修费、过路过桥费、保险费、安全奖励费用等支出;公务接待费反映单位按规定开支的各类公务接待(含外宾接待)费用。</w:t>
      </w:r>
    </w:p>
    <w:p w14:paraId="2959FD58">
      <w:pPr>
        <w:spacing w:line="560" w:lineRule="exact"/>
        <w:ind w:firstLine="555"/>
        <w:outlineLvl w:val="0"/>
        <w:rPr>
          <w:rFonts w:ascii="仿宋_GB2312" w:eastAsia="仿宋_GB2312"/>
          <w:sz w:val="32"/>
          <w:szCs w:val="32"/>
        </w:rPr>
      </w:pPr>
      <w:r>
        <w:rPr>
          <w:rFonts w:hint="eastAsia" w:ascii="仿宋_GB2312" w:eastAsia="仿宋_GB2312"/>
          <w:sz w:val="32"/>
          <w:szCs w:val="32"/>
        </w:rPr>
        <w:t>机关运行经费:是指行政单位(含参照公务员法管理事业单位)使用一般公共预算财政拨款安排的基本支出中的日常公用经费支出,包括办公及印刷费、邮电费、差旅费、会议费、福利费、维修(护)费、专用材料费、办公用房水电费、办公用房取暖费、办公用房物业管理费、公务用车运行维护费以及其他费用。</w:t>
      </w:r>
    </w:p>
    <w:p w14:paraId="37D7D0F0">
      <w:pPr>
        <w:spacing w:line="560" w:lineRule="exact"/>
        <w:ind w:firstLine="555"/>
        <w:outlineLvl w:val="0"/>
        <w:rPr>
          <w:rFonts w:ascii="仿宋_GB2312" w:eastAsia="仿宋_GB2312"/>
          <w:sz w:val="32"/>
          <w:szCs w:val="32"/>
        </w:rPr>
      </w:pPr>
      <w:r>
        <w:rPr>
          <w:rFonts w:hint="eastAsia" w:ascii="仿宋_GB2312" w:eastAsia="仿宋_GB2312"/>
          <w:sz w:val="32"/>
          <w:szCs w:val="32"/>
        </w:rPr>
        <w:t>事前绩效评估：指在预算编制时，财政单位根据单位战略规划、事业发展规划、项目申报理由等内容，通过委托第三方的方式，运用科学、合理的评估方法，对项目实施必要性、可行性、绩效目标设置的科学性、财政支持的方式、项目预算的合理性等方面进行客观、公正的评估。</w:t>
      </w:r>
    </w:p>
    <w:p w14:paraId="7BE684D3">
      <w:pPr>
        <w:spacing w:line="560" w:lineRule="exact"/>
        <w:ind w:firstLine="555"/>
        <w:outlineLvl w:val="0"/>
        <w:rPr>
          <w:rFonts w:ascii="仿宋_GB2312" w:eastAsia="仿宋_GB2312"/>
          <w:sz w:val="32"/>
          <w:szCs w:val="32"/>
        </w:rPr>
      </w:pPr>
      <w:r>
        <w:rPr>
          <w:rFonts w:hint="eastAsia" w:ascii="仿宋_GB2312" w:eastAsia="仿宋_GB2312"/>
          <w:sz w:val="32"/>
          <w:szCs w:val="32"/>
        </w:rPr>
        <w:t>绩效评价：指财政单位和预算单位（单位）根据设定的绩效目标，运用科学、合理的绩效评价指标、评价标准和评价方法，对财政支出的经济性、效率性和效益性进行客观、公正的评价。其中，绩效目标的设立是开展绩效评价的前提和基础，绩效评价指标是绩效评价的工具和手段，财政支出的经济性、效率性和效益性是绩效评价的主要内容。</w:t>
      </w:r>
    </w:p>
    <w:p w14:paraId="24839C3D">
      <w:pPr>
        <w:spacing w:line="560" w:lineRule="exact"/>
        <w:ind w:firstLine="555"/>
        <w:outlineLvl w:val="0"/>
        <w:rPr>
          <w:rFonts w:ascii="仿宋_GB2312" w:eastAsia="仿宋_GB2312"/>
          <w:sz w:val="32"/>
          <w:szCs w:val="32"/>
        </w:rPr>
      </w:pPr>
      <w:r>
        <w:rPr>
          <w:rFonts w:hint="eastAsia" w:ascii="仿宋_GB2312" w:eastAsia="仿宋_GB2312"/>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14:paraId="0CB88C64">
      <w:pPr>
        <w:spacing w:line="560" w:lineRule="exact"/>
        <w:ind w:firstLine="555"/>
        <w:outlineLvl w:val="0"/>
        <w:rPr>
          <w:rFonts w:ascii="仿宋_GB2312" w:eastAsia="仿宋_GB2312"/>
          <w:sz w:val="32"/>
          <w:szCs w:val="32"/>
        </w:rPr>
      </w:pPr>
      <w:r>
        <w:rPr>
          <w:rFonts w:hint="eastAsia" w:ascii="仿宋_GB2312" w:eastAsia="仿宋_GB2312"/>
          <w:sz w:val="32"/>
          <w:szCs w:val="32"/>
        </w:rPr>
        <w:t>政府购买服务:通过发挥市场机制作用,把政府直接提供的一部分公共服务事项以及政府履职所需服务事项,按照一定的方式和程序,交由具备条件的社会力量和事业单位承担,并由政府根据合同约定向其支付费用。</w:t>
      </w:r>
    </w:p>
    <w:p w14:paraId="3138518E">
      <w:pPr>
        <w:spacing w:line="560" w:lineRule="exact"/>
        <w:ind w:firstLine="555"/>
        <w:outlineLvl w:val="0"/>
        <w:rPr>
          <w:rFonts w:ascii="仿宋_GB2312" w:eastAsia="仿宋_GB2312"/>
          <w:b/>
          <w:sz w:val="32"/>
          <w:szCs w:val="32"/>
        </w:rPr>
      </w:pPr>
      <w:r>
        <w:rPr>
          <w:rFonts w:hint="eastAsia" w:ascii="仿宋_GB2312" w:eastAsia="仿宋_GB2312"/>
          <w:sz w:val="32"/>
          <w:szCs w:val="32"/>
        </w:rPr>
        <w:t>财政监督：指财政单位在财政分配过程中，对国家机关、企事业单位、社会团体和其他组织或个人涉及财政收支、财务收支、国有权益以及其他有关财政管理事项进行监督，对其合法性进行监控、检查、稽核、督促和反映。</w:t>
      </w:r>
    </w:p>
    <w:p w14:paraId="7EA921EE">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六、2022年度单位预算附表</w:t>
      </w:r>
    </w:p>
    <w:p w14:paraId="27659A36">
      <w:pPr>
        <w:pStyle w:val="4"/>
        <w:spacing w:before="0" w:beforeAutospacing="0" w:line="560" w:lineRule="exact"/>
        <w:ind w:firstLine="640" w:firstLineChars="200"/>
        <w:jc w:val="both"/>
        <w:rPr>
          <w:rFonts w:ascii="仿宋_GB2312" w:eastAsia="仿宋_GB2312"/>
          <w:sz w:val="32"/>
          <w:szCs w:val="32"/>
        </w:rPr>
      </w:pPr>
      <w:r>
        <w:rPr>
          <w:rFonts w:hint="eastAsia" w:ascii="仿宋_GB2312" w:eastAsia="仿宋_GB2312"/>
          <w:sz w:val="32"/>
          <w:szCs w:val="32"/>
        </w:rPr>
        <w:t>详见2022年度单位预算公开报表</w:t>
      </w:r>
    </w:p>
    <w:p w14:paraId="087773F0">
      <w:pPr>
        <w:pStyle w:val="4"/>
        <w:spacing w:before="0" w:beforeAutospacing="0" w:line="560" w:lineRule="exact"/>
        <w:ind w:firstLine="640" w:firstLineChars="200"/>
        <w:jc w:val="both"/>
        <w:rPr>
          <w:rFonts w:ascii="仿宋_GB2312" w:eastAsia="仿宋_GB2312"/>
          <w:sz w:val="32"/>
          <w:szCs w:val="32"/>
        </w:rPr>
      </w:pPr>
    </w:p>
    <w:p w14:paraId="21BE81C5"/>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9DA2C">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8</w:t>
    </w:r>
    <w:r>
      <w:rPr>
        <w:rStyle w:val="7"/>
      </w:rPr>
      <w:fldChar w:fldCharType="end"/>
    </w:r>
  </w:p>
  <w:p w14:paraId="29CCAFC4">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140E8">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101FA311">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F826B8"/>
    <w:multiLevelType w:val="singleLevel"/>
    <w:tmpl w:val="C6F826B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F517C"/>
    <w:rsid w:val="00083ACC"/>
    <w:rsid w:val="001C3749"/>
    <w:rsid w:val="001F517C"/>
    <w:rsid w:val="00253596"/>
    <w:rsid w:val="003B302F"/>
    <w:rsid w:val="004A7E85"/>
    <w:rsid w:val="00514F17"/>
    <w:rsid w:val="00527E78"/>
    <w:rsid w:val="006A11D9"/>
    <w:rsid w:val="006D1A58"/>
    <w:rsid w:val="00793C5E"/>
    <w:rsid w:val="009D023F"/>
    <w:rsid w:val="00A364D2"/>
    <w:rsid w:val="00AB4CCE"/>
    <w:rsid w:val="00B471ED"/>
    <w:rsid w:val="00C41F8F"/>
    <w:rsid w:val="00C4523D"/>
    <w:rsid w:val="00C46BDF"/>
    <w:rsid w:val="00CB304E"/>
    <w:rsid w:val="00CD0F5F"/>
    <w:rsid w:val="00D97B70"/>
    <w:rsid w:val="00E643E3"/>
    <w:rsid w:val="00E852EF"/>
    <w:rsid w:val="00F11C3F"/>
    <w:rsid w:val="00FB57D2"/>
    <w:rsid w:val="4D926A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0"/>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widowControl/>
      <w:spacing w:before="100" w:beforeAutospacing="1" w:after="100" w:afterAutospacing="1"/>
      <w:jc w:val="left"/>
    </w:pPr>
    <w:rPr>
      <w:rFonts w:ascii="宋体" w:hAnsi="宋体" w:cs="宋体"/>
      <w:kern w:val="0"/>
      <w:sz w:val="24"/>
    </w:rPr>
  </w:style>
  <w:style w:type="character" w:styleId="7">
    <w:name w:val="page number"/>
    <w:qFormat/>
    <w:uiPriority w:val="0"/>
  </w:style>
  <w:style w:type="character" w:customStyle="1" w:styleId="8">
    <w:name w:val="页眉 Char"/>
    <w:basedOn w:val="6"/>
    <w:link w:val="3"/>
    <w:uiPriority w:val="99"/>
    <w:rPr>
      <w:sz w:val="18"/>
      <w:szCs w:val="18"/>
    </w:rPr>
  </w:style>
  <w:style w:type="character" w:customStyle="1" w:styleId="9">
    <w:name w:val="页脚 Char"/>
    <w:basedOn w:val="6"/>
    <w:link w:val="2"/>
    <w:semiHidden/>
    <w:uiPriority w:val="99"/>
    <w:rPr>
      <w:sz w:val="18"/>
      <w:szCs w:val="18"/>
    </w:rPr>
  </w:style>
  <w:style w:type="character" w:customStyle="1" w:styleId="10">
    <w:name w:val="页脚 字符"/>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8</Pages>
  <Words>3404</Words>
  <Characters>3634</Characters>
  <Lines>26</Lines>
  <Paragraphs>7</Paragraphs>
  <TotalTime>23</TotalTime>
  <ScaleCrop>false</ScaleCrop>
  <LinksUpToDate>false</LinksUpToDate>
  <CharactersWithSpaces>3684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2022-05-22T09:00:00Z</dcterms:created>
  <dc:creator>Owner</dc:creator>
  <cp:lastModifiedBy>寇俊鹏</cp:lastModifiedBy>
  <dcterms:modified xsi:type="dcterms:W3CDTF">2025-03-24T06:45:41Z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eyJoZGlkIjoiMDY1MWZiMWEyNWMwNTVlZmNmM2QxMTdmNzZkNjNmZmYiLCJ1c2VySWQiOiI3NTk1ODIzMjQifQ==</vt:lpwstr>
  </property>
  <property fmtid="{D5CDD505-2E9C-101B-9397-08002B2CF9AE}" pid="3" name="KSOProductBuildVer">
    <vt:lpwstr>2052-12.1.0.20305</vt:lpwstr>
  </property>
  <property fmtid="{D5CDD505-2E9C-101B-9397-08002B2CF9AE}" pid="4" name="ICV">
    <vt:lpwstr>BAE911B7A52441BA84F9397D9948648E_12</vt:lpwstr>
  </property>
</Properties>
</file>