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2DB81">
      <w:pPr>
        <w:spacing w:line="560" w:lineRule="exact"/>
        <w:jc w:val="center"/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lang w:eastAsia="zh-CN"/>
        </w:rPr>
      </w:pP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lang w:eastAsia="zh-CN"/>
        </w:rPr>
        <w:t>北京市通州区大方居幼</w:t>
      </w:r>
      <w:bookmarkStart w:id="1" w:name="_GoBack"/>
      <w:bookmarkEnd w:id="1"/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lang w:eastAsia="zh-CN"/>
        </w:rPr>
        <w:t>儿园</w:t>
      </w:r>
    </w:p>
    <w:p w14:paraId="7AA36207">
      <w:pPr>
        <w:spacing w:line="560" w:lineRule="exact"/>
        <w:jc w:val="center"/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  <w:t>2022年预算情况说明</w:t>
      </w:r>
    </w:p>
    <w:p w14:paraId="2A4CBE56">
      <w:pPr>
        <w:spacing w:line="560" w:lineRule="exact"/>
        <w:jc w:val="center"/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</w:p>
    <w:p w14:paraId="0AF73FBD">
      <w:pPr>
        <w:widowControl/>
        <w:spacing w:after="240" w:line="560" w:lineRule="exact"/>
        <w:ind w:firstLine="480"/>
        <w:jc w:val="center"/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目    录</w:t>
      </w:r>
    </w:p>
    <w:p w14:paraId="60076CD1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4790105E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47FC85B9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0C7EAA00">
      <w:pPr>
        <w:widowControl/>
        <w:spacing w:after="240" w:line="560" w:lineRule="exact"/>
        <w:ind w:firstLine="1606" w:firstLineChars="500"/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四、2022年度单位“三公”经费财政拨款预算说明</w:t>
      </w:r>
    </w:p>
    <w:p w14:paraId="2662325A">
      <w:pPr>
        <w:widowControl/>
        <w:spacing w:after="240" w:line="560" w:lineRule="exact"/>
        <w:ind w:firstLine="1606" w:firstLineChars="500"/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五、2022年度其他重要事项的情况说明</w:t>
      </w:r>
    </w:p>
    <w:p w14:paraId="70E1E972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3239BC9C">
      <w:pPr>
        <w:spacing w:line="560" w:lineRule="exact"/>
        <w:ind w:firstLine="643" w:firstLineChars="200"/>
        <w:outlineLvl w:val="0"/>
        <w:rPr>
          <w:rFonts w:hint="eastAsia" w:ascii="仿宋_GB2312" w:eastAsia="仿宋_GB2312"/>
          <w:b/>
          <w:sz w:val="32"/>
          <w:szCs w:val="32"/>
        </w:rPr>
      </w:pPr>
    </w:p>
    <w:p w14:paraId="533B6715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14DF9444">
      <w:pPr>
        <w:numPr>
          <w:ilvl w:val="0"/>
          <w:numId w:val="1"/>
        </w:numPr>
        <w:spacing w:line="560" w:lineRule="exact"/>
        <w:ind w:firstLine="55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单位机构设置、主要职责</w:t>
      </w:r>
    </w:p>
    <w:p w14:paraId="6A2716F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Autospacing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zh-CN"/>
        </w:rPr>
        <w:t>机构设置</w:t>
      </w:r>
    </w:p>
    <w:p w14:paraId="077A8D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Autospacing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zh-CN"/>
        </w:rPr>
        <w:t>内设保教处、办公室、总务处、保健室。</w:t>
      </w:r>
    </w:p>
    <w:p w14:paraId="145D3C8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Autospacing="0" w:line="5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zh-CN"/>
        </w:rPr>
        <w:t>主要职责</w:t>
      </w:r>
    </w:p>
    <w:p w14:paraId="678FEEB3">
      <w:pPr>
        <w:spacing w:line="560" w:lineRule="exact"/>
        <w:ind w:firstLine="555"/>
        <w:rPr>
          <w:rFonts w:hint="eastAsia" w:ascii="仿宋_GB2312" w:hAnsi="Calibri" w:eastAsia="仿宋_GB2312"/>
          <w:sz w:val="32"/>
          <w:szCs w:val="32"/>
          <w:lang w:val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Calibri" w:eastAsia="仿宋_GB2312"/>
          <w:sz w:val="32"/>
          <w:szCs w:val="32"/>
          <w:lang w:val="zh-CN"/>
        </w:rPr>
        <w:t>全面贯彻执行国家有关幼儿教育的方针、政策。</w:t>
      </w:r>
    </w:p>
    <w:p w14:paraId="6B38BA03">
      <w:pPr>
        <w:spacing w:line="560" w:lineRule="exact"/>
        <w:ind w:firstLine="555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Calibri" w:eastAsia="仿宋_GB2312"/>
          <w:sz w:val="32"/>
          <w:szCs w:val="32"/>
          <w:lang w:val="zh-CN" w:eastAsia="zh-CN"/>
        </w:rPr>
        <w:t>负责教职工队伍建设和思想政治工作，对教职工开展理</w:t>
      </w:r>
      <w:r>
        <w:rPr>
          <w:rFonts w:hint="eastAsia" w:ascii="仿宋_GB2312" w:hAnsi="Calibri" w:eastAsia="仿宋_GB2312"/>
          <w:sz w:val="32"/>
          <w:szCs w:val="32"/>
          <w:lang w:val="zh-CN"/>
        </w:rPr>
        <w:t>想信念、为人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zh-CN"/>
        </w:rPr>
        <w:t>师表、职业道德教育，不断提高教职工的思想素质。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    </w:t>
      </w:r>
    </w:p>
    <w:p w14:paraId="50A1F661">
      <w:pPr>
        <w:spacing w:line="560" w:lineRule="exact"/>
        <w:ind w:firstLine="555"/>
        <w:rPr>
          <w:rFonts w:hint="eastAsia" w:ascii="仿宋_GB2312" w:hAnsi="Calibri" w:eastAsia="仿宋_GB2312"/>
          <w:sz w:val="32"/>
          <w:szCs w:val="32"/>
          <w:lang w:val="zh-CN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Calibri" w:eastAsia="仿宋_GB2312"/>
          <w:sz w:val="32"/>
          <w:szCs w:val="32"/>
          <w:lang w:val="zh-CN" w:eastAsia="zh-CN"/>
        </w:rPr>
        <w:t>执行学校市、区教育部门各项工作要求。</w:t>
      </w:r>
    </w:p>
    <w:p w14:paraId="0C9173C9">
      <w:pPr>
        <w:spacing w:line="560" w:lineRule="exact"/>
        <w:ind w:firstLine="555"/>
        <w:rPr>
          <w:rFonts w:hint="eastAsia" w:ascii="仿宋_GB2312" w:hAnsi="Calibri" w:eastAsia="仿宋_GB2312"/>
          <w:sz w:val="32"/>
          <w:szCs w:val="32"/>
          <w:lang w:val="zh-CN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Calibri" w:eastAsia="仿宋_GB2312"/>
          <w:sz w:val="32"/>
          <w:szCs w:val="32"/>
          <w:lang w:val="zh-CN" w:eastAsia="zh-CN"/>
        </w:rPr>
        <w:t>建全并落实各项制度。抓好教育、卫生保健、安全保卫工作。</w:t>
      </w:r>
    </w:p>
    <w:p w14:paraId="42574392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（二）人员构成情况</w:t>
      </w:r>
    </w:p>
    <w:p w14:paraId="7695E881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我单位事业编制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79</w:t>
      </w:r>
      <w:r>
        <w:rPr>
          <w:rFonts w:hint="eastAsia" w:ascii="仿宋_GB2312" w:eastAsia="仿宋_GB2312"/>
          <w:sz w:val="32"/>
          <w:szCs w:val="32"/>
          <w:highlight w:val="none"/>
        </w:rPr>
        <w:t>人，实际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79</w:t>
      </w:r>
      <w:r>
        <w:rPr>
          <w:rFonts w:hint="eastAsia" w:ascii="仿宋_GB2312" w:eastAsia="仿宋_GB2312"/>
          <w:sz w:val="32"/>
          <w:szCs w:val="32"/>
          <w:highlight w:val="none"/>
        </w:rPr>
        <w:t>人；聘用人员（包括其他聘用人员--临时工等）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  <w:highlight w:val="none"/>
        </w:rPr>
        <w:t>人。</w:t>
      </w:r>
    </w:p>
    <w:p w14:paraId="7D2A53B8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离退休人员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人，其中：离休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人，退休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人。</w:t>
      </w:r>
    </w:p>
    <w:p w14:paraId="5C41F53C">
      <w:pPr>
        <w:numPr>
          <w:ilvl w:val="0"/>
          <w:numId w:val="1"/>
        </w:numPr>
        <w:spacing w:line="560" w:lineRule="exact"/>
        <w:ind w:left="0" w:leftChars="0" w:firstLine="555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本预算年度的主要工作任务</w:t>
      </w:r>
    </w:p>
    <w:p w14:paraId="679F3745">
      <w:pPr>
        <w:spacing w:line="560" w:lineRule="exact"/>
        <w:ind w:firstLine="555"/>
        <w:rPr>
          <w:rFonts w:hint="eastAsia" w:ascii="仿宋_GB2312" w:hAnsi="Calibri" w:eastAsia="仿宋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1.进一步落实《北京市幼儿园办园质量督导评估办法（试行）》，夯实管理模式，多角度提高办园质量。高站位谋划幼儿园课程框架，理清脉络，完善体系，做好课程建构的顶层设计。培养勇于担当、崇尚示范的新时代、创新型干部队伍。培养立德树人，行为世范的新时代、创新型教职工队伍。</w:t>
      </w:r>
    </w:p>
    <w:p w14:paraId="7E865858">
      <w:pPr>
        <w:spacing w:line="560" w:lineRule="exact"/>
        <w:ind w:firstLine="555"/>
        <w:rPr>
          <w:rFonts w:hint="eastAsia" w:ascii="仿宋_GB2312" w:hAnsi="Calibri" w:eastAsia="仿宋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2.探索支持幼儿倾听、表达能力发展的有效策略，提高提高幼儿语言表达的能力。开展丰富多样的“我们的幼儿园，我们做主”系列教育活动，把幼儿园还给孩子，支持幼儿主动学习。</w:t>
      </w:r>
    </w:p>
    <w:p w14:paraId="08F4E853">
      <w:pPr>
        <w:spacing w:line="560" w:lineRule="exact"/>
        <w:ind w:firstLine="555"/>
        <w:rPr>
          <w:rFonts w:hint="eastAsia" w:ascii="仿宋_GB2312" w:hAnsi="Calibri" w:eastAsia="仿宋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3.深入开展“支持幼儿与主动学习”的课程建设的研究,提高教师的专业能力，支持教师语言、数学等领域的专业发展。夯实保教常规管理工作，提高保教管理工作质量。</w:t>
      </w:r>
    </w:p>
    <w:p w14:paraId="3E761CA0">
      <w:pPr>
        <w:spacing w:line="560" w:lineRule="exact"/>
        <w:ind w:firstLine="555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4.严格落实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《卫生保健常规要求》，夯实卫生保健常规工作。多种策略提高幼儿增长合格率，促进幼儿健康成长。夯实卫生保健管理模式，提高保健医的专业能力。</w:t>
      </w:r>
    </w:p>
    <w:p w14:paraId="2819EADC">
      <w:pPr>
        <w:spacing w:line="560" w:lineRule="exact"/>
        <w:ind w:firstLine="555"/>
        <w:rPr>
          <w:rFonts w:hint="eastAsia" w:ascii="仿宋_GB2312" w:hAnsi="Calibri" w:eastAsia="仿宋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5.夯实巩固平安校园创建成果，促进幼儿园安全规范化管理。多种策略推进后勤的精细化管理，做好幼儿园外立面改造工程的管理工作，提高后勤工作实效性。</w:t>
      </w:r>
    </w:p>
    <w:p w14:paraId="79C83EAA">
      <w:pPr>
        <w:spacing w:line="560" w:lineRule="exact"/>
        <w:ind w:firstLine="555"/>
        <w:rPr>
          <w:rFonts w:hint="eastAsia" w:ascii="仿宋_GB2312" w:hAnsi="Calibri" w:eastAsia="仿宋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6.落地“同心·相悦”的家园共育文化，多策略引领家长在参与幼儿园活动，为支持幼儿园活动奠定基础。</w:t>
      </w:r>
    </w:p>
    <w:p w14:paraId="0030D6D4">
      <w:pPr>
        <w:spacing w:line="560" w:lineRule="exact"/>
        <w:ind w:firstLine="555"/>
        <w:rPr>
          <w:rFonts w:hint="eastAsia" w:ascii="仿宋_GB2312" w:hAnsi="Calibri" w:eastAsia="仿宋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7.以党建工作引领幼儿园工作，推进支部规范化建设。发挥团员的模范带头作用，创新活动形式，走出幼儿园。</w:t>
      </w:r>
    </w:p>
    <w:p w14:paraId="0008DFF0">
      <w:pPr>
        <w:numPr>
          <w:ilvl w:val="0"/>
          <w:numId w:val="0"/>
        </w:numPr>
        <w:spacing w:line="560" w:lineRule="exact"/>
        <w:ind w:left="555" w:leftChars="0"/>
        <w:rPr>
          <w:rFonts w:hint="eastAsia" w:ascii="仿宋_GB2312" w:eastAsia="仿宋_GB2312"/>
          <w:sz w:val="32"/>
          <w:szCs w:val="32"/>
        </w:rPr>
      </w:pPr>
    </w:p>
    <w:p w14:paraId="35547BA3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4DF4992C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2022年收入预算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1402.96</w:t>
      </w:r>
      <w:r>
        <w:rPr>
          <w:rFonts w:hint="eastAsia" w:ascii="仿宋_GB2312" w:eastAsia="仿宋_GB2312"/>
          <w:sz w:val="32"/>
          <w:szCs w:val="32"/>
        </w:rPr>
        <w:t>万元，比2021年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236.35</w:t>
      </w:r>
      <w:r>
        <w:rPr>
          <w:rFonts w:hint="eastAsia" w:ascii="仿宋_GB2312" w:eastAsia="仿宋_GB2312"/>
          <w:sz w:val="32"/>
          <w:szCs w:val="32"/>
        </w:rPr>
        <w:t>万元增加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1166.61</w:t>
      </w:r>
      <w:r>
        <w:rPr>
          <w:rFonts w:hint="eastAsia" w:ascii="仿宋_GB2312" w:eastAsia="仿宋_GB2312"/>
          <w:sz w:val="32"/>
          <w:szCs w:val="32"/>
        </w:rPr>
        <w:t>万元，增长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493.59</w:t>
      </w:r>
      <w:r>
        <w:rPr>
          <w:rFonts w:hint="eastAsia" w:ascii="仿宋_GB2312" w:eastAsia="仿宋_GB2312"/>
          <w:sz w:val="32"/>
          <w:szCs w:val="32"/>
        </w:rPr>
        <w:t>%。其中：财政拨款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1402.96</w:t>
      </w:r>
      <w:r>
        <w:rPr>
          <w:rFonts w:hint="eastAsia" w:ascii="仿宋_GB2312" w:eastAsia="仿宋_GB2312"/>
          <w:sz w:val="32"/>
          <w:szCs w:val="32"/>
        </w:rPr>
        <w:t>万元，比2021年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236.35</w:t>
      </w:r>
      <w:r>
        <w:rPr>
          <w:rFonts w:hint="eastAsia" w:ascii="仿宋_GB2312" w:eastAsia="仿宋_GB2312"/>
          <w:sz w:val="32"/>
          <w:szCs w:val="32"/>
        </w:rPr>
        <w:t>万元增加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1166.61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统筹使用结余资金安排预算0万元，与2021年0万元持平；其他资金0万元，与2021年0万元持平。</w:t>
      </w:r>
    </w:p>
    <w:p w14:paraId="2CACE5D6">
      <w:pPr>
        <w:spacing w:line="560" w:lineRule="exact"/>
        <w:ind w:firstLine="555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02653438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1CDDC691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基本支出预算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1402.96</w:t>
      </w:r>
      <w:r>
        <w:rPr>
          <w:rFonts w:hint="eastAsia" w:ascii="仿宋_GB2312" w:eastAsia="仿宋_GB2312"/>
          <w:sz w:val="32"/>
          <w:szCs w:val="32"/>
        </w:rPr>
        <w:t>万元，占总支出预算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 xml:space="preserve"> %，比2021年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236.35</w:t>
      </w:r>
      <w:r>
        <w:rPr>
          <w:rFonts w:hint="eastAsia" w:ascii="仿宋_GB2312" w:eastAsia="仿宋_GB2312"/>
          <w:sz w:val="32"/>
          <w:szCs w:val="32"/>
        </w:rPr>
        <w:t>万元增加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1166.61</w:t>
      </w:r>
      <w:r>
        <w:rPr>
          <w:rFonts w:hint="eastAsia" w:ascii="仿宋_GB2312" w:eastAsia="仿宋_GB2312"/>
          <w:sz w:val="32"/>
          <w:szCs w:val="32"/>
        </w:rPr>
        <w:t>万元，增长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493.59</w:t>
      </w:r>
      <w:r>
        <w:rPr>
          <w:rFonts w:hint="eastAsia" w:ascii="仿宋_GB2312" w:eastAsia="仿宋_GB2312"/>
          <w:sz w:val="32"/>
          <w:szCs w:val="32"/>
        </w:rPr>
        <w:t>%。主要增加原因为人员经费增加。</w:t>
      </w:r>
    </w:p>
    <w:p w14:paraId="45E38555">
      <w:pPr>
        <w:numPr>
          <w:ilvl w:val="0"/>
          <w:numId w:val="3"/>
        </w:num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项目支出预算0万元，与2021年0万元持平</w:t>
      </w:r>
    </w:p>
    <w:p w14:paraId="7690C8F5">
      <w:pPr>
        <w:spacing w:line="560" w:lineRule="exact"/>
        <w:ind w:firstLine="555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（三）无上缴上级支出</w:t>
      </w:r>
    </w:p>
    <w:p w14:paraId="7983704B">
      <w:pPr>
        <w:spacing w:line="560" w:lineRule="exact"/>
        <w:ind w:firstLine="555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（四）无事业单位经营支出</w:t>
      </w:r>
    </w:p>
    <w:p w14:paraId="2C56C7FF">
      <w:pPr>
        <w:spacing w:line="560" w:lineRule="exact"/>
        <w:ind w:firstLine="555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（五）无对附属单位补助支出</w:t>
      </w:r>
    </w:p>
    <w:p w14:paraId="17D6B99E">
      <w:pPr>
        <w:spacing w:line="56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</w:t>
      </w:r>
      <w:r>
        <w:rPr>
          <w:rFonts w:hint="eastAsia" w:ascii="黑体" w:eastAsia="黑体"/>
          <w:b/>
          <w:sz w:val="32"/>
          <w:szCs w:val="32"/>
        </w:rPr>
        <w:t>单位“三公”经费财政拨款预算说明</w:t>
      </w:r>
    </w:p>
    <w:p w14:paraId="7994E252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的单位范围</w:t>
      </w:r>
    </w:p>
    <w:p w14:paraId="1DA4F51E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本单位因公出国（境）费用、公务接待费、公务用车购置和运行维护费开支单位包括0个所属单位。</w:t>
      </w:r>
    </w:p>
    <w:p w14:paraId="2302EC27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财政拨款情况说明</w:t>
      </w:r>
    </w:p>
    <w:p w14:paraId="082EBE92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财政拨款预算0万元，与2021年0万元持平。其中：</w:t>
      </w:r>
    </w:p>
    <w:p w14:paraId="13006405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1、因公出国（境）费用。2022年预算数0万元，与2021年0万元持平。</w:t>
      </w:r>
    </w:p>
    <w:p w14:paraId="74698783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2、公务接待费。2022年预算0万元，与2021年0万元持平。</w:t>
      </w:r>
    </w:p>
    <w:p w14:paraId="71F8463D">
      <w:pPr>
        <w:spacing w:line="560" w:lineRule="exact"/>
        <w:ind w:firstLine="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公务用车购置和运行维护费。2022年预算数0万元，其中，公务用车购置费2022年预算数0万元，与2021年0万元持平；公务用车运行维护费2022年预算数0万元，与2021年0万元持平，其中：公务用车加油0万元，公务用车维修0万元，公务用车保险0万元，其他0万元，与2021年持平。</w:t>
      </w:r>
    </w:p>
    <w:p w14:paraId="7B298744">
      <w:pPr>
        <w:spacing w:line="560" w:lineRule="exact"/>
        <w:ind w:firstLine="600"/>
        <w:rPr>
          <w:rFonts w:hint="eastAsia" w:ascii="仿宋_GB2312" w:eastAsia="仿宋_GB2312"/>
          <w:sz w:val="32"/>
          <w:szCs w:val="32"/>
        </w:rPr>
      </w:pPr>
    </w:p>
    <w:p w14:paraId="43DDE26A">
      <w:pPr>
        <w:widowControl/>
        <w:spacing w:after="240" w:line="560" w:lineRule="exact"/>
        <w:ind w:firstLine="480"/>
        <w:jc w:val="left"/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五、其他重要事项的情况说明</w:t>
      </w:r>
    </w:p>
    <w:p w14:paraId="4EACB175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（一）机关运行经费情况说明</w:t>
      </w:r>
    </w:p>
    <w:p w14:paraId="0F13C334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</w:t>
      </w:r>
      <w:r>
        <w:rPr>
          <w:rFonts w:ascii="仿宋_GB2312" w:eastAsia="仿宋_GB2312"/>
          <w:sz w:val="32"/>
          <w:szCs w:val="32"/>
        </w:rPr>
        <w:t>机关运行经费。</w:t>
      </w:r>
    </w:p>
    <w:p w14:paraId="43E1E480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（二）项目支出绩效目标及评价结果情况说明</w:t>
      </w:r>
    </w:p>
    <w:p w14:paraId="797E2126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本单位预算</w:t>
      </w:r>
      <w:r>
        <w:rPr>
          <w:rFonts w:ascii="仿宋_GB2312" w:eastAsia="仿宋_GB2312"/>
          <w:sz w:val="32"/>
          <w:szCs w:val="32"/>
        </w:rPr>
        <w:t>批复无项目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641E029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OLE_LINK2"/>
      <w:r>
        <w:rPr>
          <w:rFonts w:hint="eastAsia" w:ascii="仿宋_GB2312" w:eastAsia="仿宋_GB2312"/>
          <w:sz w:val="32"/>
          <w:szCs w:val="32"/>
        </w:rPr>
        <w:t>（三）重点行政事业性收费情况说明</w:t>
      </w:r>
    </w:p>
    <w:bookmarkEnd w:id="0"/>
    <w:p w14:paraId="3D3EA7BB">
      <w:pPr>
        <w:spacing w:line="560" w:lineRule="exact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保育教育费：收费依据市发展改革委、市教委和市财政局《关于规范本市幼儿园收费有关问题的通知》（京发改规〔2012〕4号），收费标准：市级示范园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900</w:t>
      </w:r>
      <w:r>
        <w:rPr>
          <w:rFonts w:hint="eastAsia" w:ascii="仿宋_GB2312" w:eastAsia="仿宋_GB2312"/>
          <w:sz w:val="32"/>
          <w:szCs w:val="32"/>
        </w:rPr>
        <w:t>元/生.月，收入预计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480</w:t>
      </w:r>
      <w:r>
        <w:rPr>
          <w:rFonts w:hint="eastAsia" w:ascii="仿宋_GB2312" w:eastAsia="仿宋_GB2312"/>
          <w:sz w:val="32"/>
          <w:szCs w:val="32"/>
        </w:rPr>
        <w:t>万元，支出已纳入一般预算统筹使用。</w:t>
      </w:r>
    </w:p>
    <w:p w14:paraId="1C383D0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（四）国有资本经营预算财政拨款情况及国有资产占用情况说明</w:t>
      </w:r>
    </w:p>
    <w:p w14:paraId="0B3BDD8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本单位2022年无国有资本经营预算财政拨款安排的预算。</w:t>
      </w:r>
    </w:p>
    <w:p w14:paraId="6A4670E1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截止202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年12月31日，本单位货币资金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294.27</w:t>
      </w:r>
      <w:r>
        <w:rPr>
          <w:rFonts w:hint="eastAsia" w:ascii="仿宋_GB2312" w:eastAsia="仿宋_GB2312"/>
          <w:sz w:val="32"/>
          <w:szCs w:val="32"/>
        </w:rPr>
        <w:t>万元（其中银行存款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294.27</w:t>
      </w:r>
      <w:r>
        <w:rPr>
          <w:rFonts w:hint="eastAsia" w:ascii="仿宋_GB2312" w:eastAsia="仿宋_GB2312"/>
          <w:sz w:val="32"/>
          <w:szCs w:val="32"/>
        </w:rPr>
        <w:t>万元），房屋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万元，车辆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15.17</w:t>
      </w:r>
      <w:r>
        <w:rPr>
          <w:rFonts w:hint="eastAsia" w:ascii="仿宋_GB2312" w:eastAsia="仿宋_GB2312"/>
          <w:sz w:val="32"/>
          <w:szCs w:val="32"/>
        </w:rPr>
        <w:t>万元，在建工程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万元。</w:t>
      </w:r>
    </w:p>
    <w:p w14:paraId="6E143BE1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截至2021年12月31日，本单位共有车辆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辆。</w:t>
      </w:r>
    </w:p>
    <w:p w14:paraId="6D61D0E2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（五）政府采购预算财政拨款情况说明</w:t>
      </w:r>
    </w:p>
    <w:p w14:paraId="049113B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本单位2022年无政府采购预算财政拨款安排的预算。</w:t>
      </w:r>
    </w:p>
    <w:p w14:paraId="626FE260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（六）政府购买服务预算财政拨款情况说明</w:t>
      </w:r>
    </w:p>
    <w:p w14:paraId="4A7CC160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本单位2022年无政府购买服务预算财政拨款安排的预算。</w:t>
      </w:r>
    </w:p>
    <w:p w14:paraId="20751569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（七）名词解释</w:t>
      </w:r>
    </w:p>
    <w:p w14:paraId="268E109A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:遵循统筹兼顾、勤俭节约、量力而行、讲求绩效和收支平衡的原则编制,经法定程序审核批准的国家年度集中性财政收支计划。政府的全部收入和支出都应当纳入预算。地方各级政府财政单位具体编制本级预算草案,各单位编制本单位预算草案。</w:t>
      </w:r>
    </w:p>
    <w:p w14:paraId="1B4C0685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一般公共预算：是对以税收为主体的财政收入，安排用于保障和改善民生、推动经济社会发展、维护国家安全、维持国家机构正常运转等方面的收支预算。</w:t>
      </w:r>
    </w:p>
    <w:p w14:paraId="38AB4ED5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性基金预算：是对依照法律、行政法规的规定在一定期限内向特定对象征收、收取或者以其他方式筹集的资金，专项用于特定公共事业发展的收支预算。政府性基金预算应当根据基金收入情况和实际支出需要，按基金项目编制，做到以收定支。</w:t>
      </w:r>
    </w:p>
    <w:p w14:paraId="0BF223CA">
      <w:pPr>
        <w:spacing w:line="560" w:lineRule="exact"/>
        <w:ind w:firstLine="555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国有资本经营预算：是对国有资本收益作出支出安排的收支预算。国有资本经营预算应当按照收支平衡的原则编制，不列赤字，并安排资金调入一般公共预算。</w:t>
      </w:r>
    </w:p>
    <w:p w14:paraId="599632FB">
      <w:pPr>
        <w:spacing w:line="560" w:lineRule="exact"/>
        <w:ind w:firstLine="555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三公”经费:因公出国(境)费、公务用车购置及运行维护费和公务接待费。其中,因公出国(境)费反映单位公务出国(境)的国际旅费、国外城市间交通费、住宿费、伙食费、培训费、公杂费等支出;公务用车购置及运行维护费反映单位公务用车购置费及燃料费、维修费、过路过桥费、保险费、安全奖励费用等支出;公务接待费反映单位按规定开支的各类公务接待(含外宾接待)费用。</w:t>
      </w:r>
    </w:p>
    <w:p w14:paraId="03B6A2CD">
      <w:pPr>
        <w:spacing w:line="560" w:lineRule="exact"/>
        <w:ind w:firstLine="555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机关运行经费:是指行政单位(含参照公务员法管理事业单位)使用一般公共预算财政拨款安排的基本支出中的日常公用经费支出,包括办公及印刷费、邮电费、差旅费、会议费、福利费、维修(护)费、专用材料费、办公用房水电费、办公用房取暖费、办公用房物业管理费、公务用车运行维护费以及其他费用。</w:t>
      </w:r>
    </w:p>
    <w:p w14:paraId="54B90E74">
      <w:pPr>
        <w:spacing w:line="560" w:lineRule="exact"/>
        <w:ind w:firstLine="555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事前绩效评估：指在预算编制时，财政单位根据单位战略规划、事业发展规划、项目申报理由等内容，通过委托第三方的方式，运用科学、合理的评估方法，对项目实施必要性、可行性、绩效目标设置的科学性、财政支持的方式、项目预算的合理性等方面进行客观、公正的评估。</w:t>
      </w:r>
    </w:p>
    <w:p w14:paraId="3F4CBE7C">
      <w:pPr>
        <w:spacing w:line="560" w:lineRule="exact"/>
        <w:ind w:firstLine="555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：指财政单位和预算单位（单位）根据设定的绩效目标，运用科学、合理的绩效评价指标、评价标准和评价方法，对财政支出的经济性、效率性和效益性进行客观、公正的评价。其中，绩效目标的设立是开展绩效评价的前提和基础，绩效评价指标是绩效评价的工具和手段，财政支出的经济性、效率性和效益性是绩效评价的主要内容。</w:t>
      </w:r>
    </w:p>
    <w:p w14:paraId="439F6A68">
      <w:pPr>
        <w:spacing w:line="560" w:lineRule="exact"/>
        <w:ind w:firstLine="555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政府采购:各级国家机关、事业单位和团体组织,使用财政性资金采购依法制定的集中采购目录以内的,或者采购限额标准以上的货物、工程和服务的行为,是规范财政支出管理和强化预算约束的有效措施。</w:t>
      </w:r>
    </w:p>
    <w:p w14:paraId="01993739">
      <w:pPr>
        <w:spacing w:line="560" w:lineRule="exact"/>
        <w:ind w:firstLine="555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政府购买服务:通过发挥市场机制作用,把政府直接提供的一部分公共服务事项以及政府履职所需服务事项,按照一定的方式和程序,交由具备条件的社会力量和事业单位承担,并由政府根据合同约定向其支付费用。</w:t>
      </w:r>
    </w:p>
    <w:p w14:paraId="1E639185">
      <w:pPr>
        <w:spacing w:line="560" w:lineRule="exact"/>
        <w:ind w:firstLine="555"/>
        <w:outlineLvl w:val="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监督：指财政单位在财政分配过程中，对国家机关、企事业单位、社会团体和其他组织或个人涉及财政收支、财务收支、国有权益以及其他有关财政管理事项进行监督，对其合法性进行监控、检查、稽核、督促和反映。</w:t>
      </w:r>
    </w:p>
    <w:p w14:paraId="3A65AC44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2ADAA775">
      <w:pPr>
        <w:pStyle w:val="5"/>
        <w:spacing w:before="0" w:beforeAutospacing="0" w:line="56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详见2022年度单位预算公开报表模板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1D6CB"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 w14:paraId="7C14230F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142B2"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4172661B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4D5DF9"/>
    <w:multiLevelType w:val="singleLevel"/>
    <w:tmpl w:val="BA4D5D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6F826B8"/>
    <w:multiLevelType w:val="singleLevel"/>
    <w:tmpl w:val="C6F826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D628701"/>
    <w:multiLevelType w:val="singleLevel"/>
    <w:tmpl w:val="2D62870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0MmRlYzU4ODMwYjY3Yzk2YmUzMTBjNzVkMDc5ZGIifQ=="/>
  </w:docVars>
  <w:rsids>
    <w:rsidRoot w:val="00F420F6"/>
    <w:rsid w:val="00001878"/>
    <w:rsid w:val="000036E0"/>
    <w:rsid w:val="0002375B"/>
    <w:rsid w:val="00023E35"/>
    <w:rsid w:val="00026055"/>
    <w:rsid w:val="00027115"/>
    <w:rsid w:val="0005655B"/>
    <w:rsid w:val="00057FE5"/>
    <w:rsid w:val="00077216"/>
    <w:rsid w:val="0009135C"/>
    <w:rsid w:val="00093039"/>
    <w:rsid w:val="000A01CB"/>
    <w:rsid w:val="000A7B9C"/>
    <w:rsid w:val="000B3336"/>
    <w:rsid w:val="000B4954"/>
    <w:rsid w:val="000B572C"/>
    <w:rsid w:val="000C7E53"/>
    <w:rsid w:val="000D5403"/>
    <w:rsid w:val="000D5CB6"/>
    <w:rsid w:val="000F4F26"/>
    <w:rsid w:val="00114017"/>
    <w:rsid w:val="00116EC9"/>
    <w:rsid w:val="00127853"/>
    <w:rsid w:val="001304FA"/>
    <w:rsid w:val="00137CD9"/>
    <w:rsid w:val="0015536F"/>
    <w:rsid w:val="00183C8F"/>
    <w:rsid w:val="001A3A3C"/>
    <w:rsid w:val="001D0C7F"/>
    <w:rsid w:val="001D5BF2"/>
    <w:rsid w:val="001E08D3"/>
    <w:rsid w:val="001E39C7"/>
    <w:rsid w:val="00204BCF"/>
    <w:rsid w:val="00204D7E"/>
    <w:rsid w:val="002134C7"/>
    <w:rsid w:val="002256D5"/>
    <w:rsid w:val="00235817"/>
    <w:rsid w:val="00244581"/>
    <w:rsid w:val="002606EC"/>
    <w:rsid w:val="00284B17"/>
    <w:rsid w:val="002B23DC"/>
    <w:rsid w:val="002C00DC"/>
    <w:rsid w:val="002D000D"/>
    <w:rsid w:val="002D63AB"/>
    <w:rsid w:val="002E0218"/>
    <w:rsid w:val="00310954"/>
    <w:rsid w:val="003213C0"/>
    <w:rsid w:val="0035033F"/>
    <w:rsid w:val="00353E2F"/>
    <w:rsid w:val="003730A0"/>
    <w:rsid w:val="00375983"/>
    <w:rsid w:val="0038347B"/>
    <w:rsid w:val="00391AB7"/>
    <w:rsid w:val="003A263D"/>
    <w:rsid w:val="003A48F8"/>
    <w:rsid w:val="003A6C1C"/>
    <w:rsid w:val="003D3F88"/>
    <w:rsid w:val="003D4D02"/>
    <w:rsid w:val="003E5F0F"/>
    <w:rsid w:val="00410301"/>
    <w:rsid w:val="0045050E"/>
    <w:rsid w:val="00456D39"/>
    <w:rsid w:val="004572B0"/>
    <w:rsid w:val="004720C9"/>
    <w:rsid w:val="00486D33"/>
    <w:rsid w:val="00487613"/>
    <w:rsid w:val="004A1E47"/>
    <w:rsid w:val="004C0494"/>
    <w:rsid w:val="004C55EE"/>
    <w:rsid w:val="004D1692"/>
    <w:rsid w:val="004D447F"/>
    <w:rsid w:val="004E5BDF"/>
    <w:rsid w:val="00531453"/>
    <w:rsid w:val="00546229"/>
    <w:rsid w:val="00555C0E"/>
    <w:rsid w:val="0056026D"/>
    <w:rsid w:val="00562B6C"/>
    <w:rsid w:val="00565F70"/>
    <w:rsid w:val="00567A37"/>
    <w:rsid w:val="00595540"/>
    <w:rsid w:val="005A239F"/>
    <w:rsid w:val="005D417E"/>
    <w:rsid w:val="005E6868"/>
    <w:rsid w:val="00611E10"/>
    <w:rsid w:val="00636822"/>
    <w:rsid w:val="00675753"/>
    <w:rsid w:val="00675A84"/>
    <w:rsid w:val="006846A5"/>
    <w:rsid w:val="006A335C"/>
    <w:rsid w:val="006B17D3"/>
    <w:rsid w:val="006E0260"/>
    <w:rsid w:val="006E12B1"/>
    <w:rsid w:val="006F7921"/>
    <w:rsid w:val="00713B2E"/>
    <w:rsid w:val="0071609C"/>
    <w:rsid w:val="00735182"/>
    <w:rsid w:val="0076274C"/>
    <w:rsid w:val="007945FE"/>
    <w:rsid w:val="00794CBF"/>
    <w:rsid w:val="00797C6B"/>
    <w:rsid w:val="007C6442"/>
    <w:rsid w:val="007F5956"/>
    <w:rsid w:val="008176EC"/>
    <w:rsid w:val="00832A74"/>
    <w:rsid w:val="008502AB"/>
    <w:rsid w:val="00866C57"/>
    <w:rsid w:val="00872718"/>
    <w:rsid w:val="00881E59"/>
    <w:rsid w:val="008D1B71"/>
    <w:rsid w:val="008D4141"/>
    <w:rsid w:val="008F39D7"/>
    <w:rsid w:val="008F3F22"/>
    <w:rsid w:val="009229FF"/>
    <w:rsid w:val="00926FED"/>
    <w:rsid w:val="00927113"/>
    <w:rsid w:val="00931B9E"/>
    <w:rsid w:val="00941257"/>
    <w:rsid w:val="009653D0"/>
    <w:rsid w:val="00966DC1"/>
    <w:rsid w:val="0097255D"/>
    <w:rsid w:val="009729DB"/>
    <w:rsid w:val="009761BA"/>
    <w:rsid w:val="009777FF"/>
    <w:rsid w:val="00983FE7"/>
    <w:rsid w:val="00984869"/>
    <w:rsid w:val="00985A5D"/>
    <w:rsid w:val="009967F2"/>
    <w:rsid w:val="009B51C1"/>
    <w:rsid w:val="009C633E"/>
    <w:rsid w:val="009D308E"/>
    <w:rsid w:val="00A041B5"/>
    <w:rsid w:val="00A14D62"/>
    <w:rsid w:val="00A46783"/>
    <w:rsid w:val="00A50636"/>
    <w:rsid w:val="00A6117C"/>
    <w:rsid w:val="00A63760"/>
    <w:rsid w:val="00A83879"/>
    <w:rsid w:val="00A91DB2"/>
    <w:rsid w:val="00A92243"/>
    <w:rsid w:val="00AA1995"/>
    <w:rsid w:val="00AB01D3"/>
    <w:rsid w:val="00AB0533"/>
    <w:rsid w:val="00AB78E5"/>
    <w:rsid w:val="00AE2744"/>
    <w:rsid w:val="00AE28A6"/>
    <w:rsid w:val="00AE762F"/>
    <w:rsid w:val="00AF2AA1"/>
    <w:rsid w:val="00B11207"/>
    <w:rsid w:val="00B24B4C"/>
    <w:rsid w:val="00B25F97"/>
    <w:rsid w:val="00B52DC0"/>
    <w:rsid w:val="00B73A71"/>
    <w:rsid w:val="00B84751"/>
    <w:rsid w:val="00BD72E4"/>
    <w:rsid w:val="00BE52BB"/>
    <w:rsid w:val="00BF3EE8"/>
    <w:rsid w:val="00C01452"/>
    <w:rsid w:val="00C41D9F"/>
    <w:rsid w:val="00C52BC8"/>
    <w:rsid w:val="00C5314B"/>
    <w:rsid w:val="00C5407C"/>
    <w:rsid w:val="00C72B4C"/>
    <w:rsid w:val="00C77772"/>
    <w:rsid w:val="00C86F4F"/>
    <w:rsid w:val="00C95E2C"/>
    <w:rsid w:val="00CC1030"/>
    <w:rsid w:val="00CC19B8"/>
    <w:rsid w:val="00CC423C"/>
    <w:rsid w:val="00CD7167"/>
    <w:rsid w:val="00CE7472"/>
    <w:rsid w:val="00D05EA0"/>
    <w:rsid w:val="00D122AE"/>
    <w:rsid w:val="00D238DC"/>
    <w:rsid w:val="00D258CA"/>
    <w:rsid w:val="00D33767"/>
    <w:rsid w:val="00D5191D"/>
    <w:rsid w:val="00DB0E4F"/>
    <w:rsid w:val="00DB2D0C"/>
    <w:rsid w:val="00DC2755"/>
    <w:rsid w:val="00DE2860"/>
    <w:rsid w:val="00DE307F"/>
    <w:rsid w:val="00DF2602"/>
    <w:rsid w:val="00DF5741"/>
    <w:rsid w:val="00E114B9"/>
    <w:rsid w:val="00E13933"/>
    <w:rsid w:val="00E16A12"/>
    <w:rsid w:val="00E3081C"/>
    <w:rsid w:val="00E43758"/>
    <w:rsid w:val="00E43ADC"/>
    <w:rsid w:val="00E84DFC"/>
    <w:rsid w:val="00E85514"/>
    <w:rsid w:val="00E92402"/>
    <w:rsid w:val="00EB5D21"/>
    <w:rsid w:val="00EF07C1"/>
    <w:rsid w:val="00F20D7C"/>
    <w:rsid w:val="00F22572"/>
    <w:rsid w:val="00F420F6"/>
    <w:rsid w:val="00F57AC7"/>
    <w:rsid w:val="00F57CF2"/>
    <w:rsid w:val="00F66D28"/>
    <w:rsid w:val="00F960BF"/>
    <w:rsid w:val="00FA5F24"/>
    <w:rsid w:val="00FB3502"/>
    <w:rsid w:val="00FD526C"/>
    <w:rsid w:val="00FE5A9E"/>
    <w:rsid w:val="00FF033A"/>
    <w:rsid w:val="04315F3B"/>
    <w:rsid w:val="052B4EE8"/>
    <w:rsid w:val="05626568"/>
    <w:rsid w:val="06BF5EF3"/>
    <w:rsid w:val="0BC04A93"/>
    <w:rsid w:val="0FE342F9"/>
    <w:rsid w:val="17C43107"/>
    <w:rsid w:val="1F641E1D"/>
    <w:rsid w:val="26AF75A8"/>
    <w:rsid w:val="28394D05"/>
    <w:rsid w:val="287C6C14"/>
    <w:rsid w:val="2F4F2085"/>
    <w:rsid w:val="3A371265"/>
    <w:rsid w:val="40C314C1"/>
    <w:rsid w:val="4D9B297B"/>
    <w:rsid w:val="51F1310D"/>
    <w:rsid w:val="529E33DA"/>
    <w:rsid w:val="52C1432B"/>
    <w:rsid w:val="56F1653F"/>
    <w:rsid w:val="5AE458B6"/>
    <w:rsid w:val="5D6D1C91"/>
    <w:rsid w:val="6627350D"/>
    <w:rsid w:val="679C58A2"/>
    <w:rsid w:val="74910B14"/>
    <w:rsid w:val="785301C9"/>
    <w:rsid w:val="7EEF9A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</w:style>
  <w:style w:type="character" w:customStyle="1" w:styleId="10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123</Company>
  <Pages>8</Pages>
  <Words>3054</Words>
  <Characters>3270</Characters>
  <Lines>24</Lines>
  <Paragraphs>6</Paragraphs>
  <TotalTime>46</TotalTime>
  <ScaleCrop>false</ScaleCrop>
  <LinksUpToDate>false</LinksUpToDate>
  <CharactersWithSpaces>3281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2018-12-29T08:02:00Z</dcterms:created>
  <dc:creator>唐立新</dc:creator>
  <cp:lastModifiedBy>寇俊鹏</cp:lastModifiedBy>
  <cp:lastPrinted>2021-12-23T08:40:00Z</cp:lastPrinted>
  <dcterms:modified xsi:type="dcterms:W3CDTF">2025-03-24T07:04:16Z</dcterms:modified>
  <dc:title>×××××2016年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3CAB7B26AEB44B7C8220CC32539760F2</vt:lpwstr>
  </property>
  <property fmtid="{D5CDD505-2E9C-101B-9397-08002B2CF9AE}" pid="4" name="KSOTemplateDocerSaveRecord">
    <vt:lpwstr>eyJoZGlkIjoiMDY1MWZiMWEyNWMwNTVlZmNmM2QxMTdmNzZkNjNmZmYiLCJ1c2VySWQiOiI3NTk1ODIzMjQifQ==</vt:lpwstr>
  </property>
</Properties>
</file>