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34908">
      <w:pPr>
        <w:spacing w:line="560" w:lineRule="exact"/>
        <w:jc w:val="center"/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lang w:eastAsia="zh-CN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lang w:eastAsia="zh-CN"/>
        </w:rPr>
        <w:t>北京市通州区台湖成人文化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lang w:eastAsia="zh-CN"/>
        </w:rPr>
        <w:t>技术学校</w:t>
      </w:r>
    </w:p>
    <w:p w14:paraId="088A2E88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2022年预算情况说明</w:t>
      </w:r>
    </w:p>
    <w:p w14:paraId="31337052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</w:p>
    <w:p w14:paraId="43CF5984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目    录</w:t>
      </w:r>
    </w:p>
    <w:p w14:paraId="70864FBA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753255CE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7EA7440D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39991556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四、2022年度单位“三公”经费财政拨款预算说明</w:t>
      </w:r>
    </w:p>
    <w:p w14:paraId="7682FD71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五、2022年度其他重要事项的情况说明</w:t>
      </w:r>
    </w:p>
    <w:p w14:paraId="72104F6B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0D72F5E1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</w:p>
    <w:p w14:paraId="3C769C6C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63DD6A2B">
      <w:pPr>
        <w:numPr>
          <w:ilvl w:val="0"/>
          <w:numId w:val="1"/>
        </w:num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单位机构设置、主要职责</w:t>
      </w:r>
    </w:p>
    <w:p w14:paraId="0678CE61">
      <w:pPr>
        <w:spacing w:line="560" w:lineRule="exact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1.单位机构设置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：办公室</w:t>
      </w:r>
    </w:p>
    <w:p w14:paraId="44E1C145">
      <w:pPr>
        <w:spacing w:line="560" w:lineRule="exact"/>
        <w:ind w:firstLine="960" w:firstLineChars="3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2.单位主要职责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:</w:t>
      </w:r>
    </w:p>
    <w:p w14:paraId="1C123E14">
      <w:pPr>
        <w:spacing w:line="560" w:lineRule="exact"/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(1)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根</w:t>
      </w:r>
      <w:r>
        <w:rPr>
          <w:rFonts w:hint="eastAsia" w:ascii="仿宋_GB2312" w:eastAsia="仿宋_GB2312"/>
          <w:sz w:val="32"/>
          <w:szCs w:val="32"/>
          <w:lang w:eastAsia="zh-CN"/>
        </w:rPr>
        <w:t>据乡镇经济社会发展的需要，因地制宜对辖区群众开展各类型的实用技术、科技推广、职业技能、产品营销和经营管理培训；</w:t>
      </w:r>
    </w:p>
    <w:p w14:paraId="4D9893E9">
      <w:pPr>
        <w:spacing w:line="560" w:lineRule="exact"/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(2)</w:t>
      </w:r>
      <w:r>
        <w:rPr>
          <w:rFonts w:hint="eastAsia" w:ascii="仿宋_GB2312" w:eastAsia="仿宋_GB2312"/>
          <w:sz w:val="32"/>
          <w:szCs w:val="32"/>
          <w:lang w:eastAsia="zh-CN"/>
        </w:rPr>
        <w:t>开展时事政策教育、民主发展教育、卫生和健康教育、人口教育、老年教育、环境保护教育、文明生活教育等教育培训活动，为郊区现代化建设提供人才智力支持和服务；</w:t>
      </w:r>
    </w:p>
    <w:p w14:paraId="0BB8808E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(3)</w:t>
      </w:r>
      <w:r>
        <w:rPr>
          <w:rFonts w:hint="eastAsia" w:ascii="仿宋_GB2312" w:eastAsia="仿宋_GB2312"/>
          <w:sz w:val="32"/>
          <w:szCs w:val="32"/>
          <w:lang w:eastAsia="zh-CN"/>
        </w:rPr>
        <w:t>按照区教委、区成教中心和乡镇党委、政府的要求，开展其它培训活动。</w:t>
      </w:r>
    </w:p>
    <w:p w14:paraId="6CBFCB8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（二）人员构成情况</w:t>
      </w:r>
    </w:p>
    <w:p w14:paraId="040C0EB0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我单位事业编制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人，实际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人；聘用人员（包括其他聘用人员--临时工等）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人。</w:t>
      </w:r>
    </w:p>
    <w:p w14:paraId="44249E9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离退休人员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人，其中：离休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人，退休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人。</w:t>
      </w:r>
    </w:p>
    <w:p w14:paraId="79AF12D9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（三）本预算年度的主要工作任务</w:t>
      </w:r>
    </w:p>
    <w:p w14:paraId="33D57867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1.加强学习，提高教师队伍素质，依法治教；</w:t>
      </w:r>
    </w:p>
    <w:p w14:paraId="014B4568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2.进一步完善和健全各项制度和学校日常管理；</w:t>
      </w:r>
    </w:p>
    <w:p w14:paraId="367BC5D6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3.维持学校正常办学的必要开支；</w:t>
      </w:r>
    </w:p>
    <w:p w14:paraId="1AA5BC07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4.开展书画，茶艺，舞蹈等艺术培训；</w:t>
      </w:r>
    </w:p>
    <w:p w14:paraId="77ED0AC9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5.做好成人教育各项工作的材料和归档工作。</w:t>
      </w:r>
    </w:p>
    <w:p w14:paraId="124EFDA2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30C7A41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2022年收入预算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56.17</w:t>
      </w:r>
      <w:r>
        <w:rPr>
          <w:rFonts w:hint="eastAsia" w:ascii="仿宋_GB2312" w:eastAsia="仿宋_GB2312"/>
          <w:sz w:val="32"/>
          <w:szCs w:val="32"/>
          <w:highlight w:val="none"/>
        </w:rPr>
        <w:t>万元，比2021年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8.09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48.08</w:t>
      </w:r>
      <w:r>
        <w:rPr>
          <w:rFonts w:hint="eastAsia" w:ascii="仿宋_GB2312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594.31</w:t>
      </w:r>
      <w:r>
        <w:rPr>
          <w:rFonts w:hint="eastAsia" w:ascii="仿宋_GB2312" w:eastAsia="仿宋_GB2312"/>
          <w:sz w:val="32"/>
          <w:szCs w:val="32"/>
          <w:highlight w:val="none"/>
        </w:rPr>
        <w:t>%。其中：财政拨款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56.17</w:t>
      </w:r>
      <w:r>
        <w:rPr>
          <w:rFonts w:hint="eastAsia" w:ascii="仿宋_GB2312" w:eastAsia="仿宋_GB2312"/>
          <w:sz w:val="32"/>
          <w:szCs w:val="32"/>
          <w:highlight w:val="none"/>
        </w:rPr>
        <w:t>万元，比2021年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8.09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48.08</w:t>
      </w:r>
      <w:r>
        <w:rPr>
          <w:rFonts w:hint="eastAsia" w:ascii="仿宋_GB2312" w:eastAsia="仿宋_GB2312"/>
          <w:sz w:val="32"/>
          <w:szCs w:val="32"/>
          <w:highlight w:val="none"/>
        </w:rPr>
        <w:t>万元；统</w:t>
      </w:r>
      <w:r>
        <w:rPr>
          <w:rFonts w:hint="eastAsia" w:ascii="仿宋_GB2312" w:eastAsia="仿宋_GB2312"/>
          <w:sz w:val="32"/>
          <w:szCs w:val="32"/>
        </w:rPr>
        <w:t>筹使用结余资金安排预算0万元，与2021年0万元持平；其他资金0万元，与2021年0万元持平。</w:t>
      </w:r>
    </w:p>
    <w:p w14:paraId="29087D53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42774B9D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（一）基本支出预算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56.17</w:t>
      </w:r>
      <w:r>
        <w:rPr>
          <w:rFonts w:hint="eastAsia" w:ascii="仿宋_GB2312" w:eastAsia="仿宋_GB2312"/>
          <w:sz w:val="32"/>
          <w:szCs w:val="32"/>
          <w:highlight w:val="none"/>
        </w:rPr>
        <w:t>万元，占总支出预算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%，比2021年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8.09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48.08</w:t>
      </w:r>
      <w:r>
        <w:rPr>
          <w:rFonts w:hint="eastAsia" w:ascii="仿宋_GB2312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594.31</w:t>
      </w:r>
      <w:r>
        <w:rPr>
          <w:rFonts w:hint="eastAsia" w:ascii="仿宋_GB2312" w:eastAsia="仿宋_GB2312"/>
          <w:sz w:val="32"/>
          <w:szCs w:val="32"/>
          <w:highlight w:val="none"/>
        </w:rPr>
        <w:t>%，</w:t>
      </w:r>
      <w:r>
        <w:rPr>
          <w:rFonts w:hint="eastAsia" w:ascii="仿宋_GB2312" w:eastAsia="仿宋_GB2312"/>
          <w:sz w:val="32"/>
          <w:szCs w:val="32"/>
        </w:rPr>
        <w:t>主要增加原因为人员经费增加。</w:t>
      </w:r>
    </w:p>
    <w:p w14:paraId="5BDCDD98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（二）无项目支出预算0万元，与2021年0万元持平</w:t>
      </w:r>
    </w:p>
    <w:p w14:paraId="0CB2EBE2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（三）无上缴上级支出</w:t>
      </w:r>
    </w:p>
    <w:p w14:paraId="491CFBDF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（四）无事业单位经营支出</w:t>
      </w:r>
    </w:p>
    <w:p w14:paraId="7CBB7962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（五）无对附属单位补助支出</w:t>
      </w:r>
    </w:p>
    <w:p w14:paraId="09D7ACCA">
      <w:pPr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</w:t>
      </w:r>
      <w:r>
        <w:rPr>
          <w:rFonts w:hint="eastAsia" w:ascii="黑体" w:eastAsia="黑体"/>
          <w:b/>
          <w:sz w:val="32"/>
          <w:szCs w:val="32"/>
        </w:rPr>
        <w:t>单位“三公”经费财政拨款预算说明</w:t>
      </w:r>
    </w:p>
    <w:p w14:paraId="4D1B5BEF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的单位范围</w:t>
      </w:r>
    </w:p>
    <w:p w14:paraId="14ECDB4E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本单位因公出国（境）费用、公务接待费、公务用车购置和运行维护费开支单位包括0个所属单位。</w:t>
      </w:r>
    </w:p>
    <w:p w14:paraId="045AB682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财政拨款情况说明</w:t>
      </w:r>
    </w:p>
    <w:p w14:paraId="20603FFC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财政拨款预算0万元，与2021年0万元持平。其中：</w:t>
      </w:r>
    </w:p>
    <w:p w14:paraId="285B04E2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1、因公出国（境）费用。2022年预算数0万元，与2021年0万元持平。</w:t>
      </w:r>
    </w:p>
    <w:p w14:paraId="50E99ED6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2、公务接待费。2022年预算0万元，与2021年0万元持平。</w:t>
      </w:r>
    </w:p>
    <w:p w14:paraId="4D6021B8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26D5469A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五、其他重要事项的情况说明</w:t>
      </w:r>
    </w:p>
    <w:p w14:paraId="4D2EC20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（一）机关运行经费情况说明</w:t>
      </w:r>
    </w:p>
    <w:p w14:paraId="28A9D51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ascii="仿宋_GB2312" w:eastAsia="仿宋_GB2312"/>
          <w:sz w:val="32"/>
          <w:szCs w:val="32"/>
        </w:rPr>
        <w:t>机关运行经费。</w:t>
      </w:r>
    </w:p>
    <w:p w14:paraId="3957837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（二）项目支出绩效目标及评价结果情况说明</w:t>
      </w:r>
    </w:p>
    <w:p w14:paraId="1285D62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本单位预算</w:t>
      </w:r>
      <w:r>
        <w:rPr>
          <w:rFonts w:ascii="仿宋_GB2312" w:eastAsia="仿宋_GB2312"/>
          <w:sz w:val="32"/>
          <w:szCs w:val="32"/>
        </w:rPr>
        <w:t>批复无项目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8DDECA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OLE_LINK2"/>
      <w:r>
        <w:rPr>
          <w:rFonts w:hint="eastAsia" w:ascii="仿宋_GB2312" w:eastAsia="仿宋_GB2312"/>
          <w:sz w:val="32"/>
          <w:szCs w:val="32"/>
        </w:rPr>
        <w:t>（三）重点行政事业性收费情况说明</w:t>
      </w:r>
    </w:p>
    <w:bookmarkEnd w:id="0"/>
    <w:p w14:paraId="6F7F729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本单位2022年无重点行政事业性收费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20D4007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（四）国有资本经营预算财政拨款情况及国有资产占用情况说明</w:t>
      </w:r>
    </w:p>
    <w:p w14:paraId="53C38EE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本单位2022年无国有资本经营预算财政拨款安排的预算。</w:t>
      </w:r>
    </w:p>
    <w:p w14:paraId="1B873C0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截止202</w:t>
      </w:r>
      <w:r>
        <w:rPr>
          <w:rFonts w:ascii="仿宋_GB2312" w:eastAsia="仿宋_GB2312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年12月31日，本单位货币资金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123.27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万元（其中银行存款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123.27</w:t>
      </w:r>
      <w:r>
        <w:rPr>
          <w:rFonts w:hint="eastAsia" w:ascii="仿宋_GB2312" w:eastAsia="仿宋_GB2312"/>
          <w:sz w:val="32"/>
          <w:szCs w:val="32"/>
          <w:highlight w:val="none"/>
        </w:rPr>
        <w:t>万元），房屋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万元，车辆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  <w:highlight w:val="none"/>
        </w:rPr>
        <w:t>万元，在建工程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万元。</w:t>
      </w:r>
    </w:p>
    <w:p w14:paraId="2724C75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截至2021年12月31日，本单位共有车辆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辆。</w:t>
      </w:r>
    </w:p>
    <w:p w14:paraId="43D1A73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（五）政府采购预算财政拨款情况说明</w:t>
      </w:r>
    </w:p>
    <w:p w14:paraId="3A70F71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本单位2022年无政府采购预算财政拨款安排的预算。</w:t>
      </w:r>
    </w:p>
    <w:p w14:paraId="3EA6456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（六）政府购买服务预算财政拨款情况说明</w:t>
      </w:r>
    </w:p>
    <w:p w14:paraId="33758D2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本单位2022年无政府购买服务预算财政拨款安排的预算。</w:t>
      </w:r>
    </w:p>
    <w:p w14:paraId="7DD28D8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（七）名词解释</w:t>
      </w:r>
    </w:p>
    <w:p w14:paraId="5E0E08C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7BBF2E2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48460AE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6607A446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3D2051A7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65B99205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56213F03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5A519875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43A48FD1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38F4BBB3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5422AC38">
      <w:pPr>
        <w:spacing w:line="560" w:lineRule="exact"/>
        <w:ind w:firstLine="555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5A3DF9D5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6A4E3D82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详见2022年度单位预算公开报表</w:t>
      </w:r>
    </w:p>
    <w:p w14:paraId="4C25CD8B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 w14:paraId="7FB1C5D5"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BE09B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017E1FD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AD793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9B55938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c4MzVlMjdjYTIyZjExMDExOWI2NzVhMzFjODFiYzEifQ=="/>
  </w:docVars>
  <w:rsids>
    <w:rsidRoot w:val="001F517C"/>
    <w:rsid w:val="001F517C"/>
    <w:rsid w:val="00253596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C4523D"/>
    <w:rsid w:val="00CB304E"/>
    <w:rsid w:val="00CD0F5F"/>
    <w:rsid w:val="00D97B70"/>
    <w:rsid w:val="00E852EF"/>
    <w:rsid w:val="00F11C3F"/>
    <w:rsid w:val="00FB57D2"/>
    <w:rsid w:val="04303D6E"/>
    <w:rsid w:val="07521CCE"/>
    <w:rsid w:val="08B241A6"/>
    <w:rsid w:val="11772F66"/>
    <w:rsid w:val="15B95DE7"/>
    <w:rsid w:val="19CD550E"/>
    <w:rsid w:val="1E2E7FC6"/>
    <w:rsid w:val="268D7862"/>
    <w:rsid w:val="37434E7E"/>
    <w:rsid w:val="37BE615B"/>
    <w:rsid w:val="47276DFC"/>
    <w:rsid w:val="598D33B2"/>
    <w:rsid w:val="68863414"/>
    <w:rsid w:val="6DAD4F9F"/>
    <w:rsid w:val="7AA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脚 字符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2591</Words>
  <Characters>2781</Characters>
  <Lines>21</Lines>
  <Paragraphs>6</Paragraphs>
  <TotalTime>50</TotalTime>
  <ScaleCrop>false</ScaleCrop>
  <LinksUpToDate>false</LinksUpToDate>
  <CharactersWithSpaces>2805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2025-03-24T06:49:38Z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3127122C7CEA4D8C8D5C99A9D5BA3974</vt:lpwstr>
  </property>
  <property fmtid="{D5CDD505-2E9C-101B-9397-08002B2CF9AE}" pid="4" name="KSOTemplateDocerSaveRecord">
    <vt:lpwstr>eyJoZGlkIjoiMDY1MWZiMWEyNWMwNTVlZmNmM2QxMTdmNzZkNjNmZmYiLCJ1c2VySWQiOiI3NTk1ODIzMjQifQ==</vt:lpwstr>
  </property>
</Properties>
</file>