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1FB3F">
      <w:pPr>
        <w:spacing w:line="560" w:lineRule="exact"/>
        <w:jc w:val="center"/>
        <w:rPr>
          <w:rFonts w:ascii="方正小标宋简体" w:hAnsi="微软雅黑" w:eastAsia="方正小标宋简体" w:cs="宋体"/>
          <w:b/>
          <w:bCs/>
          <w:color w:val="333333"/>
          <w:kern w:val="0"/>
          <w:sz w:val="44"/>
          <w:szCs w:val="44"/>
        </w:rPr>
      </w:pPr>
      <w:r>
        <w:rPr>
          <w:rFonts w:hint="eastAsia" w:ascii="方正小标宋简体" w:hAnsi="微软雅黑" w:eastAsia="方正小标宋简体" w:cs="宋体"/>
          <w:b/>
          <w:bCs/>
          <w:color w:val="333333"/>
          <w:kern w:val="0"/>
          <w:sz w:val="44"/>
          <w:szCs w:val="44"/>
        </w:rPr>
        <w:t>北京市通州区张家湾成人文</w:t>
      </w:r>
      <w:bookmarkStart w:id="1" w:name="_GoBack"/>
      <w:bookmarkEnd w:id="1"/>
      <w:r>
        <w:rPr>
          <w:rFonts w:hint="eastAsia" w:ascii="方正小标宋简体" w:hAnsi="微软雅黑" w:eastAsia="方正小标宋简体" w:cs="宋体"/>
          <w:b/>
          <w:bCs/>
          <w:color w:val="333333"/>
          <w:kern w:val="0"/>
          <w:sz w:val="44"/>
          <w:szCs w:val="44"/>
        </w:rPr>
        <w:t>化技术学校</w:t>
      </w:r>
    </w:p>
    <w:p w14:paraId="2AB6045C">
      <w:pPr>
        <w:spacing w:line="560" w:lineRule="exact"/>
        <w:jc w:val="center"/>
        <w:rPr>
          <w:rFonts w:ascii="方正小标宋简体" w:hAnsi="微软雅黑" w:eastAsia="方正小标宋简体" w:cs="宋体"/>
          <w:b/>
          <w:bCs/>
          <w:color w:val="333333"/>
          <w:kern w:val="0"/>
          <w:sz w:val="44"/>
          <w:szCs w:val="44"/>
        </w:rPr>
      </w:pPr>
      <w:r>
        <w:rPr>
          <w:rFonts w:hint="eastAsia" w:ascii="方正小标宋简体" w:hAnsi="微软雅黑" w:eastAsia="方正小标宋简体" w:cs="宋体"/>
          <w:b/>
          <w:bCs/>
          <w:color w:val="333333"/>
          <w:kern w:val="0"/>
          <w:sz w:val="44"/>
          <w:szCs w:val="44"/>
        </w:rPr>
        <w:t>2022年预算情况说明</w:t>
      </w:r>
    </w:p>
    <w:p w14:paraId="55D46829">
      <w:pPr>
        <w:spacing w:line="560" w:lineRule="exact"/>
        <w:jc w:val="center"/>
        <w:rPr>
          <w:rFonts w:ascii="方正小标宋简体" w:hAnsi="微软雅黑" w:eastAsia="方正小标宋简体" w:cs="宋体"/>
          <w:b/>
          <w:bCs/>
          <w:color w:val="333333"/>
          <w:kern w:val="0"/>
          <w:sz w:val="44"/>
          <w:szCs w:val="44"/>
        </w:rPr>
      </w:pPr>
    </w:p>
    <w:p w14:paraId="784284C9">
      <w:pPr>
        <w:widowControl/>
        <w:spacing w:after="240" w:line="560" w:lineRule="exact"/>
        <w:ind w:firstLine="480"/>
        <w:jc w:val="center"/>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目    录</w:t>
      </w:r>
    </w:p>
    <w:p w14:paraId="02928D6C">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7018AD75">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二、2022年度单位收入预算说明</w:t>
      </w:r>
    </w:p>
    <w:p w14:paraId="75DB0EC8">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689FC305">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四、2022年度单位“三公”经费财政拨款预算说明</w:t>
      </w:r>
    </w:p>
    <w:p w14:paraId="218F59F0">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五、2022年度其他重要事项的情况说明</w:t>
      </w:r>
    </w:p>
    <w:p w14:paraId="483FAE01">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75C56166">
      <w:pPr>
        <w:spacing w:line="560" w:lineRule="exact"/>
        <w:ind w:firstLine="643" w:firstLineChars="200"/>
        <w:outlineLvl w:val="0"/>
        <w:rPr>
          <w:rFonts w:ascii="仿宋_GB2312" w:eastAsia="仿宋_GB2312"/>
          <w:b/>
          <w:sz w:val="32"/>
          <w:szCs w:val="32"/>
        </w:rPr>
      </w:pPr>
    </w:p>
    <w:p w14:paraId="733A0986">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3CB27E6B">
      <w:pPr>
        <w:numPr>
          <w:ilvl w:val="0"/>
          <w:numId w:val="1"/>
        </w:numPr>
        <w:spacing w:line="560" w:lineRule="exact"/>
        <w:ind w:firstLine="555"/>
        <w:rPr>
          <w:rFonts w:ascii="仿宋_GB2312" w:eastAsia="仿宋_GB2312"/>
          <w:sz w:val="32"/>
          <w:szCs w:val="32"/>
        </w:rPr>
      </w:pPr>
      <w:r>
        <w:rPr>
          <w:rFonts w:hint="eastAsia" w:ascii="仿宋_GB2312" w:eastAsia="仿宋_GB2312"/>
          <w:sz w:val="32"/>
          <w:szCs w:val="32"/>
        </w:rPr>
        <w:t>单位机构设置、主要职责</w:t>
      </w:r>
    </w:p>
    <w:p w14:paraId="3C63B0B6">
      <w:pPr>
        <w:spacing w:line="560" w:lineRule="exact"/>
        <w:rPr>
          <w:rFonts w:ascii="仿宋_GB2312" w:eastAsia="仿宋_GB2312"/>
          <w:sz w:val="32"/>
          <w:szCs w:val="32"/>
        </w:rPr>
      </w:pPr>
      <w:r>
        <w:rPr>
          <w:rFonts w:hint="eastAsia" w:ascii="仿宋_GB2312" w:eastAsia="仿宋_GB2312"/>
          <w:sz w:val="32"/>
          <w:szCs w:val="32"/>
        </w:rPr>
        <w:t xml:space="preserve">      1.单位机构设置：教务处、总务处、办公室三个部门。</w:t>
      </w:r>
    </w:p>
    <w:p w14:paraId="22187F2E">
      <w:pPr>
        <w:spacing w:line="560" w:lineRule="exact"/>
        <w:ind w:left="141" w:leftChars="67" w:firstLine="758" w:firstLineChars="237"/>
        <w:rPr>
          <w:rFonts w:hint="eastAsia" w:ascii="仿宋_GB2312" w:eastAsia="仿宋_GB2312"/>
          <w:sz w:val="32"/>
          <w:szCs w:val="32"/>
        </w:rPr>
      </w:pPr>
      <w:r>
        <w:rPr>
          <w:rFonts w:hint="eastAsia" w:ascii="仿宋_GB2312" w:eastAsia="仿宋_GB2312"/>
          <w:sz w:val="32"/>
          <w:szCs w:val="32"/>
        </w:rPr>
        <w:t>2.单位主要职责：根据乡镇经济社会发展的需要，因地制宜对辖区群众开展健康教育、老年教育、环境保护教育、文明生活教育等教育培训活动，为郊区现代化建设提供人力、智力支持与服务；按照区教委、区成教中心和乡镇党委、政府的要求，开展其他培训活动。</w:t>
      </w:r>
    </w:p>
    <w:p w14:paraId="18658A37">
      <w:pPr>
        <w:spacing w:line="560" w:lineRule="exact"/>
        <w:ind w:firstLine="555"/>
        <w:rPr>
          <w:rFonts w:ascii="仿宋_GB2312" w:eastAsia="仿宋_GB2312"/>
          <w:sz w:val="32"/>
          <w:szCs w:val="32"/>
        </w:rPr>
      </w:pPr>
      <w:r>
        <w:rPr>
          <w:rFonts w:hint="eastAsia" w:ascii="仿宋_GB2312" w:eastAsia="仿宋_GB2312"/>
          <w:sz w:val="32"/>
          <w:szCs w:val="32"/>
        </w:rPr>
        <w:t>（二）人员构成情况</w:t>
      </w:r>
    </w:p>
    <w:p w14:paraId="56784469">
      <w:pPr>
        <w:spacing w:line="560" w:lineRule="exact"/>
        <w:ind w:firstLine="480" w:firstLineChars="150"/>
        <w:rPr>
          <w:rFonts w:ascii="仿宋_GB2312" w:eastAsia="仿宋_GB2312"/>
          <w:sz w:val="32"/>
          <w:szCs w:val="32"/>
        </w:rPr>
      </w:pPr>
      <w:r>
        <w:rPr>
          <w:rFonts w:hint="eastAsia" w:ascii="仿宋_GB2312" w:eastAsia="仿宋_GB2312"/>
          <w:sz w:val="32"/>
          <w:szCs w:val="32"/>
        </w:rPr>
        <w:t>我单位行政编制0 人，实际 0人；事业编制5 人，实际 2 人；聘用人员（包括其他聘用人员--临时工等） 2 人。</w:t>
      </w:r>
    </w:p>
    <w:p w14:paraId="41BCABDD">
      <w:pPr>
        <w:spacing w:line="560" w:lineRule="exact"/>
        <w:ind w:firstLine="555"/>
        <w:rPr>
          <w:rFonts w:ascii="仿宋_GB2312" w:eastAsia="仿宋_GB2312"/>
          <w:sz w:val="32"/>
          <w:szCs w:val="32"/>
        </w:rPr>
      </w:pPr>
      <w:r>
        <w:rPr>
          <w:rFonts w:hint="eastAsia" w:ascii="仿宋_GB2312" w:eastAsia="仿宋_GB2312"/>
          <w:sz w:val="32"/>
          <w:szCs w:val="32"/>
        </w:rPr>
        <w:t>离退休人员 0 人，其中：离休 0 人，退休 0 人。</w:t>
      </w:r>
    </w:p>
    <w:p w14:paraId="3E82FB1D">
      <w:pPr>
        <w:spacing w:line="560" w:lineRule="exact"/>
        <w:ind w:firstLine="555"/>
        <w:rPr>
          <w:rFonts w:ascii="仿宋_GB2312" w:eastAsia="仿宋_GB2312"/>
          <w:sz w:val="32"/>
          <w:szCs w:val="32"/>
        </w:rPr>
      </w:pPr>
      <w:r>
        <w:rPr>
          <w:rFonts w:hint="eastAsia" w:ascii="仿宋_GB2312" w:eastAsia="仿宋_GB2312"/>
          <w:sz w:val="32"/>
          <w:szCs w:val="32"/>
        </w:rPr>
        <w:t>（三）本预算年度的主要工作任务</w:t>
      </w:r>
    </w:p>
    <w:p w14:paraId="4D1FB293">
      <w:pPr>
        <w:spacing w:line="560" w:lineRule="exact"/>
        <w:ind w:firstLine="713" w:firstLineChars="223"/>
        <w:rPr>
          <w:rFonts w:ascii="仿宋_GB2312" w:eastAsia="仿宋_GB2312"/>
          <w:sz w:val="32"/>
          <w:szCs w:val="32"/>
        </w:rPr>
      </w:pPr>
      <w:r>
        <w:rPr>
          <w:rFonts w:hint="eastAsia" w:ascii="仿宋_GB2312" w:eastAsia="仿宋_GB2312"/>
          <w:sz w:val="32"/>
          <w:szCs w:val="32"/>
        </w:rPr>
        <w:t>结合市、区教育主管部门的2022年度工作计划精神，从加强张家湾镇文化建设，丰富基层群众文化生活，建设文明幸福张家湾的目的出发。按照面向全镇常住人口，广泛开展，高端引领，群策群力，组织合理高效，围绕“富民、利民、育民、亲民、乐民、娱民”的服务宗旨，培育和践行社会主义核心价值观，推进文明乡镇建设，推动文化大发展，提高舆论引导能力和水平。充分发挥成人学校校委会、市民文明学校、区级示范性村校的作用，凝聚人心，鼓舞干劲，团结合作，为促进张家湾地区经济又快又好发展，提升居民幸福指数和创建全国文明城区提供强大的精神动力和思想保证，共同打造具有张家湾成人教育特色的品牌。张家湾成人文化技术学校在市、区教委和镇政府的正确领导和关心支持下，在社会各界的大力配合下，全面深入贯彻党的十九大以来习近平讲话系列精神，坚持和加强党的全面领导，坚持稳中求进工作总基调，坚持新发展理念，围绕构建和谐社会和新农村建设，以提高群众素质，服务“三农”为宗旨，大胆探索，不断创新，整合区域内教育资源，逐步建立起适应现代化社会建设和满足农民学习需求的社区教育管理体制、运行机制和教育培训模式，努力把成人学校建设成为具有一流办学条件、一流管理水平，一流办学效益和一流教育质量的多功能的农村成人学校，成为当地科技示范与推广中心、社区教育服务中心，促进区域内农民整体素质和生活质量的提高，为构造终身教育体系搭建良好平台，为促进当地经济和社会的发展发挥着积极作用，使张家湾成人学校的作用和地位不断提升，成为张家湾镇经济社会建设中一个不可或缺的重要平台。</w:t>
      </w:r>
    </w:p>
    <w:p w14:paraId="11F010EA">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二、2022年度单位收入预算说明</w:t>
      </w:r>
    </w:p>
    <w:p w14:paraId="42602B9D">
      <w:pPr>
        <w:spacing w:line="560" w:lineRule="exact"/>
        <w:ind w:firstLine="555"/>
        <w:rPr>
          <w:rFonts w:ascii="仿宋_GB2312" w:eastAsia="仿宋_GB2312"/>
          <w:sz w:val="32"/>
          <w:szCs w:val="32"/>
        </w:rPr>
      </w:pPr>
      <w:r>
        <w:rPr>
          <w:rFonts w:hint="eastAsia" w:ascii="仿宋_GB2312" w:eastAsia="仿宋_GB2312"/>
          <w:sz w:val="32"/>
          <w:szCs w:val="32"/>
        </w:rPr>
        <w:t>2022年收入预算35.06万元，比2021年7.73万元增加27.33万元，增长353.56 %。其中：财政拨款35.06万元，比2021年7.73万元增加27.33万元；统筹使用结余资金安排预算0万元，与2021年持平；其他资金0万元，与2021年0元持平。</w:t>
      </w:r>
    </w:p>
    <w:p w14:paraId="19EE55C7">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5915397B">
      <w:pPr>
        <w:spacing w:line="560" w:lineRule="exact"/>
        <w:ind w:firstLine="555"/>
        <w:rPr>
          <w:rFonts w:ascii="仿宋_GB2312" w:eastAsia="仿宋_GB2312"/>
          <w:sz w:val="32"/>
          <w:szCs w:val="32"/>
        </w:rPr>
      </w:pPr>
      <w:r>
        <w:rPr>
          <w:rFonts w:hint="eastAsia" w:ascii="仿宋_GB2312" w:eastAsia="仿宋_GB2312"/>
          <w:sz w:val="32"/>
          <w:szCs w:val="32"/>
        </w:rPr>
        <w:t>（一）基本支出预算 35.06万元，占总支出预算100 %，比2021年7.73万元增加27.33万元，增长353.56%。主要增加原因为人员经费增加。</w:t>
      </w:r>
    </w:p>
    <w:p w14:paraId="1AA3B4AF">
      <w:pPr>
        <w:spacing w:line="560" w:lineRule="exact"/>
        <w:ind w:firstLine="555"/>
        <w:rPr>
          <w:rFonts w:ascii="仿宋_GB2312" w:eastAsia="仿宋_GB2312"/>
          <w:sz w:val="32"/>
          <w:szCs w:val="32"/>
        </w:rPr>
      </w:pPr>
      <w:r>
        <w:rPr>
          <w:rFonts w:hint="eastAsia" w:ascii="仿宋_GB2312" w:eastAsia="仿宋_GB2312"/>
          <w:sz w:val="32"/>
          <w:szCs w:val="32"/>
        </w:rPr>
        <w:t>（二）项目支出预算0万元，与2021年0万元持平</w:t>
      </w:r>
    </w:p>
    <w:p w14:paraId="2650BA4A">
      <w:pPr>
        <w:spacing w:line="560" w:lineRule="exact"/>
        <w:ind w:firstLine="555"/>
        <w:rPr>
          <w:rFonts w:ascii="仿宋_GB2312" w:eastAsia="仿宋_GB2312"/>
          <w:sz w:val="32"/>
          <w:szCs w:val="32"/>
        </w:rPr>
      </w:pPr>
      <w:r>
        <w:rPr>
          <w:rFonts w:hint="eastAsia" w:ascii="仿宋_GB2312" w:eastAsia="仿宋_GB2312"/>
          <w:sz w:val="32"/>
          <w:szCs w:val="32"/>
        </w:rPr>
        <w:t>（三）无上缴上级支出</w:t>
      </w:r>
    </w:p>
    <w:p w14:paraId="6DA5A122">
      <w:pPr>
        <w:spacing w:line="560" w:lineRule="exact"/>
        <w:ind w:firstLine="555"/>
        <w:rPr>
          <w:rFonts w:ascii="仿宋_GB2312" w:eastAsia="仿宋_GB2312"/>
          <w:sz w:val="32"/>
          <w:szCs w:val="32"/>
        </w:rPr>
      </w:pPr>
      <w:r>
        <w:rPr>
          <w:rFonts w:hint="eastAsia" w:ascii="仿宋_GB2312" w:eastAsia="仿宋_GB2312"/>
          <w:sz w:val="32"/>
          <w:szCs w:val="32"/>
        </w:rPr>
        <w:t>（四）无事业单位经营支出</w:t>
      </w:r>
    </w:p>
    <w:p w14:paraId="70AE2817">
      <w:pPr>
        <w:spacing w:line="560" w:lineRule="exact"/>
        <w:ind w:firstLine="555"/>
        <w:rPr>
          <w:rFonts w:ascii="仿宋_GB2312" w:eastAsia="仿宋_GB2312"/>
          <w:sz w:val="32"/>
          <w:szCs w:val="32"/>
        </w:rPr>
      </w:pPr>
      <w:r>
        <w:rPr>
          <w:rFonts w:hint="eastAsia" w:ascii="仿宋_GB2312" w:eastAsia="仿宋_GB2312"/>
          <w:sz w:val="32"/>
          <w:szCs w:val="32"/>
        </w:rPr>
        <w:t>（五）无对附属单位补助支出</w:t>
      </w:r>
    </w:p>
    <w:p w14:paraId="6B5E0295">
      <w:pPr>
        <w:spacing w:line="560" w:lineRule="exact"/>
        <w:jc w:val="center"/>
        <w:rPr>
          <w:rFonts w:ascii="黑体" w:eastAsia="黑体"/>
          <w:b/>
          <w:sz w:val="32"/>
          <w:szCs w:val="32"/>
        </w:rPr>
      </w:pPr>
      <w:r>
        <w:rPr>
          <w:rFonts w:hint="eastAsia" w:ascii="黑体" w:hAnsi="黑体" w:eastAsia="黑体" w:cs="宋体"/>
          <w:b/>
          <w:bCs/>
          <w:color w:val="333333"/>
          <w:kern w:val="0"/>
          <w:sz w:val="32"/>
          <w:szCs w:val="32"/>
        </w:rPr>
        <w:t>四、2022年度</w:t>
      </w:r>
      <w:r>
        <w:rPr>
          <w:rFonts w:hint="eastAsia" w:ascii="黑体" w:eastAsia="黑体"/>
          <w:b/>
          <w:sz w:val="32"/>
          <w:szCs w:val="32"/>
        </w:rPr>
        <w:t>单位“三公”经费财政拨款预算说明</w:t>
      </w:r>
    </w:p>
    <w:p w14:paraId="7DCD2E8E">
      <w:pPr>
        <w:spacing w:line="560" w:lineRule="exact"/>
        <w:ind w:firstLine="6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“三公”经费</w:t>
      </w:r>
      <w:r>
        <w:rPr>
          <w:rFonts w:hint="eastAsia" w:ascii="仿宋_GB2312" w:eastAsia="仿宋_GB2312"/>
          <w:sz w:val="32"/>
          <w:szCs w:val="32"/>
        </w:rPr>
        <w:t>的单位范围</w:t>
      </w:r>
    </w:p>
    <w:p w14:paraId="13CEA2A6">
      <w:pPr>
        <w:spacing w:line="560" w:lineRule="exact"/>
        <w:ind w:firstLine="600"/>
        <w:rPr>
          <w:rFonts w:ascii="仿宋_GB2312" w:eastAsia="仿宋_GB2312"/>
          <w:sz w:val="32"/>
          <w:szCs w:val="32"/>
        </w:rPr>
      </w:pPr>
      <w:r>
        <w:rPr>
          <w:rFonts w:hint="eastAsia" w:ascii="仿宋_GB2312" w:eastAsia="仿宋_GB2312"/>
          <w:sz w:val="32"/>
          <w:szCs w:val="32"/>
        </w:rPr>
        <w:t>本单位因公出国（境）费用、公务接待费、公务用车购置和运行维护费开支单位包括0个所属单位。</w:t>
      </w:r>
    </w:p>
    <w:p w14:paraId="55637A90">
      <w:pPr>
        <w:spacing w:line="560" w:lineRule="exact"/>
        <w:ind w:firstLine="6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“三公”经费</w:t>
      </w:r>
      <w:r>
        <w:rPr>
          <w:rFonts w:hint="eastAsia" w:ascii="仿宋_GB2312" w:eastAsia="仿宋_GB2312"/>
          <w:sz w:val="32"/>
          <w:szCs w:val="32"/>
        </w:rPr>
        <w:t>财政拨款情况说明</w:t>
      </w:r>
    </w:p>
    <w:p w14:paraId="0405191E">
      <w:pPr>
        <w:spacing w:line="560" w:lineRule="exact"/>
        <w:ind w:firstLine="600"/>
        <w:rPr>
          <w:rFonts w:ascii="仿宋_GB2312" w:eastAsia="仿宋_GB2312"/>
          <w:sz w:val="32"/>
          <w:szCs w:val="32"/>
        </w:rPr>
      </w:pPr>
      <w:r>
        <w:rPr>
          <w:rFonts w:hint="eastAsia" w:ascii="仿宋_GB2312" w:eastAsia="仿宋_GB2312"/>
          <w:sz w:val="32"/>
          <w:szCs w:val="32"/>
        </w:rPr>
        <w:t>2022年</w:t>
      </w:r>
      <w:r>
        <w:rPr>
          <w:rFonts w:hint="eastAsia" w:ascii="仿宋_GB2312" w:eastAsia="仿宋_GB2312"/>
          <w:sz w:val="32"/>
          <w:szCs w:val="32"/>
          <w:lang w:eastAsia="zh-CN"/>
        </w:rPr>
        <w:t>“三公”经费</w:t>
      </w:r>
      <w:r>
        <w:rPr>
          <w:rFonts w:hint="eastAsia" w:ascii="仿宋_GB2312" w:eastAsia="仿宋_GB2312"/>
          <w:sz w:val="32"/>
          <w:szCs w:val="32"/>
        </w:rPr>
        <w:t>财政拨款预算0万元，与2021年0万元持平。其中：</w:t>
      </w:r>
    </w:p>
    <w:p w14:paraId="5EDBD451">
      <w:pPr>
        <w:spacing w:line="560" w:lineRule="exact"/>
        <w:ind w:firstLine="600"/>
        <w:rPr>
          <w:rFonts w:ascii="仿宋_GB2312" w:eastAsia="仿宋_GB2312"/>
          <w:sz w:val="32"/>
          <w:szCs w:val="32"/>
        </w:rPr>
      </w:pPr>
      <w:r>
        <w:rPr>
          <w:rFonts w:hint="eastAsia" w:ascii="仿宋_GB2312" w:eastAsia="仿宋_GB2312"/>
          <w:sz w:val="32"/>
          <w:szCs w:val="32"/>
        </w:rPr>
        <w:t>1、因公出国（境）费用。2022年预算数0万元，与2021年0万元持平。</w:t>
      </w:r>
    </w:p>
    <w:p w14:paraId="2EBF403E">
      <w:pPr>
        <w:spacing w:line="560" w:lineRule="exact"/>
        <w:ind w:firstLine="600"/>
        <w:rPr>
          <w:rFonts w:ascii="仿宋_GB2312" w:eastAsia="仿宋_GB2312"/>
          <w:sz w:val="32"/>
          <w:szCs w:val="32"/>
        </w:rPr>
      </w:pPr>
      <w:r>
        <w:rPr>
          <w:rFonts w:hint="eastAsia" w:ascii="仿宋_GB2312" w:eastAsia="仿宋_GB2312"/>
          <w:sz w:val="32"/>
          <w:szCs w:val="32"/>
        </w:rPr>
        <w:t>2、公务接待费。2022年预算0万元，与2021年0万元持平。</w:t>
      </w:r>
    </w:p>
    <w:p w14:paraId="7B17563B">
      <w:pPr>
        <w:spacing w:line="560" w:lineRule="exact"/>
        <w:ind w:firstLine="600"/>
        <w:rPr>
          <w:rFonts w:ascii="仿宋_GB2312" w:eastAsia="仿宋_GB2312"/>
          <w:sz w:val="32"/>
          <w:szCs w:val="32"/>
        </w:rPr>
      </w:pPr>
      <w:r>
        <w:rPr>
          <w:rFonts w:hint="eastAsia" w:ascii="仿宋_GB2312" w:eastAsia="仿宋_GB2312"/>
          <w:sz w:val="32"/>
          <w:szCs w:val="32"/>
        </w:rPr>
        <w:t>3、公务用车购置和运行维护费。2022年预算数0万元，其中，公务用车购置费2022年预算数0万元，与2021年0万元持平；公务用车运行维护费2022年预算数0万元，与2021年0万元持平，其中：公务用车加油0万元，公务用车维修0万元，公务用车保险0万元，其他0万元，与2021年持平。</w:t>
      </w:r>
    </w:p>
    <w:p w14:paraId="29C5C558">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五、其他重要事项的情况说明</w:t>
      </w:r>
    </w:p>
    <w:p w14:paraId="47209247">
      <w:pPr>
        <w:spacing w:line="560" w:lineRule="exact"/>
        <w:ind w:firstLine="640" w:firstLineChars="200"/>
        <w:rPr>
          <w:rFonts w:ascii="仿宋_GB2312" w:eastAsia="仿宋_GB2312"/>
          <w:sz w:val="32"/>
          <w:szCs w:val="32"/>
        </w:rPr>
      </w:pPr>
      <w:r>
        <w:rPr>
          <w:rFonts w:hint="eastAsia" w:ascii="仿宋_GB2312" w:eastAsia="仿宋_GB2312"/>
          <w:sz w:val="32"/>
          <w:szCs w:val="32"/>
        </w:rPr>
        <w:t>（一）机关运行经费情况说明</w:t>
      </w:r>
    </w:p>
    <w:p w14:paraId="345A7076">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本单位无</w:t>
      </w:r>
      <w:r>
        <w:rPr>
          <w:rFonts w:ascii="仿宋_GB2312" w:eastAsia="仿宋_GB2312"/>
          <w:sz w:val="32"/>
          <w:szCs w:val="32"/>
        </w:rPr>
        <w:t>机关运行经费。</w:t>
      </w:r>
    </w:p>
    <w:p w14:paraId="47162F5F">
      <w:pPr>
        <w:spacing w:line="560" w:lineRule="exact"/>
        <w:ind w:firstLine="640" w:firstLineChars="200"/>
        <w:rPr>
          <w:rFonts w:ascii="仿宋_GB2312" w:eastAsia="仿宋_GB2312"/>
          <w:sz w:val="32"/>
          <w:szCs w:val="32"/>
        </w:rPr>
      </w:pPr>
      <w:r>
        <w:rPr>
          <w:rFonts w:hint="eastAsia" w:ascii="仿宋_GB2312" w:eastAsia="仿宋_GB2312"/>
          <w:sz w:val="32"/>
          <w:szCs w:val="32"/>
        </w:rPr>
        <w:t>（二）项目支出绩效目标及评价结果情况说明</w:t>
      </w:r>
    </w:p>
    <w:p w14:paraId="0A018BAC">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本单位预算</w:t>
      </w:r>
      <w:r>
        <w:rPr>
          <w:rFonts w:ascii="仿宋_GB2312" w:eastAsia="仿宋_GB2312"/>
          <w:sz w:val="32"/>
          <w:szCs w:val="32"/>
        </w:rPr>
        <w:t>批复无项目</w:t>
      </w:r>
      <w:r>
        <w:rPr>
          <w:rFonts w:hint="eastAsia" w:ascii="仿宋_GB2312" w:eastAsia="仿宋_GB2312"/>
          <w:sz w:val="32"/>
          <w:szCs w:val="32"/>
        </w:rPr>
        <w:t>。</w:t>
      </w:r>
    </w:p>
    <w:p w14:paraId="0D689A6B">
      <w:pPr>
        <w:spacing w:line="560" w:lineRule="exact"/>
        <w:ind w:firstLine="640" w:firstLineChars="200"/>
        <w:rPr>
          <w:rFonts w:ascii="仿宋_GB2312" w:eastAsia="仿宋_GB2312"/>
          <w:sz w:val="32"/>
          <w:szCs w:val="32"/>
        </w:rPr>
      </w:pPr>
      <w:bookmarkStart w:id="0" w:name="OLE_LINK2"/>
      <w:r>
        <w:rPr>
          <w:rFonts w:hint="eastAsia" w:ascii="仿宋_GB2312" w:eastAsia="仿宋_GB2312"/>
          <w:sz w:val="32"/>
          <w:szCs w:val="32"/>
        </w:rPr>
        <w:t>（三）重点行政事业性收费情况说明</w:t>
      </w:r>
    </w:p>
    <w:bookmarkEnd w:id="0"/>
    <w:p w14:paraId="56004F04">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本单位2022年无重点行政事业性收费。</w:t>
      </w:r>
    </w:p>
    <w:p w14:paraId="32B61609">
      <w:pPr>
        <w:spacing w:line="560" w:lineRule="exact"/>
        <w:ind w:firstLine="640" w:firstLineChars="200"/>
        <w:rPr>
          <w:rFonts w:ascii="仿宋_GB2312" w:eastAsia="仿宋_GB2312"/>
          <w:sz w:val="32"/>
          <w:szCs w:val="32"/>
        </w:rPr>
      </w:pPr>
      <w:r>
        <w:rPr>
          <w:rFonts w:hint="eastAsia" w:ascii="仿宋_GB2312" w:eastAsia="仿宋_GB2312"/>
          <w:sz w:val="32"/>
          <w:szCs w:val="32"/>
        </w:rPr>
        <w:t>（四）国有资本经营预算财政拨款情况及国有资产占用情况说明</w:t>
      </w:r>
    </w:p>
    <w:p w14:paraId="24D602E5">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本单位2022年无国有资本经营预算财政拨款安排的预算。</w:t>
      </w:r>
    </w:p>
    <w:p w14:paraId="431B86CA">
      <w:pPr>
        <w:spacing w:line="560" w:lineRule="exact"/>
        <w:ind w:firstLine="640" w:firstLineChars="200"/>
        <w:rPr>
          <w:rFonts w:ascii="仿宋_GB2312" w:eastAsia="仿宋_GB2312"/>
          <w:sz w:val="32"/>
          <w:szCs w:val="32"/>
        </w:rPr>
      </w:pPr>
      <w:r>
        <w:rPr>
          <w:rFonts w:hint="eastAsia" w:ascii="仿宋_GB2312" w:eastAsia="仿宋_GB2312"/>
          <w:sz w:val="32"/>
          <w:szCs w:val="32"/>
        </w:rPr>
        <w:t>截止202</w:t>
      </w:r>
      <w:r>
        <w:rPr>
          <w:rFonts w:ascii="仿宋_GB2312" w:eastAsia="仿宋_GB2312"/>
          <w:sz w:val="32"/>
          <w:szCs w:val="32"/>
        </w:rPr>
        <w:t>1</w:t>
      </w:r>
      <w:r>
        <w:rPr>
          <w:rFonts w:hint="eastAsia" w:ascii="仿宋_GB2312" w:eastAsia="仿宋_GB2312"/>
          <w:sz w:val="32"/>
          <w:szCs w:val="32"/>
        </w:rPr>
        <w:t>年12月31日，本单位货币资金124.38万元（其中银行存款124.37万元），房屋0</w:t>
      </w:r>
      <w:r>
        <w:rPr>
          <w:rFonts w:ascii="仿宋_GB2312" w:eastAsia="仿宋_GB2312"/>
          <w:sz w:val="32"/>
          <w:szCs w:val="32"/>
        </w:rPr>
        <w:t xml:space="preserve"> </w:t>
      </w:r>
      <w:r>
        <w:rPr>
          <w:rFonts w:hint="eastAsia" w:ascii="仿宋_GB2312" w:eastAsia="仿宋_GB2312"/>
          <w:sz w:val="32"/>
          <w:szCs w:val="32"/>
        </w:rPr>
        <w:t>万元，车辆</w:t>
      </w:r>
      <w:r>
        <w:rPr>
          <w:rFonts w:ascii="仿宋_GB2312" w:eastAsia="仿宋_GB2312"/>
          <w:sz w:val="32"/>
          <w:szCs w:val="32"/>
        </w:rPr>
        <w:t xml:space="preserve"> </w:t>
      </w:r>
      <w:r>
        <w:rPr>
          <w:rFonts w:hint="eastAsia" w:ascii="仿宋_GB2312" w:eastAsia="仿宋_GB2312"/>
          <w:sz w:val="32"/>
          <w:szCs w:val="32"/>
        </w:rPr>
        <w:t>0万元，在建工程0</w:t>
      </w:r>
      <w:r>
        <w:rPr>
          <w:rFonts w:ascii="仿宋_GB2312" w:eastAsia="仿宋_GB2312"/>
          <w:sz w:val="32"/>
          <w:szCs w:val="32"/>
        </w:rPr>
        <w:t xml:space="preserve"> </w:t>
      </w:r>
      <w:r>
        <w:rPr>
          <w:rFonts w:hint="eastAsia" w:ascii="仿宋_GB2312" w:eastAsia="仿宋_GB2312"/>
          <w:sz w:val="32"/>
          <w:szCs w:val="32"/>
        </w:rPr>
        <w:t>万元。</w:t>
      </w:r>
    </w:p>
    <w:p w14:paraId="0963EC32">
      <w:pPr>
        <w:spacing w:line="560" w:lineRule="exact"/>
        <w:ind w:firstLine="640" w:firstLineChars="200"/>
        <w:rPr>
          <w:rFonts w:ascii="仿宋_GB2312" w:eastAsia="仿宋_GB2312"/>
          <w:sz w:val="32"/>
          <w:szCs w:val="32"/>
        </w:rPr>
      </w:pPr>
      <w:r>
        <w:rPr>
          <w:rFonts w:hint="eastAsia" w:ascii="仿宋_GB2312" w:eastAsia="仿宋_GB2312"/>
          <w:sz w:val="32"/>
          <w:szCs w:val="32"/>
        </w:rPr>
        <w:t>截至2021年12月31日，本单位共有车辆1</w:t>
      </w:r>
      <w:r>
        <w:rPr>
          <w:rFonts w:ascii="仿宋_GB2312" w:eastAsia="仿宋_GB2312"/>
          <w:sz w:val="32"/>
          <w:szCs w:val="32"/>
        </w:rPr>
        <w:t xml:space="preserve"> </w:t>
      </w:r>
      <w:r>
        <w:rPr>
          <w:rFonts w:hint="eastAsia" w:ascii="仿宋_GB2312" w:eastAsia="仿宋_GB2312"/>
          <w:sz w:val="32"/>
          <w:szCs w:val="32"/>
        </w:rPr>
        <w:t>辆。</w:t>
      </w:r>
    </w:p>
    <w:p w14:paraId="79193B94">
      <w:pPr>
        <w:spacing w:line="560" w:lineRule="exact"/>
        <w:ind w:firstLine="640" w:firstLineChars="200"/>
        <w:rPr>
          <w:rFonts w:ascii="仿宋_GB2312" w:eastAsia="仿宋_GB2312"/>
          <w:sz w:val="32"/>
          <w:szCs w:val="32"/>
        </w:rPr>
      </w:pPr>
      <w:r>
        <w:rPr>
          <w:rFonts w:hint="eastAsia" w:ascii="仿宋_GB2312" w:eastAsia="仿宋_GB2312"/>
          <w:sz w:val="32"/>
          <w:szCs w:val="32"/>
        </w:rPr>
        <w:t>（五）政府采购预算财政拨款情况说明</w:t>
      </w:r>
    </w:p>
    <w:p w14:paraId="213177A7">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本单位2022年无政府采购预算财政拨款安排的预算。</w:t>
      </w:r>
    </w:p>
    <w:p w14:paraId="06697509">
      <w:pPr>
        <w:spacing w:line="560" w:lineRule="exact"/>
        <w:ind w:firstLine="640" w:firstLineChars="200"/>
        <w:rPr>
          <w:rFonts w:ascii="仿宋_GB2312" w:eastAsia="仿宋_GB2312"/>
          <w:sz w:val="32"/>
          <w:szCs w:val="32"/>
        </w:rPr>
      </w:pPr>
      <w:r>
        <w:rPr>
          <w:rFonts w:hint="eastAsia" w:ascii="仿宋_GB2312" w:eastAsia="仿宋_GB2312"/>
          <w:sz w:val="32"/>
          <w:szCs w:val="32"/>
        </w:rPr>
        <w:t>（六）政府购买服务预算财政拨款情况说明</w:t>
      </w:r>
    </w:p>
    <w:p w14:paraId="363D3796">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本单位2022年无政府购买服务预算财政拨款安排的预算。</w:t>
      </w:r>
    </w:p>
    <w:p w14:paraId="0ABD19DD">
      <w:pPr>
        <w:spacing w:line="560" w:lineRule="exact"/>
        <w:ind w:firstLine="640" w:firstLineChars="200"/>
        <w:rPr>
          <w:rFonts w:ascii="仿宋_GB2312" w:eastAsia="仿宋_GB2312"/>
          <w:sz w:val="32"/>
          <w:szCs w:val="32"/>
        </w:rPr>
      </w:pPr>
      <w:r>
        <w:rPr>
          <w:rFonts w:hint="eastAsia" w:ascii="仿宋_GB2312" w:eastAsia="仿宋_GB2312"/>
          <w:sz w:val="32"/>
          <w:szCs w:val="32"/>
        </w:rPr>
        <w:t>（七）名词解释</w:t>
      </w:r>
    </w:p>
    <w:p w14:paraId="51297964">
      <w:pPr>
        <w:spacing w:line="560" w:lineRule="exact"/>
        <w:ind w:firstLine="640" w:firstLineChars="200"/>
        <w:rPr>
          <w:rFonts w:ascii="仿宋_GB2312" w:eastAsia="仿宋_GB2312"/>
          <w:sz w:val="32"/>
          <w:szCs w:val="32"/>
        </w:rPr>
      </w:pPr>
      <w:r>
        <w:rPr>
          <w:rFonts w:hint="eastAsia" w:ascii="仿宋_GB2312" w:eastAsia="仿宋_GB2312"/>
          <w:sz w:val="32"/>
          <w:szCs w:val="32"/>
        </w:rPr>
        <w:t>预算:遵循统筹兼顾、勤俭节约、量力而行、讲求绩效和收支平衡的原则编制,经法定程序审核批准的国家年度集中性财政收支计划。政府的全部收入和支出都应当纳入预算。地方各级政府财政单位具体编制本级预算草案,各单位编制本单位预算草案。</w:t>
      </w:r>
    </w:p>
    <w:p w14:paraId="6B2D6255">
      <w:pPr>
        <w:spacing w:line="560" w:lineRule="exact"/>
        <w:ind w:firstLine="640" w:firstLineChars="200"/>
        <w:rPr>
          <w:rFonts w:ascii="仿宋_GB2312" w:eastAsia="仿宋_GB2312"/>
          <w:sz w:val="32"/>
          <w:szCs w:val="32"/>
        </w:rPr>
      </w:pPr>
      <w:r>
        <w:rPr>
          <w:rFonts w:hint="eastAsia" w:ascii="仿宋_GB2312" w:eastAsia="仿宋_GB2312"/>
          <w:sz w:val="32"/>
          <w:szCs w:val="32"/>
        </w:rPr>
        <w:t>一般公共预算：是对以税收为主体的财政收入，安排用于保障和改善民生、推动经济社会发展、维护国家安全、维持国家机构正常运转等方面的收支预算。</w:t>
      </w:r>
    </w:p>
    <w:p w14:paraId="6FBC18A5">
      <w:pPr>
        <w:spacing w:line="560" w:lineRule="exact"/>
        <w:ind w:firstLine="640" w:firstLineChars="200"/>
        <w:rPr>
          <w:rFonts w:ascii="仿宋_GB2312" w:eastAsia="仿宋_GB2312"/>
          <w:sz w:val="32"/>
          <w:szCs w:val="32"/>
        </w:rPr>
      </w:pPr>
      <w:r>
        <w:rPr>
          <w:rFonts w:hint="eastAsia" w:ascii="仿宋_GB2312" w:eastAsia="仿宋_GB2312"/>
          <w:sz w:val="32"/>
          <w:szCs w:val="32"/>
        </w:rPr>
        <w:t>政府性基金预算：是对依照法律、行政法规的规定在一定期限内向特定对象征收、收取或者以其他方式筹集的资金，专项用于特定公共事业发展的收支预算。政府性基金预算应当根据基金收入情况和实际支出需要，按基金项目编制，做到以收定支。</w:t>
      </w:r>
    </w:p>
    <w:p w14:paraId="5F270AC7">
      <w:pPr>
        <w:spacing w:line="560" w:lineRule="exact"/>
        <w:ind w:firstLine="555"/>
        <w:outlineLvl w:val="0"/>
        <w:rPr>
          <w:rFonts w:ascii="仿宋_GB2312" w:eastAsia="仿宋_GB2312"/>
          <w:sz w:val="32"/>
          <w:szCs w:val="32"/>
        </w:rPr>
      </w:pPr>
      <w:r>
        <w:rPr>
          <w:rFonts w:hint="eastAsia" w:ascii="仿宋_GB2312" w:eastAsia="仿宋_GB2312"/>
          <w:sz w:val="32"/>
          <w:szCs w:val="32"/>
        </w:rPr>
        <w:t>国有资本经营预算：是对国有资本收益作出支出安排的收支预算。国有资本经营预算应当按照收支平衡的原则编制，不列赤字，并安排资金调入一般公共预算。</w:t>
      </w:r>
    </w:p>
    <w:p w14:paraId="455C6A23">
      <w:pPr>
        <w:spacing w:line="560" w:lineRule="exact"/>
        <w:ind w:firstLine="555"/>
        <w:outlineLvl w:val="0"/>
        <w:rPr>
          <w:rFonts w:ascii="仿宋_GB2312" w:eastAsia="仿宋_GB2312"/>
          <w:sz w:val="32"/>
          <w:szCs w:val="32"/>
        </w:rPr>
      </w:pPr>
      <w:r>
        <w:rPr>
          <w:rFonts w:hint="eastAsia" w:ascii="仿宋_GB2312" w:eastAsia="仿宋_GB2312"/>
          <w:sz w:val="32"/>
          <w:szCs w:val="32"/>
        </w:rPr>
        <w:t>“三公”经费:因公出国(境)费、公务用车购置及运行维护费和公务接待费。其中,因公出国(境)费反映单位公务出国(境)的国际旅费、国外城市间交通费、住宿费、伙食费、培训费、公杂费等支出;公务用车购置及运行维护费反映单位公务用车购置费及燃料费、维修费、过路过桥费、保险费、安全奖励费用等支出;公务接待费反映单位按规定开支的各类公务接待(含外宾接待)费用。</w:t>
      </w:r>
    </w:p>
    <w:p w14:paraId="4B0878DD">
      <w:pPr>
        <w:spacing w:line="560" w:lineRule="exact"/>
        <w:ind w:firstLine="555"/>
        <w:outlineLvl w:val="0"/>
        <w:rPr>
          <w:rFonts w:ascii="仿宋_GB2312" w:eastAsia="仿宋_GB2312"/>
          <w:sz w:val="32"/>
          <w:szCs w:val="32"/>
        </w:rPr>
      </w:pPr>
      <w:r>
        <w:rPr>
          <w:rFonts w:hint="eastAsia" w:ascii="仿宋_GB2312" w:eastAsia="仿宋_GB2312"/>
          <w:sz w:val="32"/>
          <w:szCs w:val="32"/>
        </w:rPr>
        <w:t>机关运行经费:是指行政单位(含参照公务员法管理事业单位)使用一般公共预算财政拨款安排的基本支出中的日常公用经费支出,包括办公及印刷费、邮电费、差旅费、会议费、福利费、维修(护)费、专用材料费、办公用房水电费、办公用房取暖费、办公用房物业管理费、公务用车运行维护费以及其他费用。</w:t>
      </w:r>
    </w:p>
    <w:p w14:paraId="4AC06E5E">
      <w:pPr>
        <w:spacing w:line="560" w:lineRule="exact"/>
        <w:ind w:firstLine="555"/>
        <w:outlineLvl w:val="0"/>
        <w:rPr>
          <w:rFonts w:ascii="仿宋_GB2312" w:eastAsia="仿宋_GB2312"/>
          <w:sz w:val="32"/>
          <w:szCs w:val="32"/>
        </w:rPr>
      </w:pPr>
      <w:r>
        <w:rPr>
          <w:rFonts w:hint="eastAsia" w:ascii="仿宋_GB2312" w:eastAsia="仿宋_GB2312"/>
          <w:sz w:val="32"/>
          <w:szCs w:val="32"/>
        </w:rPr>
        <w:t>事前绩效评估：指在预算编制时，财政单位根据单位战略规划、事业发展规划、项目申报理由等内容，通过委托第三方的方式，运用科学、合理的评估方法，对项目实施必要性、可行性、绩效目标设置的科学性、财政支持的方式、项目预算的合理性等方面进行客观、公正的评估。</w:t>
      </w:r>
    </w:p>
    <w:p w14:paraId="24B9FA67">
      <w:pPr>
        <w:spacing w:line="560" w:lineRule="exact"/>
        <w:ind w:firstLine="555"/>
        <w:outlineLvl w:val="0"/>
        <w:rPr>
          <w:rFonts w:ascii="仿宋_GB2312" w:eastAsia="仿宋_GB2312"/>
          <w:sz w:val="32"/>
          <w:szCs w:val="32"/>
        </w:rPr>
      </w:pPr>
      <w:r>
        <w:rPr>
          <w:rFonts w:hint="eastAsia" w:ascii="仿宋_GB2312" w:eastAsia="仿宋_GB2312"/>
          <w:sz w:val="32"/>
          <w:szCs w:val="32"/>
        </w:rPr>
        <w:t>绩效评价：指财政单位和预算单位（单位）根据设定的绩效目标，运用科学、合理的绩效评价指标、评价标准和评价方法，对财政支出的经济性、效率性和效益性进行客观、公正的评价。其中，绩效目标的设立是开展绩效评价的前提和基础，绩效评价指标是绩效评价的工具和手段，财政支出的经济性、效率性和效益性是绩效评价的主要内容。</w:t>
      </w:r>
    </w:p>
    <w:p w14:paraId="06FDAEC0">
      <w:pPr>
        <w:spacing w:line="560" w:lineRule="exact"/>
        <w:ind w:firstLine="555"/>
        <w:outlineLvl w:val="0"/>
        <w:rPr>
          <w:rFonts w:ascii="仿宋_GB2312" w:eastAsia="仿宋_GB2312"/>
          <w:sz w:val="32"/>
          <w:szCs w:val="32"/>
        </w:rPr>
      </w:pPr>
      <w:r>
        <w:rPr>
          <w:rFonts w:hint="eastAsia" w:ascii="仿宋_GB2312" w:eastAsia="仿宋_GB2312"/>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55B95F25">
      <w:pPr>
        <w:spacing w:line="560" w:lineRule="exact"/>
        <w:ind w:firstLine="555"/>
        <w:outlineLvl w:val="0"/>
        <w:rPr>
          <w:rFonts w:ascii="仿宋_GB2312" w:eastAsia="仿宋_GB2312"/>
          <w:sz w:val="32"/>
          <w:szCs w:val="32"/>
        </w:rPr>
      </w:pPr>
      <w:r>
        <w:rPr>
          <w:rFonts w:hint="eastAsia" w:ascii="仿宋_GB2312" w:eastAsia="仿宋_GB2312"/>
          <w:sz w:val="32"/>
          <w:szCs w:val="32"/>
        </w:rPr>
        <w:t>政府购买服务:通过发挥市场机制作用,把政府直接提供的一部分公共服务事项以及政府履职所需服务事项,按照一定的方式和程序,交由具备条件的社会力量和事业单位承担,并由政府根据合同约定向其支付费用。</w:t>
      </w:r>
    </w:p>
    <w:p w14:paraId="002D155D">
      <w:pPr>
        <w:spacing w:line="560" w:lineRule="exact"/>
        <w:ind w:firstLine="555"/>
        <w:outlineLvl w:val="0"/>
        <w:rPr>
          <w:rFonts w:ascii="仿宋_GB2312" w:eastAsia="仿宋_GB2312"/>
          <w:b/>
          <w:sz w:val="32"/>
          <w:szCs w:val="32"/>
        </w:rPr>
      </w:pPr>
      <w:r>
        <w:rPr>
          <w:rFonts w:hint="eastAsia" w:ascii="仿宋_GB2312" w:eastAsia="仿宋_GB2312"/>
          <w:sz w:val="32"/>
          <w:szCs w:val="32"/>
        </w:rPr>
        <w:t>财政监督：指财政单位在财政分配过程中，对国家机关、企事业单位、社会团体和其他组织或个人涉及财政收支、财务收支、国有权益以及其他有关财政管理事项进行监督，对其合法性进行监控、检查、稽核、督促和反映。</w:t>
      </w:r>
    </w:p>
    <w:p w14:paraId="5A528EE4">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66713937">
      <w:pPr>
        <w:pStyle w:val="4"/>
        <w:spacing w:before="0" w:before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详见2022年度单位预算公开报表模板</w:t>
      </w:r>
    </w:p>
    <w:p w14:paraId="52E14FEC">
      <w:pPr>
        <w:pStyle w:val="4"/>
        <w:spacing w:before="0" w:beforeAutospacing="0" w:line="560" w:lineRule="exact"/>
        <w:ind w:firstLine="640" w:firstLineChars="200"/>
        <w:jc w:val="both"/>
        <w:rPr>
          <w:rFonts w:ascii="仿宋_GB2312" w:eastAsia="仿宋_GB2312"/>
          <w:sz w:val="32"/>
          <w:szCs w:val="32"/>
        </w:rPr>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3A06C">
    <w:pPr>
      <w:pStyle w:val="2"/>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5</w:t>
    </w:r>
    <w:r>
      <w:rPr>
        <w:rStyle w:val="8"/>
      </w:rPr>
      <w:fldChar w:fldCharType="end"/>
    </w:r>
  </w:p>
  <w:p w14:paraId="66D8EE8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FEC95">
    <w:pPr>
      <w:pStyle w:val="2"/>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14:paraId="1E9177FC">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F826B8"/>
    <w:multiLevelType w:val="singleLevel"/>
    <w:tmpl w:val="C6F826B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20F6"/>
    <w:rsid w:val="00001878"/>
    <w:rsid w:val="000036E0"/>
    <w:rsid w:val="0002375B"/>
    <w:rsid w:val="00023E35"/>
    <w:rsid w:val="00026055"/>
    <w:rsid w:val="00027115"/>
    <w:rsid w:val="00052B58"/>
    <w:rsid w:val="0005655B"/>
    <w:rsid w:val="00057FE5"/>
    <w:rsid w:val="00077216"/>
    <w:rsid w:val="0009135C"/>
    <w:rsid w:val="00093039"/>
    <w:rsid w:val="000A01CB"/>
    <w:rsid w:val="000A5499"/>
    <w:rsid w:val="000A7B9C"/>
    <w:rsid w:val="000B3336"/>
    <w:rsid w:val="000B4954"/>
    <w:rsid w:val="000B572C"/>
    <w:rsid w:val="000C7E53"/>
    <w:rsid w:val="000D5403"/>
    <w:rsid w:val="000D5CB6"/>
    <w:rsid w:val="000E7382"/>
    <w:rsid w:val="000F4F26"/>
    <w:rsid w:val="00114017"/>
    <w:rsid w:val="00116EC9"/>
    <w:rsid w:val="00127853"/>
    <w:rsid w:val="001304FA"/>
    <w:rsid w:val="00137CD9"/>
    <w:rsid w:val="00144468"/>
    <w:rsid w:val="0015536F"/>
    <w:rsid w:val="00183C8F"/>
    <w:rsid w:val="001A3A3C"/>
    <w:rsid w:val="001D0C7F"/>
    <w:rsid w:val="001D1490"/>
    <w:rsid w:val="001D5BF2"/>
    <w:rsid w:val="001E08D3"/>
    <w:rsid w:val="001E2446"/>
    <w:rsid w:val="001E39C7"/>
    <w:rsid w:val="00204BCF"/>
    <w:rsid w:val="00204D7E"/>
    <w:rsid w:val="002134C7"/>
    <w:rsid w:val="002256D5"/>
    <w:rsid w:val="00235817"/>
    <w:rsid w:val="00244581"/>
    <w:rsid w:val="002606EC"/>
    <w:rsid w:val="00284B17"/>
    <w:rsid w:val="002B23DC"/>
    <w:rsid w:val="002C00DC"/>
    <w:rsid w:val="002D000D"/>
    <w:rsid w:val="002D63AB"/>
    <w:rsid w:val="002E0218"/>
    <w:rsid w:val="00300628"/>
    <w:rsid w:val="00310954"/>
    <w:rsid w:val="003213C0"/>
    <w:rsid w:val="003336F9"/>
    <w:rsid w:val="0035033F"/>
    <w:rsid w:val="00353E2F"/>
    <w:rsid w:val="0035619F"/>
    <w:rsid w:val="003730A0"/>
    <w:rsid w:val="00375983"/>
    <w:rsid w:val="00380F42"/>
    <w:rsid w:val="0038347B"/>
    <w:rsid w:val="00391AB7"/>
    <w:rsid w:val="003A263D"/>
    <w:rsid w:val="003A48F8"/>
    <w:rsid w:val="003A6C1C"/>
    <w:rsid w:val="003D3F88"/>
    <w:rsid w:val="003D4D02"/>
    <w:rsid w:val="003E5F0F"/>
    <w:rsid w:val="003F1E6C"/>
    <w:rsid w:val="004022AA"/>
    <w:rsid w:val="00410301"/>
    <w:rsid w:val="0045050E"/>
    <w:rsid w:val="00456D39"/>
    <w:rsid w:val="004572B0"/>
    <w:rsid w:val="00464E21"/>
    <w:rsid w:val="004720C9"/>
    <w:rsid w:val="00486D33"/>
    <w:rsid w:val="00487613"/>
    <w:rsid w:val="004A1E47"/>
    <w:rsid w:val="004B7A67"/>
    <w:rsid w:val="004C0494"/>
    <w:rsid w:val="004C55EE"/>
    <w:rsid w:val="004D1692"/>
    <w:rsid w:val="004D447F"/>
    <w:rsid w:val="004D69B3"/>
    <w:rsid w:val="004E3DF6"/>
    <w:rsid w:val="004E5BDF"/>
    <w:rsid w:val="004F3C77"/>
    <w:rsid w:val="00531453"/>
    <w:rsid w:val="00536999"/>
    <w:rsid w:val="00543CD6"/>
    <w:rsid w:val="00546229"/>
    <w:rsid w:val="00555C0E"/>
    <w:rsid w:val="0056026D"/>
    <w:rsid w:val="00562B6C"/>
    <w:rsid w:val="00565F70"/>
    <w:rsid w:val="00567A37"/>
    <w:rsid w:val="00595540"/>
    <w:rsid w:val="00595927"/>
    <w:rsid w:val="005A14F7"/>
    <w:rsid w:val="005A239F"/>
    <w:rsid w:val="005D417E"/>
    <w:rsid w:val="005E6868"/>
    <w:rsid w:val="00611E10"/>
    <w:rsid w:val="00620DF7"/>
    <w:rsid w:val="00636822"/>
    <w:rsid w:val="006372EB"/>
    <w:rsid w:val="00666B2D"/>
    <w:rsid w:val="00675753"/>
    <w:rsid w:val="00675A84"/>
    <w:rsid w:val="006846A5"/>
    <w:rsid w:val="00690208"/>
    <w:rsid w:val="006A335C"/>
    <w:rsid w:val="006B17D3"/>
    <w:rsid w:val="006D2210"/>
    <w:rsid w:val="006E0260"/>
    <w:rsid w:val="006E12B1"/>
    <w:rsid w:val="006E47F7"/>
    <w:rsid w:val="006F7921"/>
    <w:rsid w:val="00713B2E"/>
    <w:rsid w:val="0071609C"/>
    <w:rsid w:val="00721288"/>
    <w:rsid w:val="00735182"/>
    <w:rsid w:val="00742728"/>
    <w:rsid w:val="0076274C"/>
    <w:rsid w:val="00793C2E"/>
    <w:rsid w:val="007945FE"/>
    <w:rsid w:val="00794CBF"/>
    <w:rsid w:val="00797C6B"/>
    <w:rsid w:val="007C086C"/>
    <w:rsid w:val="007C6442"/>
    <w:rsid w:val="007F5956"/>
    <w:rsid w:val="008176EC"/>
    <w:rsid w:val="00832A74"/>
    <w:rsid w:val="008502AB"/>
    <w:rsid w:val="00866C57"/>
    <w:rsid w:val="00872718"/>
    <w:rsid w:val="00881E59"/>
    <w:rsid w:val="008859BA"/>
    <w:rsid w:val="008A6A4C"/>
    <w:rsid w:val="008D1B71"/>
    <w:rsid w:val="008D4141"/>
    <w:rsid w:val="008F39D7"/>
    <w:rsid w:val="008F3F22"/>
    <w:rsid w:val="00916D27"/>
    <w:rsid w:val="00922166"/>
    <w:rsid w:val="009229FF"/>
    <w:rsid w:val="00926FED"/>
    <w:rsid w:val="00927113"/>
    <w:rsid w:val="00931B9E"/>
    <w:rsid w:val="00941257"/>
    <w:rsid w:val="009653D0"/>
    <w:rsid w:val="00966DC1"/>
    <w:rsid w:val="0097255D"/>
    <w:rsid w:val="009729DB"/>
    <w:rsid w:val="009761BA"/>
    <w:rsid w:val="009777FF"/>
    <w:rsid w:val="00983FE7"/>
    <w:rsid w:val="00984869"/>
    <w:rsid w:val="00985A5D"/>
    <w:rsid w:val="009877B6"/>
    <w:rsid w:val="009967F2"/>
    <w:rsid w:val="009B51C1"/>
    <w:rsid w:val="009C633E"/>
    <w:rsid w:val="009D308E"/>
    <w:rsid w:val="009E249D"/>
    <w:rsid w:val="009F5A67"/>
    <w:rsid w:val="00A041B5"/>
    <w:rsid w:val="00A14D62"/>
    <w:rsid w:val="00A46783"/>
    <w:rsid w:val="00A50636"/>
    <w:rsid w:val="00A6117C"/>
    <w:rsid w:val="00A63760"/>
    <w:rsid w:val="00A83879"/>
    <w:rsid w:val="00A91DB2"/>
    <w:rsid w:val="00A92243"/>
    <w:rsid w:val="00AA1995"/>
    <w:rsid w:val="00AB01D3"/>
    <w:rsid w:val="00AB0533"/>
    <w:rsid w:val="00AB78E5"/>
    <w:rsid w:val="00AC7A26"/>
    <w:rsid w:val="00AE2744"/>
    <w:rsid w:val="00AE28A6"/>
    <w:rsid w:val="00AE762F"/>
    <w:rsid w:val="00AF2AA1"/>
    <w:rsid w:val="00B11207"/>
    <w:rsid w:val="00B214EA"/>
    <w:rsid w:val="00B24B4C"/>
    <w:rsid w:val="00B25F97"/>
    <w:rsid w:val="00B3440D"/>
    <w:rsid w:val="00B37A94"/>
    <w:rsid w:val="00B52DC0"/>
    <w:rsid w:val="00B73A71"/>
    <w:rsid w:val="00B84751"/>
    <w:rsid w:val="00B90431"/>
    <w:rsid w:val="00B94B75"/>
    <w:rsid w:val="00BD72E4"/>
    <w:rsid w:val="00BE52BB"/>
    <w:rsid w:val="00BF3EE8"/>
    <w:rsid w:val="00C01452"/>
    <w:rsid w:val="00C271D4"/>
    <w:rsid w:val="00C41D9F"/>
    <w:rsid w:val="00C52BC8"/>
    <w:rsid w:val="00C5314B"/>
    <w:rsid w:val="00C5407C"/>
    <w:rsid w:val="00C55145"/>
    <w:rsid w:val="00C72B4C"/>
    <w:rsid w:val="00C77772"/>
    <w:rsid w:val="00C86F4F"/>
    <w:rsid w:val="00C94915"/>
    <w:rsid w:val="00C95E2C"/>
    <w:rsid w:val="00CC1030"/>
    <w:rsid w:val="00CC19B8"/>
    <w:rsid w:val="00CC423C"/>
    <w:rsid w:val="00CD624E"/>
    <w:rsid w:val="00CD7167"/>
    <w:rsid w:val="00CE43C9"/>
    <w:rsid w:val="00CE7472"/>
    <w:rsid w:val="00D05EA0"/>
    <w:rsid w:val="00D122AE"/>
    <w:rsid w:val="00D238DC"/>
    <w:rsid w:val="00D258CA"/>
    <w:rsid w:val="00D27769"/>
    <w:rsid w:val="00D33767"/>
    <w:rsid w:val="00D5191D"/>
    <w:rsid w:val="00DB06C9"/>
    <w:rsid w:val="00DB0E4F"/>
    <w:rsid w:val="00DB2D0C"/>
    <w:rsid w:val="00DB7A40"/>
    <w:rsid w:val="00DC2755"/>
    <w:rsid w:val="00DE2860"/>
    <w:rsid w:val="00DE307F"/>
    <w:rsid w:val="00DF2602"/>
    <w:rsid w:val="00DF5741"/>
    <w:rsid w:val="00E114B9"/>
    <w:rsid w:val="00E13933"/>
    <w:rsid w:val="00E16A12"/>
    <w:rsid w:val="00E3081C"/>
    <w:rsid w:val="00E43758"/>
    <w:rsid w:val="00E43ADC"/>
    <w:rsid w:val="00E84DFC"/>
    <w:rsid w:val="00E85514"/>
    <w:rsid w:val="00E92402"/>
    <w:rsid w:val="00EB5D21"/>
    <w:rsid w:val="00EC18A7"/>
    <w:rsid w:val="00EF07C1"/>
    <w:rsid w:val="00F0463B"/>
    <w:rsid w:val="00F04CC8"/>
    <w:rsid w:val="00F20D7C"/>
    <w:rsid w:val="00F22572"/>
    <w:rsid w:val="00F420F6"/>
    <w:rsid w:val="00F57AC7"/>
    <w:rsid w:val="00F57CF2"/>
    <w:rsid w:val="00F66D28"/>
    <w:rsid w:val="00F701FB"/>
    <w:rsid w:val="00F960BF"/>
    <w:rsid w:val="00FA5F24"/>
    <w:rsid w:val="00FB3502"/>
    <w:rsid w:val="00FB4232"/>
    <w:rsid w:val="00FD526C"/>
    <w:rsid w:val="00FE5A9E"/>
    <w:rsid w:val="00FF033A"/>
    <w:rsid w:val="0FE342F9"/>
    <w:rsid w:val="17C43107"/>
    <w:rsid w:val="287C6C14"/>
    <w:rsid w:val="3A371265"/>
    <w:rsid w:val="40C314C1"/>
    <w:rsid w:val="4D9B297B"/>
    <w:rsid w:val="51F1310D"/>
    <w:rsid w:val="529E33DA"/>
    <w:rsid w:val="52C1432B"/>
    <w:rsid w:val="58B923AD"/>
    <w:rsid w:val="5AE458B6"/>
    <w:rsid w:val="5D6D1C91"/>
    <w:rsid w:val="6627350D"/>
    <w:rsid w:val="679C58A2"/>
    <w:rsid w:val="74910B14"/>
    <w:rsid w:val="785301C9"/>
    <w:rsid w:val="7EEF9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cs="宋体"/>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uiPriority w:val="0"/>
  </w:style>
  <w:style w:type="character" w:customStyle="1" w:styleId="9">
    <w:name w:val="页脚 Char"/>
    <w:link w:val="2"/>
    <w:qFormat/>
    <w:uiPriority w:val="0"/>
    <w:rPr>
      <w:kern w:val="2"/>
      <w:sz w:val="18"/>
      <w:szCs w:val="18"/>
    </w:rPr>
  </w:style>
  <w:style w:type="character" w:customStyle="1" w:styleId="10">
    <w:name w:val="页眉 Char"/>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123</Company>
  <Pages>7</Pages>
  <Words>3116</Words>
  <Characters>3296</Characters>
  <Lines>24</Lines>
  <Paragraphs>6</Paragraphs>
  <TotalTime>132</TotalTime>
  <ScaleCrop>false</ScaleCrop>
  <LinksUpToDate>false</LinksUpToDate>
  <CharactersWithSpaces>3326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2022-05-19T04:03:00Z</dcterms:created>
  <dc:creator>唐立新</dc:creator>
  <cp:lastModifiedBy>寇俊鹏</cp:lastModifiedBy>
  <cp:lastPrinted>2021-12-23T08:40:00Z</cp:lastPrinted>
  <dcterms:modified xsi:type="dcterms:W3CDTF">2025-03-24T06:39:29Z</dcterms:modified>
  <dc:title>×××××2016年</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eyJoZGlkIjoiMDY1MWZiMWEyNWMwNTVlZmNmM2QxMTdmNzZkNjNmZmYiLCJ1c2VySWQiOiI3NTk1ODIzMjQifQ==</vt:lpwstr>
  </property>
  <property fmtid="{D5CDD505-2E9C-101B-9397-08002B2CF9AE}" pid="4" name="ICV">
    <vt:lpwstr>232CC29361854F54B83AFDB00F78B8CA_12</vt:lpwstr>
  </property>
</Properties>
</file>