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2020年度北京市通州区玉桥街道办事处</w:t>
      </w:r>
    </w:p>
    <w:p>
      <w:pPr>
        <w:spacing w:line="560" w:lineRule="exact"/>
        <w:jc w:val="center"/>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部门决算公开</w:t>
      </w:r>
    </w:p>
    <w:p>
      <w:pPr>
        <w:spacing w:line="560" w:lineRule="exact"/>
        <w:rPr>
          <w:rFonts w:hint="default" w:ascii="仿宋_GB2312" w:hAnsi="仿宋_GB2312" w:eastAsia="仿宋_GB2312" w:cs="仿宋_GB2312"/>
          <w:sz w:val="32"/>
          <w:szCs w:val="32"/>
        </w:rPr>
      </w:pPr>
      <w:r>
        <w:rPr>
          <w:rFonts w:ascii="仿宋_GB2312" w:hAnsi="仿宋_GB2312" w:eastAsia="仿宋_GB2312" w:cs="仿宋_GB2312"/>
          <w:sz w:val="32"/>
          <w:szCs w:val="32"/>
        </w:rPr>
        <w:t> </w:t>
      </w:r>
    </w:p>
    <w:p>
      <w:pPr>
        <w:jc w:val="center"/>
        <w:rPr>
          <w:rFonts w:hint="default" w:ascii="黑体" w:hAnsi="黑体" w:eastAsia="黑体" w:cs="黑体"/>
          <w:sz w:val="32"/>
          <w:szCs w:val="32"/>
        </w:rPr>
      </w:pPr>
      <w:r>
        <w:rPr>
          <w:rFonts w:ascii="黑体" w:hAnsi="黑体" w:eastAsia="黑体" w:cs="黑体"/>
          <w:sz w:val="32"/>
          <w:szCs w:val="32"/>
        </w:rPr>
        <w:t>目录</w:t>
      </w:r>
    </w:p>
    <w:p>
      <w:pPr>
        <w:ind w:firstLine="640" w:firstLineChars="200"/>
        <w:rPr>
          <w:rFonts w:hint="default" w:ascii="黑体" w:hAnsi="黑体" w:eastAsia="黑体" w:cs="黑体"/>
          <w:sz w:val="32"/>
          <w:szCs w:val="32"/>
        </w:rPr>
      </w:pPr>
      <w:r>
        <w:rPr>
          <w:rFonts w:ascii="黑体" w:hAnsi="黑体" w:eastAsia="黑体" w:cs="黑体"/>
          <w:sz w:val="32"/>
          <w:szCs w:val="32"/>
        </w:rPr>
        <w:t>第一部分 2020年度部门决算报表</w:t>
      </w:r>
    </w:p>
    <w:p>
      <w:pPr>
        <w:ind w:firstLine="640" w:firstLineChars="200"/>
        <w:rPr>
          <w:rFonts w:hint="default" w:ascii="黑体" w:hAnsi="黑体" w:eastAsia="黑体" w:cs="黑体"/>
          <w:sz w:val="32"/>
          <w:szCs w:val="32"/>
        </w:rPr>
      </w:pPr>
      <w:r>
        <w:rPr>
          <w:rFonts w:ascii="黑体" w:hAnsi="黑体" w:eastAsia="黑体" w:cs="黑体"/>
          <w:sz w:val="32"/>
          <w:szCs w:val="32"/>
        </w:rPr>
        <w:t>一、收入支出决算总表</w:t>
      </w:r>
    </w:p>
    <w:p>
      <w:pPr>
        <w:ind w:firstLine="640" w:firstLineChars="200"/>
        <w:rPr>
          <w:rFonts w:hint="default" w:ascii="黑体" w:hAnsi="黑体" w:eastAsia="黑体" w:cs="黑体"/>
          <w:sz w:val="32"/>
          <w:szCs w:val="32"/>
        </w:rPr>
      </w:pPr>
      <w:r>
        <w:rPr>
          <w:rFonts w:ascii="黑体" w:hAnsi="黑体" w:eastAsia="黑体" w:cs="黑体"/>
          <w:sz w:val="32"/>
          <w:szCs w:val="32"/>
        </w:rPr>
        <w:t>二、收入决算表</w:t>
      </w:r>
    </w:p>
    <w:p>
      <w:pPr>
        <w:ind w:firstLine="640" w:firstLineChars="200"/>
        <w:rPr>
          <w:rFonts w:hint="default" w:ascii="黑体" w:hAnsi="黑体" w:eastAsia="黑体" w:cs="黑体"/>
          <w:sz w:val="32"/>
          <w:szCs w:val="32"/>
        </w:rPr>
      </w:pPr>
      <w:r>
        <w:rPr>
          <w:rFonts w:ascii="黑体" w:hAnsi="黑体" w:eastAsia="黑体" w:cs="黑体"/>
          <w:sz w:val="32"/>
          <w:szCs w:val="32"/>
        </w:rPr>
        <w:t>三、支出决算表</w:t>
      </w:r>
    </w:p>
    <w:p>
      <w:pPr>
        <w:ind w:firstLine="640" w:firstLineChars="200"/>
        <w:rPr>
          <w:rFonts w:hint="default" w:ascii="黑体" w:hAnsi="黑体" w:eastAsia="黑体" w:cs="黑体"/>
          <w:sz w:val="32"/>
          <w:szCs w:val="32"/>
        </w:rPr>
      </w:pPr>
      <w:r>
        <w:rPr>
          <w:rFonts w:ascii="黑体" w:hAnsi="黑体" w:eastAsia="黑体" w:cs="黑体"/>
          <w:sz w:val="32"/>
          <w:szCs w:val="32"/>
        </w:rPr>
        <w:t>四、财政拨款收入支出决算总表</w:t>
      </w:r>
    </w:p>
    <w:p>
      <w:pPr>
        <w:ind w:firstLine="640" w:firstLineChars="200"/>
        <w:rPr>
          <w:rFonts w:hint="default" w:ascii="黑体" w:hAnsi="黑体" w:eastAsia="黑体" w:cs="黑体"/>
          <w:sz w:val="32"/>
          <w:szCs w:val="32"/>
        </w:rPr>
      </w:pPr>
      <w:r>
        <w:rPr>
          <w:rFonts w:ascii="黑体" w:hAnsi="黑体" w:eastAsia="黑体" w:cs="黑体"/>
          <w:sz w:val="32"/>
          <w:szCs w:val="32"/>
        </w:rPr>
        <w:t>五、一般公共预算财政拨款支出决算表</w:t>
      </w:r>
    </w:p>
    <w:p>
      <w:pPr>
        <w:ind w:firstLine="640" w:firstLineChars="200"/>
        <w:rPr>
          <w:rFonts w:hint="default" w:ascii="黑体" w:hAnsi="黑体" w:eastAsia="黑体" w:cs="黑体"/>
          <w:sz w:val="32"/>
          <w:szCs w:val="32"/>
        </w:rPr>
      </w:pPr>
      <w:r>
        <w:rPr>
          <w:rFonts w:ascii="黑体" w:hAnsi="黑体" w:eastAsia="黑体" w:cs="黑体"/>
          <w:sz w:val="32"/>
          <w:szCs w:val="32"/>
        </w:rPr>
        <w:t>六、一般公共预算财政拨款基本支出决算表</w:t>
      </w:r>
    </w:p>
    <w:p>
      <w:pPr>
        <w:ind w:firstLine="640" w:firstLineChars="200"/>
        <w:rPr>
          <w:rFonts w:hint="default" w:ascii="黑体" w:hAnsi="黑体" w:eastAsia="黑体" w:cs="黑体"/>
          <w:sz w:val="32"/>
          <w:szCs w:val="32"/>
        </w:rPr>
      </w:pPr>
      <w:r>
        <w:rPr>
          <w:rFonts w:ascii="黑体" w:hAnsi="黑体" w:eastAsia="黑体" w:cs="黑体"/>
          <w:sz w:val="32"/>
          <w:szCs w:val="32"/>
        </w:rPr>
        <w:t>七、政府性基金预算财政拨款收入支出决算表</w:t>
      </w:r>
    </w:p>
    <w:p>
      <w:pPr>
        <w:ind w:firstLine="640" w:firstLineChars="200"/>
        <w:rPr>
          <w:rFonts w:hint="default" w:ascii="黑体" w:hAnsi="黑体" w:eastAsia="黑体" w:cs="黑体"/>
          <w:sz w:val="32"/>
          <w:szCs w:val="32"/>
        </w:rPr>
      </w:pPr>
      <w:r>
        <w:rPr>
          <w:rFonts w:ascii="黑体" w:hAnsi="黑体" w:eastAsia="黑体" w:cs="黑体"/>
          <w:sz w:val="32"/>
          <w:szCs w:val="32"/>
        </w:rPr>
        <w:t>八、政府性基金预算财政拨款基本支出决算表</w:t>
      </w:r>
    </w:p>
    <w:p>
      <w:pPr>
        <w:ind w:firstLine="640" w:firstLineChars="200"/>
        <w:rPr>
          <w:rFonts w:hint="default" w:ascii="黑体" w:hAnsi="黑体" w:eastAsia="黑体" w:cs="黑体"/>
          <w:sz w:val="32"/>
          <w:szCs w:val="32"/>
        </w:rPr>
      </w:pPr>
      <w:r>
        <w:rPr>
          <w:rFonts w:ascii="黑体" w:hAnsi="黑体" w:eastAsia="黑体" w:cs="黑体"/>
          <w:sz w:val="32"/>
          <w:szCs w:val="32"/>
        </w:rPr>
        <w:t>九、国有资本经营预算财政拨款支出决算表</w:t>
      </w:r>
    </w:p>
    <w:p>
      <w:pPr>
        <w:ind w:firstLine="640" w:firstLineChars="200"/>
        <w:rPr>
          <w:rFonts w:hint="default" w:ascii="黑体" w:hAnsi="黑体" w:eastAsia="黑体" w:cs="黑体"/>
          <w:sz w:val="32"/>
          <w:szCs w:val="32"/>
        </w:rPr>
      </w:pPr>
      <w:r>
        <w:rPr>
          <w:rFonts w:ascii="黑体" w:hAnsi="黑体" w:eastAsia="黑体" w:cs="黑体"/>
          <w:sz w:val="32"/>
          <w:szCs w:val="32"/>
        </w:rPr>
        <w:t>十、财政拨款“三公”经费支出决算表</w:t>
      </w:r>
    </w:p>
    <w:p>
      <w:pPr>
        <w:ind w:firstLine="640" w:firstLineChars="200"/>
        <w:rPr>
          <w:rFonts w:hint="default" w:ascii="黑体" w:hAnsi="黑体" w:eastAsia="黑体" w:cs="黑体"/>
          <w:sz w:val="32"/>
          <w:szCs w:val="32"/>
        </w:rPr>
      </w:pPr>
      <w:r>
        <w:rPr>
          <w:rFonts w:ascii="黑体" w:hAnsi="黑体" w:eastAsia="黑体" w:cs="黑体"/>
          <w:sz w:val="32"/>
          <w:szCs w:val="32"/>
        </w:rPr>
        <w:t>十一、政府采购情况表</w:t>
      </w:r>
    </w:p>
    <w:p>
      <w:pPr>
        <w:ind w:firstLine="640" w:firstLineChars="200"/>
        <w:rPr>
          <w:rFonts w:hint="default" w:ascii="黑体" w:hAnsi="黑体" w:eastAsia="黑体" w:cs="黑体"/>
          <w:sz w:val="32"/>
          <w:szCs w:val="32"/>
        </w:rPr>
      </w:pPr>
      <w:r>
        <w:rPr>
          <w:rFonts w:ascii="黑体" w:hAnsi="黑体" w:eastAsia="黑体" w:cs="黑体"/>
          <w:sz w:val="32"/>
          <w:szCs w:val="32"/>
        </w:rPr>
        <w:t>十二、政府购买服务支出情况表</w:t>
      </w:r>
    </w:p>
    <w:p>
      <w:pPr>
        <w:ind w:firstLine="640" w:firstLineChars="200"/>
        <w:rPr>
          <w:rFonts w:hint="default" w:ascii="黑体" w:hAnsi="黑体" w:eastAsia="黑体" w:cs="黑体"/>
          <w:sz w:val="32"/>
          <w:szCs w:val="32"/>
        </w:rPr>
      </w:pPr>
      <w:r>
        <w:rPr>
          <w:rFonts w:ascii="黑体" w:hAnsi="黑体" w:eastAsia="黑体" w:cs="黑体"/>
          <w:sz w:val="32"/>
          <w:szCs w:val="32"/>
        </w:rPr>
        <w:t>第二部分 2020年度部门决算说明</w:t>
      </w:r>
    </w:p>
    <w:p>
      <w:pPr>
        <w:ind w:firstLine="640" w:firstLineChars="200"/>
        <w:rPr>
          <w:rFonts w:hint="default" w:ascii="黑体" w:hAnsi="黑体" w:eastAsia="黑体" w:cs="黑体"/>
          <w:sz w:val="32"/>
          <w:szCs w:val="32"/>
        </w:rPr>
      </w:pPr>
      <w:r>
        <w:rPr>
          <w:rFonts w:ascii="黑体" w:hAnsi="黑体" w:eastAsia="黑体" w:cs="黑体"/>
          <w:sz w:val="32"/>
          <w:szCs w:val="32"/>
        </w:rPr>
        <w:t>第三部分 2020年度其他重要事项的情况说明</w:t>
      </w:r>
    </w:p>
    <w:p>
      <w:pPr>
        <w:ind w:firstLine="640" w:firstLineChars="200"/>
        <w:rPr>
          <w:rFonts w:hint="default" w:ascii="黑体" w:hAnsi="黑体" w:eastAsia="黑体" w:cs="黑体"/>
          <w:sz w:val="32"/>
          <w:szCs w:val="32"/>
        </w:rPr>
      </w:pPr>
      <w:r>
        <w:rPr>
          <w:rFonts w:ascii="黑体" w:hAnsi="黑体" w:eastAsia="黑体" w:cs="黑体"/>
          <w:sz w:val="32"/>
          <w:szCs w:val="32"/>
        </w:rPr>
        <w:t>第四部分 2020年度部门绩效评价情况</w:t>
      </w:r>
    </w:p>
    <w:p>
      <w:pPr>
        <w:spacing w:line="560" w:lineRule="exact"/>
        <w:rPr>
          <w:rFonts w:hint="default" w:ascii="黑体" w:hAnsi="黑体" w:eastAsia="黑体" w:cs="黑体"/>
          <w:sz w:val="32"/>
          <w:szCs w:val="32"/>
        </w:rPr>
      </w:pPr>
    </w:p>
    <w:p>
      <w:pPr>
        <w:spacing w:line="560" w:lineRule="exact"/>
        <w:rPr>
          <w:rFonts w:hint="default" w:ascii="黑体" w:hAnsi="黑体" w:eastAsia="黑体" w:cs="黑体"/>
          <w:sz w:val="32"/>
          <w:szCs w:val="32"/>
        </w:rPr>
      </w:pPr>
    </w:p>
    <w:p>
      <w:pPr>
        <w:spacing w:line="560" w:lineRule="exact"/>
        <w:jc w:val="center"/>
        <w:rPr>
          <w:rFonts w:hint="default" w:ascii="黑体" w:hAnsi="黑体" w:eastAsia="黑体" w:cs="黑体"/>
          <w:sz w:val="32"/>
          <w:szCs w:val="32"/>
        </w:rPr>
      </w:pPr>
      <w:r>
        <w:rPr>
          <w:rFonts w:ascii="黑体" w:hAnsi="黑体" w:eastAsia="黑体" w:cs="黑体"/>
          <w:sz w:val="32"/>
          <w:szCs w:val="32"/>
        </w:rPr>
        <w:t>第一部分 2020年度部门决算报表</w:t>
      </w:r>
    </w:p>
    <w:p>
      <w:pPr>
        <w:spacing w:line="560" w:lineRule="exact"/>
        <w:jc w:val="center"/>
        <w:rPr>
          <w:rFonts w:hint="default" w:ascii="黑体" w:hAnsi="黑体" w:eastAsia="黑体" w:cs="黑体"/>
          <w:sz w:val="32"/>
          <w:szCs w:val="32"/>
        </w:rPr>
      </w:pPr>
      <w:r>
        <w:rPr>
          <w:rFonts w:ascii="黑体" w:hAnsi="黑体" w:eastAsia="黑体" w:cs="黑体"/>
          <w:sz w:val="32"/>
          <w:szCs w:val="32"/>
        </w:rPr>
        <w:t>详见附件</w:t>
      </w:r>
    </w:p>
    <w:p>
      <w:pPr>
        <w:spacing w:line="560" w:lineRule="exact"/>
        <w:jc w:val="center"/>
        <w:rPr>
          <w:rFonts w:hint="default" w:ascii="仿宋_GB2312" w:hAnsi="仿宋_GB2312" w:eastAsia="仿宋_GB2312" w:cs="仿宋_GB2312"/>
          <w:sz w:val="32"/>
          <w:szCs w:val="32"/>
        </w:rPr>
      </w:pPr>
      <w:r>
        <w:rPr>
          <w:rFonts w:ascii="黑体" w:hAnsi="黑体" w:eastAsia="黑体" w:cs="黑体"/>
          <w:sz w:val="32"/>
          <w:szCs w:val="32"/>
        </w:rPr>
        <w:t>第二部分 2020年度部门决算说明</w:t>
      </w:r>
    </w:p>
    <w:p>
      <w:pPr>
        <w:spacing w:line="560" w:lineRule="exact"/>
        <w:ind w:firstLine="640" w:firstLineChars="200"/>
        <w:rPr>
          <w:rFonts w:hint="default" w:ascii="黑体" w:hAnsi="黑体" w:eastAsia="黑体" w:cs="黑体"/>
          <w:sz w:val="32"/>
          <w:szCs w:val="32"/>
        </w:rPr>
      </w:pPr>
      <w:r>
        <w:rPr>
          <w:rFonts w:ascii="黑体" w:hAnsi="黑体" w:eastAsia="黑体" w:cs="黑体"/>
          <w:sz w:val="32"/>
          <w:szCs w:val="32"/>
        </w:rPr>
        <w:t>一、部门基本情况</w:t>
      </w:r>
    </w:p>
    <w:p>
      <w:pPr>
        <w:spacing w:line="560" w:lineRule="exact"/>
        <w:ind w:firstLine="640" w:firstLineChars="200"/>
        <w:rPr>
          <w:rFonts w:hint="default" w:ascii="楷体_GB2312" w:hAnsi="楷体_GB2312" w:eastAsia="楷体_GB2312" w:cs="楷体_GB2312"/>
          <w:sz w:val="32"/>
          <w:szCs w:val="32"/>
        </w:rPr>
      </w:pPr>
      <w:r>
        <w:rPr>
          <w:rFonts w:ascii="楷体_GB2312" w:hAnsi="楷体_GB2312" w:eastAsia="楷体_GB2312" w:cs="楷体_GB2312"/>
          <w:sz w:val="32"/>
          <w:szCs w:val="32"/>
        </w:rPr>
        <w:t>（一）机构设置、职责</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1、机构设置：北京市通州区玉桥街道办事处（本级）下设6个内设机构：综合办公室、党群工作办公室、平安建设办公室、城市管理办公室、社区建设办公室、民生保障办公室。设立三个事业编制单位：玉桥街道便民服务中心、玉桥街道市民活动中心、玉桥街道市民诉求处置中心；设立一个行政执法机构：玉桥街道综合行政执法队。事业单位人员经费、公用经费全部拨到玉桥街道办事处（本级）共同管理使用。</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2、部门职责：玉桥街道办事处是通州区人民政府的派出机构，代表区政府依据法律法规的规定对街道辖区行使政府管理职能。</w:t>
      </w:r>
    </w:p>
    <w:p>
      <w:pPr>
        <w:spacing w:line="560" w:lineRule="exact"/>
        <w:ind w:firstLine="640" w:firstLineChars="200"/>
        <w:rPr>
          <w:rFonts w:hint="default" w:ascii="楷体_GB2312" w:hAnsi="楷体_GB2312" w:eastAsia="楷体_GB2312" w:cs="楷体_GB2312"/>
          <w:sz w:val="32"/>
          <w:szCs w:val="32"/>
        </w:rPr>
      </w:pPr>
      <w:r>
        <w:rPr>
          <w:rFonts w:ascii="楷体_GB2312" w:hAnsi="楷体_GB2312" w:eastAsia="楷体_GB2312" w:cs="楷体_GB2312"/>
          <w:sz w:val="32"/>
          <w:szCs w:val="32"/>
        </w:rPr>
        <w:t>（二）人员构成情况</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本部门行政编制70人，实有人数65人；事业编制54人，实有人数40人。</w:t>
      </w:r>
    </w:p>
    <w:p>
      <w:pPr>
        <w:spacing w:line="560" w:lineRule="exact"/>
        <w:ind w:firstLine="640" w:firstLineChars="200"/>
        <w:rPr>
          <w:rFonts w:hint="default" w:ascii="黑体" w:hAnsi="黑体" w:eastAsia="黑体" w:cs="黑体"/>
          <w:sz w:val="32"/>
          <w:szCs w:val="32"/>
        </w:rPr>
      </w:pPr>
      <w:r>
        <w:rPr>
          <w:rFonts w:ascii="黑体" w:hAnsi="黑体" w:eastAsia="黑体" w:cs="黑体"/>
          <w:sz w:val="32"/>
          <w:szCs w:val="32"/>
        </w:rPr>
        <w:t> 二、收入支出决算总体情况说明</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2020年度收、支总计15,201.893701万元，比上年增加2,622.291643万元，增长20.85%。</w:t>
      </w:r>
    </w:p>
    <w:p>
      <w:pPr>
        <w:spacing w:line="560" w:lineRule="exact"/>
        <w:ind w:firstLine="640" w:firstLineChars="200"/>
        <w:rPr>
          <w:rFonts w:hint="default" w:ascii="楷体_GB2312" w:hAnsi="楷体_GB2312" w:eastAsia="楷体_GB2312" w:cs="楷体_GB2312"/>
          <w:sz w:val="32"/>
          <w:szCs w:val="32"/>
        </w:rPr>
      </w:pPr>
      <w:r>
        <w:rPr>
          <w:rFonts w:ascii="楷体_GB2312" w:hAnsi="楷体_GB2312" w:eastAsia="楷体_GB2312" w:cs="楷体_GB2312"/>
          <w:sz w:val="32"/>
          <w:szCs w:val="32"/>
        </w:rPr>
        <w:t>（一）收入决算说明</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2020年度本年收入合计15,201.893701万元，比上年增加2,622.291643万元，增长20.85%，其中：财政拨款收入15,201.893701万元，占收入合计的100.00%；上级补助收入0.000000万元，占收入合计的0.00%；事业收入0.000000万元，占收入合计的0.00%；经营收入0.000000万元，占收入合计的0.00%；附属单位上缴收入0.000000万元，占收入合计的0.00%；其他收入0.000000万元，占收入合计的0.00%。</w:t>
      </w:r>
    </w:p>
    <w:p>
      <w:pPr>
        <w:spacing w:line="560" w:lineRule="exact"/>
        <w:ind w:firstLine="640" w:firstLineChars="200"/>
        <w:rPr>
          <w:rFonts w:hint="default" w:ascii="楷体_GB2312" w:hAnsi="楷体_GB2312" w:eastAsia="楷体_GB2312" w:cs="楷体_GB2312"/>
          <w:sz w:val="32"/>
          <w:szCs w:val="32"/>
        </w:rPr>
      </w:pPr>
      <w:r>
        <w:rPr>
          <w:rFonts w:ascii="楷体_GB2312" w:hAnsi="楷体_GB2312" w:eastAsia="楷体_GB2312" w:cs="楷体_GB2312"/>
          <w:sz w:val="32"/>
          <w:szCs w:val="32"/>
        </w:rPr>
        <w:t>（二）支出决算说明</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2020年度本年支出合计15,201.893701万元，比上年增加2,622.291643万元，增长20.85%，其中：基本支出4,149.150561万元，占支出合计的27.29%；项目支出11,052.743140万元，占支出合计的72.71%;上缴上级支出0.000000万元，占支出合计的0.00%；经营支出0.000000万元，占支出合计的0.00%；对附属单位补助支出0.000000万元，占支出合计的0.00%。</w:t>
      </w:r>
    </w:p>
    <w:p>
      <w:pPr>
        <w:spacing w:line="560" w:lineRule="exact"/>
        <w:ind w:firstLine="640" w:firstLineChars="200"/>
        <w:rPr>
          <w:rFonts w:hint="default" w:ascii="黑体" w:hAnsi="黑体" w:eastAsia="黑体" w:cs="黑体"/>
          <w:sz w:val="32"/>
          <w:szCs w:val="32"/>
        </w:rPr>
      </w:pPr>
      <w:r>
        <w:rPr>
          <w:rFonts w:ascii="黑体" w:hAnsi="黑体" w:eastAsia="黑体" w:cs="黑体"/>
          <w:sz w:val="32"/>
          <w:szCs w:val="32"/>
        </w:rPr>
        <w:t>三、财政拨款收入支出决算总体情况说明</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2020年度财政拨款收、支总计15,201.893701万元，比上年增加2,622.291643万元，增长20.85%。主要原因：城管、司法、统计等部门下沉至街道, 人员及相对应的经费也随之下沉至街道，同时根据财政年初预算要求只做人员、公用及事权预算，部分专项经费未安排在年初预算中，后期根据上级工作任务需要再申请追加，所以导致收支增长。</w:t>
      </w:r>
    </w:p>
    <w:p>
      <w:pPr>
        <w:spacing w:line="560" w:lineRule="exact"/>
        <w:ind w:firstLine="640" w:firstLineChars="200"/>
        <w:rPr>
          <w:rFonts w:hint="default" w:ascii="黑体" w:hAnsi="黑体" w:eastAsia="黑体" w:cs="黑体"/>
          <w:sz w:val="32"/>
          <w:szCs w:val="32"/>
        </w:rPr>
      </w:pPr>
      <w:r>
        <w:rPr>
          <w:rFonts w:ascii="黑体" w:hAnsi="黑体" w:eastAsia="黑体" w:cs="黑体"/>
          <w:sz w:val="32"/>
          <w:szCs w:val="32"/>
        </w:rPr>
        <w:t>四、一般公共预算财政拨款支出决算情况说明</w:t>
      </w:r>
    </w:p>
    <w:p>
      <w:pPr>
        <w:spacing w:line="560" w:lineRule="exact"/>
        <w:ind w:firstLine="640" w:firstLineChars="200"/>
        <w:rPr>
          <w:rFonts w:hint="default" w:ascii="楷体_GB2312" w:hAnsi="楷体_GB2312" w:eastAsia="楷体_GB2312" w:cs="楷体_GB2312"/>
          <w:sz w:val="32"/>
          <w:szCs w:val="32"/>
        </w:rPr>
      </w:pPr>
      <w:r>
        <w:rPr>
          <w:rFonts w:ascii="楷体_GB2312" w:hAnsi="楷体_GB2312" w:eastAsia="楷体_GB2312" w:cs="楷体_GB2312"/>
          <w:sz w:val="32"/>
          <w:szCs w:val="32"/>
        </w:rPr>
        <w:t>（一）一般公共预算财政拨款支出决算总体情况</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2020年度一般公共预算财政拨款支出15,201.893701万元，主要用于以下方面（按大类）：</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社会保障和就业支出698.425156万元，占本年财政拨款支出4.59%；卫生健康支出216.853585万元，占本年财政拨款支出1.43%；城乡社区支出13,286.462468万元，占本年财政拨款支出87.40%；资源勘探工业信息等支出205.533826万元，占本年财政拨款支出1.35%；援助其他地区支出56.000000万元，占本年财政拨款支出0.37%；住房保障支出738.618666万元，占本年财政拨款支出4.86%。</w:t>
      </w:r>
    </w:p>
    <w:p>
      <w:pPr>
        <w:spacing w:line="560" w:lineRule="exact"/>
        <w:ind w:firstLine="640" w:firstLineChars="200"/>
        <w:rPr>
          <w:rFonts w:hint="default" w:ascii="楷体_GB2312" w:hAnsi="楷体_GB2312" w:eastAsia="楷体_GB2312" w:cs="楷体_GB2312"/>
          <w:sz w:val="32"/>
          <w:szCs w:val="32"/>
        </w:rPr>
      </w:pPr>
      <w:r>
        <w:rPr>
          <w:rFonts w:ascii="楷体_GB2312" w:hAnsi="楷体_GB2312" w:eastAsia="楷体_GB2312" w:cs="楷体_GB2312"/>
          <w:sz w:val="32"/>
          <w:szCs w:val="32"/>
        </w:rPr>
        <w:t>（二）一般公共预算财政拨款支出决算具体情况</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1、“社会保障和就业支出”（类）2020年度决算698.425156万元，比2020年年初预算增加269.855156万元，增长62.97%。其中：“行政事业单位离退休”（款）2020年度决算433.938456万元，比2020年年初预算增加24.998456万元，增长6.11%。主要原因：由于人员增加原因导致。 “财政对其他社会保险基金的补助”（款）2020年度决算26.525600万元，比2020年年初预算增加6.895600万元，增长35.13%。主要原因：由于人员增减原因导致。  “其他社会保障和就业支出”（款）2020年度决算237.961100万元，比2020年年初预算增加237.961100万元，增长100.00%。主要原因：城管及居委会办公用房房租款。</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2、“卫生健康支出”（类）2020年度决算216.853585万元，比2020年年初预算增加14.153585万元，增长6.98%。其中：</w:t>
      </w:r>
    </w:p>
    <w:p>
      <w:pPr>
        <w:spacing w:line="560" w:lineRule="exact"/>
        <w:rPr>
          <w:rFonts w:hint="default" w:ascii="仿宋_GB2312" w:hAnsi="仿宋_GB2312" w:eastAsia="仿宋_GB2312" w:cs="仿宋_GB2312"/>
          <w:sz w:val="32"/>
          <w:szCs w:val="32"/>
        </w:rPr>
      </w:pPr>
      <w:r>
        <w:rPr>
          <w:rFonts w:ascii="仿宋_GB2312" w:hAnsi="仿宋_GB2312" w:eastAsia="仿宋_GB2312" w:cs="仿宋_GB2312"/>
          <w:sz w:val="32"/>
          <w:szCs w:val="32"/>
        </w:rPr>
        <w:t>  “行政事业单位医疗”（款）2020年度决算216.853585万元，比2020年年初预算增加14.153585万元，增长6.98%。主要原因：由于人员增加原因导致。</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3、“城乡社区支出”（类）2020年度决算13,286.462468万元，比2020年年初预算增加8,883.692468万元，增长201.78%。其中：</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“城乡社区管理事务”（款）2020年度决算10,354.542279万元，比2020年年初预算增加6,276.752279万元，增长153.93%。主要原因：根据区委区政府调整工作安排以及安排其他临时工作。</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“城乡社区公共设施”（款）2020年度决算753.427314万元，比2020年年初预算增加753.427314万元，增长100.00%。主要原因：属专项资金未安排在年初预算中。</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“城乡社区环境卫生”（款）2020年度决算368.986772万元，比2020年年初预算增加44.006772万元，增长13.54%。主要原因：根据实际工作安排支出。</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“其他城乡社区支出”（款）2020年度决算1,809.506103万元，比2020年年初预算增加1,809.506103万元，增长100.00%。主要原因：该项不在年初预算中，所以后期按上级通知申请。</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4、“资源勘探工业信息等支出”（类）2020年度决算205.533826万元，比2020年年初预算增加205.533826万元，增长100.00%。其中：</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“工业和信息产业监管”（款）2020年度决算100.00万元，比2020年年初预算增加100.00万元，增长100.00%。主要原因：由于疫情突发，防疫所需应急物资保障。</w:t>
      </w:r>
    </w:p>
    <w:p>
      <w:pPr>
        <w:spacing w:line="560" w:lineRule="exact"/>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   “支持中小企业发展和管理支出”（款）2020年度决算105.533826万元，比2020年年初预算增加105.533826万元，增长100.00%。主要原因：疫情期间商务楼宇减免租金补贴。</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5、“援助其他地区支出”（类）2020年度决算56.000000万元，比2020年年初预算增加56.000000万元，增长100.00%。其中：</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 “其他支出”（款）2020年度决算56.000000万元，比2020年年初预算增加56.000000万元，增长100.00%。主要原因：属专项资金未安排在年初预算中。</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6、“住房保障支出”（类）2020年度决算738.618666万元，比2020年年初预算增加454.888666万元，增长160.32%。其中：</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“住房改革支出”（款）2020年度决算738.618666万元，比2020年年初预算增加454.888666万元，增长160.32%。主要原因：根据人员增加追加资金。</w:t>
      </w:r>
    </w:p>
    <w:p>
      <w:pPr>
        <w:spacing w:line="560" w:lineRule="exact"/>
        <w:ind w:firstLine="640" w:firstLineChars="200"/>
        <w:rPr>
          <w:rFonts w:hint="default" w:ascii="黑体" w:hAnsi="黑体" w:eastAsia="黑体" w:cs="黑体"/>
          <w:sz w:val="32"/>
          <w:szCs w:val="32"/>
        </w:rPr>
      </w:pPr>
      <w:r>
        <w:rPr>
          <w:rFonts w:ascii="黑体" w:hAnsi="黑体" w:eastAsia="黑体" w:cs="黑体"/>
          <w:sz w:val="32"/>
          <w:szCs w:val="32"/>
        </w:rPr>
        <w:t>五、政府性基金预算财政拨款支出决算情况说明</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 本年度无此项支出</w:t>
      </w:r>
    </w:p>
    <w:p>
      <w:pPr>
        <w:spacing w:line="560" w:lineRule="exact"/>
        <w:ind w:firstLine="640" w:firstLineChars="200"/>
        <w:rPr>
          <w:rFonts w:hint="default" w:ascii="黑体" w:hAnsi="黑体" w:eastAsia="黑体" w:cs="黑体"/>
          <w:sz w:val="32"/>
          <w:szCs w:val="32"/>
        </w:rPr>
      </w:pPr>
      <w:r>
        <w:rPr>
          <w:rFonts w:ascii="黑体" w:hAnsi="黑体" w:eastAsia="黑体" w:cs="黑体"/>
          <w:sz w:val="32"/>
          <w:szCs w:val="32"/>
        </w:rPr>
        <w:t>六、国有资本经营预算财政拨款收支情况</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本年度无此项经费</w:t>
      </w:r>
    </w:p>
    <w:p>
      <w:pPr>
        <w:spacing w:line="560" w:lineRule="exact"/>
        <w:ind w:firstLine="640" w:firstLineChars="200"/>
        <w:rPr>
          <w:rFonts w:hint="default" w:ascii="黑体" w:hAnsi="黑体" w:eastAsia="黑体" w:cs="黑体"/>
          <w:sz w:val="32"/>
          <w:szCs w:val="32"/>
        </w:rPr>
      </w:pPr>
      <w:r>
        <w:rPr>
          <w:rFonts w:ascii="黑体" w:hAnsi="黑体" w:eastAsia="黑体" w:cs="黑体"/>
          <w:sz w:val="32"/>
          <w:szCs w:val="32"/>
        </w:rPr>
        <w:t>七、财政拨款基本支出决算情况说明</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2020年使用一般公共预算财政拨款安排基本支出4,149.150561万元，使用政府性基金财政拨款安排基本支出0.000000万元，使用国有资本经营预算财政拨款安排基本支出0.000000万元，其中：（1）工资福利支出3520.919199万元，包括：基本工资、津贴补贴、奖金、伙食补助费、绩效工资、其他社会保障缴费、其他工资福利等支出；（2）商品和服务支出594.198221万元，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31.129141万元，包括：离休费、退休费、抚恤金、生活补助、救济费、医疗费补助、助学金、奖励金、其他对个人和家庭的补助等支出。（4）其他资本性支出2.9040万元，包括：办公设备购置、专用设备购置等。</w:t>
      </w: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p>
    <w:p>
      <w:pPr>
        <w:spacing w:line="560" w:lineRule="exact"/>
        <w:jc w:val="center"/>
        <w:rPr>
          <w:rFonts w:hint="default" w:ascii="黑体" w:hAnsi="黑体" w:eastAsia="黑体" w:cs="黑体"/>
          <w:sz w:val="32"/>
          <w:szCs w:val="32"/>
        </w:rPr>
      </w:pPr>
      <w:r>
        <w:rPr>
          <w:rFonts w:ascii="黑体" w:hAnsi="黑体" w:eastAsia="黑体" w:cs="黑体"/>
          <w:sz w:val="32"/>
          <w:szCs w:val="32"/>
        </w:rPr>
        <w:t>第三部分2020年度其他重要事项的情况说明</w:t>
      </w:r>
    </w:p>
    <w:p>
      <w:pPr>
        <w:spacing w:line="560" w:lineRule="exact"/>
        <w:ind w:firstLine="640" w:firstLineChars="200"/>
        <w:rPr>
          <w:rFonts w:hint="default" w:ascii="黑体" w:hAnsi="黑体" w:eastAsia="黑体" w:cs="黑体"/>
          <w:sz w:val="32"/>
          <w:szCs w:val="32"/>
        </w:rPr>
      </w:pPr>
      <w:r>
        <w:rPr>
          <w:rFonts w:ascii="黑体" w:hAnsi="黑体" w:eastAsia="黑体" w:cs="黑体"/>
          <w:sz w:val="32"/>
          <w:szCs w:val="32"/>
        </w:rPr>
        <w:t>一、“三公”经费财政拨款决算情况</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三公”经费包括本部门所属1个行政单位、0个参照公务员法管理事业单位、0个事业单位。2020年“三公”经费财政拨款决算数4.498220万元，比2020年“三公”经费财政拨款年初预算11.420000万元减少6.921780万元。其中：</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1.因公出国（境）费用。2020年决算数0.000000万元，比2020年年初预算数0.000000万元增加（减少）0.000000万元。主要原因：未发生因公出国事项。</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2.公务接待费。2020年决算数0.000000万元，比2020年年初预算数4.020000万元减少4.020000万元。主要原因：未发生招待事项。</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3.公务用车购置及运行维护费。2020年决算数4.498220万元，比2020年年初预算数7.400000万元减少2.901780万元。主要原因：公务用车购置及运行维护费由于我单位实行统一调度、定点维修、定点保险等管理办法，严格执行过紧日子的指导思想故决算比预算减少2.901780万元。其中，公务用车购置费2020年决算数0.000000万元，比2020年年初预算数0.000000万元增加（减少）0.000000万元。2020年购置（更新）0辆，车均购置费0.000000万元。主要原因：未购置车辆。公务用车运行维护费2020年决算数4.498220万元，比2020年年初预算数7.400000万元增加减少2.901780万元，主要原因：按照实际发生金额结算。2020年公务用车运行维护费中，公务用车加油1.000000万元，公务用车维修2.214000万元，公务用车保险1.284220万元，公务用车其他支出0.000000万元。2020年公务用车保有量10辆，车均运行维护费0.449822万元。</w:t>
      </w:r>
    </w:p>
    <w:p>
      <w:pPr>
        <w:spacing w:line="560" w:lineRule="exact"/>
        <w:ind w:firstLine="640" w:firstLineChars="200"/>
        <w:rPr>
          <w:rFonts w:hint="default" w:ascii="黑体" w:hAnsi="黑体" w:eastAsia="黑体" w:cs="黑体"/>
          <w:sz w:val="32"/>
          <w:szCs w:val="32"/>
        </w:rPr>
      </w:pPr>
      <w:r>
        <w:rPr>
          <w:rFonts w:ascii="黑体" w:hAnsi="黑体" w:eastAsia="黑体" w:cs="黑体"/>
          <w:sz w:val="32"/>
          <w:szCs w:val="32"/>
        </w:rPr>
        <w:t>二、机关运行经费支出情况</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2020年本部门行政单位（含参照公务员法管理事业单位）使用一般公共预算财政拨款安排的基本支出中的日常公用经费支出，合计597.102221万元，比上年增加184.654518万元，增加原因：由于各部门下沉至街道导致人员经费增加，食堂补助经费安排在公用经费支出，导致公用经费金额增加。</w:t>
      </w:r>
    </w:p>
    <w:p>
      <w:pPr>
        <w:spacing w:line="560" w:lineRule="exact"/>
        <w:ind w:firstLine="640" w:firstLineChars="200"/>
        <w:rPr>
          <w:rFonts w:hint="default" w:ascii="黑体" w:hAnsi="黑体" w:eastAsia="黑体" w:cs="黑体"/>
          <w:sz w:val="32"/>
          <w:szCs w:val="32"/>
        </w:rPr>
      </w:pPr>
      <w:r>
        <w:rPr>
          <w:rFonts w:ascii="黑体" w:hAnsi="黑体" w:eastAsia="黑体" w:cs="黑体"/>
          <w:sz w:val="32"/>
          <w:szCs w:val="32"/>
        </w:rPr>
        <w:t>三、政府采购支出情况</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本年度无此项支出</w:t>
      </w:r>
    </w:p>
    <w:p>
      <w:pPr>
        <w:spacing w:line="560" w:lineRule="exact"/>
        <w:ind w:firstLine="640" w:firstLineChars="200"/>
        <w:rPr>
          <w:rFonts w:hint="default" w:ascii="黑体" w:hAnsi="黑体" w:eastAsia="黑体" w:cs="黑体"/>
          <w:sz w:val="32"/>
          <w:szCs w:val="32"/>
        </w:rPr>
      </w:pPr>
      <w:r>
        <w:rPr>
          <w:rFonts w:ascii="黑体" w:hAnsi="黑体" w:eastAsia="黑体" w:cs="黑体"/>
          <w:sz w:val="32"/>
          <w:szCs w:val="32"/>
        </w:rPr>
        <w:t>四、国有资产占用情况</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 2020年车辆10台，121.316838万元；单位价值50万元以上的通用设备0台（套），单位价值100万元以上的专用设备0台（套）。</w:t>
      </w:r>
    </w:p>
    <w:p>
      <w:pPr>
        <w:spacing w:line="560" w:lineRule="exact"/>
        <w:ind w:firstLine="640" w:firstLineChars="200"/>
        <w:rPr>
          <w:rFonts w:hint="default" w:ascii="黑体" w:hAnsi="黑体" w:eastAsia="黑体" w:cs="黑体"/>
          <w:sz w:val="32"/>
          <w:szCs w:val="32"/>
        </w:rPr>
      </w:pPr>
      <w:r>
        <w:rPr>
          <w:rFonts w:ascii="黑体" w:hAnsi="黑体" w:eastAsia="黑体" w:cs="黑体"/>
          <w:sz w:val="32"/>
          <w:szCs w:val="32"/>
        </w:rPr>
        <w:t>五、政府购买服务支出说明</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2020年政府购买服务决算324.9801万元。</w:t>
      </w:r>
    </w:p>
    <w:p>
      <w:pPr>
        <w:spacing w:line="560" w:lineRule="exact"/>
        <w:ind w:firstLine="640" w:firstLineChars="200"/>
        <w:rPr>
          <w:rFonts w:hint="default" w:ascii="黑体" w:hAnsi="黑体" w:eastAsia="黑体" w:cs="黑体"/>
          <w:sz w:val="32"/>
          <w:szCs w:val="32"/>
        </w:rPr>
      </w:pPr>
      <w:r>
        <w:rPr>
          <w:rFonts w:ascii="黑体" w:hAnsi="黑体" w:eastAsia="黑体" w:cs="黑体"/>
          <w:sz w:val="32"/>
          <w:szCs w:val="32"/>
        </w:rPr>
        <w:t>六、专业名词解释</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2.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3.政府采购：指各级国家机关、事业单位和团体组织，使用财政性资金采购依法制定的集中目录以内的或者采购限额标准以上的货物、工程和服务的行为。</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4.政府购买服务：是指各级国家机关将属于自身职责范围且适合通过市场化方式提供的服务事项，按照政府采购方式和程序，交由符合条件的服务供应商承担，并根据服务数量和质量等因素向其支付费用的行为。</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5.基本支出：指为保障机构正常运转、完成日常工作任务而发生的人员支出和公用支出。</w:t>
      </w: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p>
    <w:p>
      <w:pPr>
        <w:spacing w:line="560" w:lineRule="exact"/>
        <w:jc w:val="center"/>
        <w:rPr>
          <w:rFonts w:ascii="黑体" w:hAnsi="黑体" w:eastAsia="黑体" w:cs="黑体"/>
          <w:sz w:val="32"/>
          <w:szCs w:val="32"/>
        </w:rPr>
      </w:pPr>
    </w:p>
    <w:p>
      <w:pPr>
        <w:spacing w:line="560" w:lineRule="exact"/>
        <w:jc w:val="center"/>
        <w:rPr>
          <w:rFonts w:hint="default" w:ascii="仿宋_GB2312" w:hAnsi="仿宋_GB2312" w:eastAsia="仿宋_GB2312" w:cs="仿宋_GB2312"/>
          <w:sz w:val="32"/>
          <w:szCs w:val="32"/>
        </w:rPr>
      </w:pPr>
      <w:r>
        <w:rPr>
          <w:rFonts w:ascii="黑体" w:hAnsi="黑体" w:eastAsia="黑体" w:cs="黑体"/>
          <w:sz w:val="32"/>
          <w:szCs w:val="32"/>
        </w:rPr>
        <w:t>第四部分  2020年度部门绩效评价情况</w:t>
      </w:r>
    </w:p>
    <w:p>
      <w:pPr>
        <w:spacing w:line="560" w:lineRule="exact"/>
        <w:ind w:firstLine="640" w:firstLineChars="200"/>
        <w:rPr>
          <w:rFonts w:hint="default" w:ascii="黑体" w:hAnsi="黑体" w:eastAsia="黑体" w:cs="黑体"/>
          <w:sz w:val="32"/>
          <w:szCs w:val="32"/>
        </w:rPr>
      </w:pPr>
      <w:r>
        <w:rPr>
          <w:rFonts w:ascii="黑体" w:hAnsi="黑体" w:eastAsia="黑体" w:cs="黑体"/>
          <w:sz w:val="32"/>
          <w:szCs w:val="32"/>
        </w:rPr>
        <w:t>一、绩效评价工作开展情况</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2020年，北京市通州区玉桥街道办事处部门整体支出实施绩效评价，涉及金额12,579.60 万元。综合绩效评定结论为“良好”。</w:t>
      </w:r>
    </w:p>
    <w:p>
      <w:pPr>
        <w:spacing w:line="560" w:lineRule="exact"/>
        <w:ind w:firstLine="640" w:firstLineChars="200"/>
        <w:rPr>
          <w:rFonts w:hint="default" w:ascii="黑体" w:hAnsi="黑体" w:eastAsia="黑体" w:cs="黑体"/>
          <w:sz w:val="32"/>
          <w:szCs w:val="32"/>
        </w:rPr>
      </w:pPr>
      <w:r>
        <w:rPr>
          <w:rFonts w:ascii="黑体" w:hAnsi="黑体" w:eastAsia="黑体" w:cs="黑体"/>
          <w:sz w:val="32"/>
          <w:szCs w:val="32"/>
        </w:rPr>
        <w:t>二、项目绩效评价报告</w:t>
      </w:r>
    </w:p>
    <w:p>
      <w:pPr>
        <w:spacing w:line="560" w:lineRule="exact"/>
        <w:ind w:firstLine="640" w:firstLineChars="200"/>
        <w:rPr>
          <w:rFonts w:hint="default" w:ascii="楷体_GB2312" w:hAnsi="楷体_GB2312" w:eastAsia="楷体_GB2312" w:cs="楷体_GB2312"/>
          <w:sz w:val="32"/>
          <w:szCs w:val="32"/>
        </w:rPr>
      </w:pPr>
      <w:r>
        <w:rPr>
          <w:rFonts w:ascii="楷体_GB2312" w:hAnsi="楷体_GB2312" w:eastAsia="楷体_GB2312" w:cs="楷体_GB2312"/>
          <w:sz w:val="32"/>
          <w:szCs w:val="32"/>
        </w:rPr>
        <w:t>（一）基本情况；</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通过绩效评价，衡量和考核玉桥街道部门整体支出的绩效，了解、分析、检验资金使用是否达到预期目标，资金管理是否规范，资金使用是否有效，通过总结经验，分析问题，采取切实措施进一步改进和加强财政支出管理，提高财政资金使用效益。</w:t>
      </w:r>
    </w:p>
    <w:p>
      <w:pPr>
        <w:spacing w:line="560" w:lineRule="exact"/>
        <w:ind w:firstLine="640" w:firstLineChars="200"/>
        <w:rPr>
          <w:rFonts w:hint="default" w:ascii="楷体_GB2312" w:hAnsi="楷体_GB2312" w:eastAsia="楷体_GB2312" w:cs="楷体_GB2312"/>
          <w:sz w:val="32"/>
          <w:szCs w:val="32"/>
        </w:rPr>
      </w:pPr>
      <w:r>
        <w:rPr>
          <w:rFonts w:ascii="楷体_GB2312" w:hAnsi="楷体_GB2312" w:eastAsia="楷体_GB2312" w:cs="楷体_GB2312"/>
          <w:sz w:val="32"/>
          <w:szCs w:val="32"/>
        </w:rPr>
        <w:t>（二）绩效评价工作开展情况；</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1.前期准备情况</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一是组建评价工作组。二是编制项目评价工作方案。</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2.现场核查情况</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一是了解绩效目标设立及完成情况。二是了解项目效益实现情况。</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3.资料信息汇总</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评价工作组参照通州区财政局“绩效评价资料准备清单”，结合项目的特点，收集了与部门整体支出及项目相关的决策、管理和绩效资料，包括玉桥街道各部门的工作计划和总结、相关制度、采购合同、实施方案、支出明细账、会计凭证及附件等资料，对其真实性、完整性进行逐一审核，并经相关各方签字盖章确认。通过对项目的整体了解、分析，出具了中期工作情况报告，按照部门绩效评价指标体系内容和评价重点，评价工作组对收集到的资料进行分类归集、整理，装订成册，形成专家资料手册，提供给专家审阅评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sz w:val="32"/>
          <w:szCs w:val="32"/>
        </w:rPr>
        <w:t>4.评价分析及沟通反馈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sz w:val="32"/>
          <w:szCs w:val="32"/>
        </w:rPr>
        <w:t>根据项目特点，评价工作组遴选了7名专家（其中管理专家2名，业务专家3名，财务专家2名），组成评价专家组，对部门整体支出进行评议。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sz w:val="32"/>
          <w:szCs w:val="32"/>
        </w:rPr>
        <w:t>5.出具报告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sz w:val="32"/>
          <w:szCs w:val="32"/>
        </w:rPr>
        <w:t>评价工作组根据专家意见，完成绩效评价报告初稿的撰写工作。报告初稿报通州区财政局绩效评价科（考评中心）审核，并与玉桥街道沟通反馈后，形成评价报告终稿。</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楷体_GB2312" w:hAnsi="楷体_GB2312" w:eastAsia="楷体_GB2312" w:cs="楷体_GB2312"/>
          <w:sz w:val="32"/>
          <w:szCs w:val="32"/>
        </w:rPr>
      </w:pPr>
      <w:r>
        <w:rPr>
          <w:rFonts w:ascii="楷体_GB2312" w:hAnsi="楷体_GB2312" w:eastAsia="楷体_GB2312" w:cs="楷体_GB2312"/>
          <w:sz w:val="32"/>
          <w:szCs w:val="32"/>
        </w:rPr>
        <w:t>（三）综合评价情况及评价结论（附相关评分表）；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rPr>
      </w:pPr>
      <w:r>
        <w:rPr>
          <w:rFonts w:ascii="仿宋_GB2312" w:hAnsi="仿宋_GB2312" w:eastAsia="仿宋_GB2312" w:cs="仿宋_GB2312"/>
          <w:sz w:val="32"/>
          <w:szCs w:val="32"/>
        </w:rPr>
        <w:t>经专家评议，玉桥街道部门整体支出绩效评价综合得分82.77分，其中，部门决策11.20分，部门管理32.92分，部门绩效38</w:t>
      </w:r>
      <w:bookmarkStart w:id="0" w:name="_GoBack"/>
      <w:r>
        <w:rPr>
          <w:rFonts w:ascii="仿宋_GB2312" w:hAnsi="仿宋_GB2312" w:eastAsia="仿宋_GB2312" w:cs="仿宋_GB2312"/>
          <w:sz w:val="32"/>
          <w:szCs w:val="32"/>
        </w:rPr>
        <w:t>.65分，综合绩效评定结论为“良好”。</w:t>
      </w:r>
    </w:p>
    <w:p>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jc w:val="center"/>
        <w:textAlignment w:val="auto"/>
        <w:outlineLvl w:val="9"/>
        <w:rPr>
          <w:rFonts w:ascii="宋体" w:cs="Tahoma"/>
          <w:b/>
          <w:sz w:val="28"/>
          <w:szCs w:val="28"/>
        </w:rPr>
      </w:pPr>
      <w:r>
        <w:rPr>
          <w:rFonts w:hint="eastAsia" w:ascii="宋体" w:hAnsi="宋体" w:cs="宋体"/>
          <w:b/>
          <w:sz w:val="28"/>
          <w:szCs w:val="28"/>
        </w:rPr>
        <w:t>部门整体支出绩效评价结论一览表</w:t>
      </w:r>
    </w:p>
    <w:bookmarkEnd w:id="0"/>
    <w:tbl>
      <w:tblPr>
        <w:tblStyle w:val="9"/>
        <w:tblW w:w="8490"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57" w:type="dxa"/>
          <w:bottom w:w="0" w:type="dxa"/>
          <w:right w:w="57" w:type="dxa"/>
        </w:tblCellMar>
      </w:tblPr>
      <w:tblGrid>
        <w:gridCol w:w="2639"/>
        <w:gridCol w:w="2838"/>
        <w:gridCol w:w="3013"/>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57" w:type="dxa"/>
            <w:bottom w:w="0" w:type="dxa"/>
            <w:right w:w="57" w:type="dxa"/>
          </w:tblCellMar>
        </w:tblPrEx>
        <w:trPr>
          <w:cantSplit/>
          <w:trHeight w:val="727" w:hRule="atLeast"/>
          <w:jc w:val="center"/>
        </w:trPr>
        <w:tc>
          <w:tcPr>
            <w:tcW w:w="2639" w:type="dxa"/>
            <w:tcBorders>
              <w:top w:val="single" w:color="FFFFFF" w:sz="4" w:space="0"/>
              <w:left w:val="single" w:color="FFFFFF" w:sz="4" w:space="0"/>
              <w:bottom w:val="single" w:color="FFFFFF" w:sz="6" w:space="0"/>
              <w:right w:val="single" w:color="FFFFFF" w:sz="6" w:space="0"/>
            </w:tcBorders>
            <w:shd w:val="clear" w:color="auto" w:fill="C0C0C0"/>
            <w:vAlign w:val="center"/>
          </w:tcPr>
          <w:p>
            <w:pPr>
              <w:spacing w:line="300" w:lineRule="auto"/>
              <w:jc w:val="center"/>
              <w:rPr>
                <w:rFonts w:hint="default"/>
                <w:b/>
                <w:sz w:val="28"/>
                <w:szCs w:val="28"/>
              </w:rPr>
            </w:pPr>
            <w:r>
              <w:rPr>
                <w:b/>
                <w:sz w:val="28"/>
                <w:szCs w:val="28"/>
              </w:rPr>
              <w:t>评价内容</w:t>
            </w:r>
          </w:p>
        </w:tc>
        <w:tc>
          <w:tcPr>
            <w:tcW w:w="2838" w:type="dxa"/>
            <w:tcBorders>
              <w:top w:val="single" w:color="FFFFFF" w:sz="4" w:space="0"/>
              <w:left w:val="single" w:color="FFFFFF" w:sz="6" w:space="0"/>
              <w:bottom w:val="single" w:color="FFFFFF" w:sz="6" w:space="0"/>
              <w:right w:val="single" w:color="FFFFFF" w:sz="6" w:space="0"/>
            </w:tcBorders>
            <w:shd w:val="clear" w:color="auto" w:fill="C0C0C0"/>
            <w:vAlign w:val="center"/>
          </w:tcPr>
          <w:p>
            <w:pPr>
              <w:spacing w:line="300" w:lineRule="auto"/>
              <w:jc w:val="center"/>
              <w:rPr>
                <w:rFonts w:hint="default"/>
                <w:b/>
                <w:sz w:val="28"/>
                <w:szCs w:val="28"/>
              </w:rPr>
            </w:pPr>
            <w:r>
              <w:rPr>
                <w:b/>
                <w:sz w:val="28"/>
                <w:szCs w:val="28"/>
              </w:rPr>
              <w:t>分值</w:t>
            </w:r>
          </w:p>
        </w:tc>
        <w:tc>
          <w:tcPr>
            <w:tcW w:w="3013" w:type="dxa"/>
            <w:tcBorders>
              <w:top w:val="single" w:color="FFFFFF" w:sz="4" w:space="0"/>
              <w:left w:val="single" w:color="FFFFFF" w:sz="6" w:space="0"/>
              <w:bottom w:val="single" w:color="FFFFFF" w:sz="6" w:space="0"/>
              <w:right w:val="single" w:color="FFFFFF" w:sz="4" w:space="0"/>
            </w:tcBorders>
            <w:shd w:val="clear" w:color="auto" w:fill="C0C0C0"/>
            <w:vAlign w:val="center"/>
          </w:tcPr>
          <w:p>
            <w:pPr>
              <w:spacing w:line="300" w:lineRule="auto"/>
              <w:jc w:val="center"/>
              <w:rPr>
                <w:rFonts w:hint="default"/>
                <w:b/>
                <w:sz w:val="28"/>
                <w:szCs w:val="28"/>
              </w:rPr>
            </w:pPr>
            <w:r>
              <w:rPr>
                <w:b/>
                <w:sz w:val="28"/>
                <w:szCs w:val="28"/>
              </w:rPr>
              <w:t>评价得分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57" w:type="dxa"/>
            <w:bottom w:w="0" w:type="dxa"/>
            <w:right w:w="57" w:type="dxa"/>
          </w:tblCellMar>
        </w:tblPrEx>
        <w:trPr>
          <w:cantSplit/>
          <w:trHeight w:val="734" w:hRule="atLeast"/>
          <w:jc w:val="center"/>
        </w:trPr>
        <w:tc>
          <w:tcPr>
            <w:tcW w:w="2639" w:type="dxa"/>
            <w:tcBorders>
              <w:top w:val="single" w:color="FFFFFF" w:sz="6" w:space="0"/>
              <w:left w:val="single" w:color="FFFFFF" w:sz="4" w:space="0"/>
              <w:bottom w:val="single" w:color="FFFFFF" w:sz="6" w:space="0"/>
              <w:right w:val="single" w:color="FFFFFF" w:sz="6" w:space="0"/>
            </w:tcBorders>
            <w:shd w:val="clear" w:color="auto" w:fill="C0C0C0"/>
            <w:vAlign w:val="center"/>
          </w:tcPr>
          <w:p>
            <w:pPr>
              <w:pStyle w:val="2"/>
              <w:adjustRightInd w:val="0"/>
              <w:snapToGrid w:val="0"/>
              <w:spacing w:line="300" w:lineRule="auto"/>
              <w:ind w:firstLine="0"/>
              <w:jc w:val="center"/>
              <w:rPr>
                <w:rFonts w:ascii="宋体" w:cs="Tahoma"/>
                <w:b/>
                <w:sz w:val="28"/>
                <w:szCs w:val="28"/>
              </w:rPr>
            </w:pPr>
            <w:r>
              <w:rPr>
                <w:rFonts w:hint="eastAsia" w:ascii="宋体" w:hAnsi="宋体" w:cs="宋体"/>
                <w:b/>
                <w:sz w:val="28"/>
                <w:szCs w:val="28"/>
              </w:rPr>
              <w:t>部门决策</w:t>
            </w:r>
          </w:p>
        </w:tc>
        <w:tc>
          <w:tcPr>
            <w:tcW w:w="2838" w:type="dxa"/>
            <w:tcBorders>
              <w:top w:val="single" w:color="FFFFFF" w:sz="6" w:space="0"/>
              <w:left w:val="single" w:color="FFFFFF" w:sz="6" w:space="0"/>
              <w:bottom w:val="single" w:color="FFFFFF" w:sz="6" w:space="0"/>
              <w:right w:val="single" w:color="FFFFFF" w:sz="6" w:space="0"/>
            </w:tcBorders>
            <w:shd w:val="clear" w:color="auto" w:fill="C0C0C0"/>
            <w:vAlign w:val="center"/>
          </w:tcPr>
          <w:p>
            <w:pPr>
              <w:jc w:val="center"/>
              <w:rPr>
                <w:rFonts w:hint="default"/>
                <w:b/>
                <w:sz w:val="28"/>
                <w:szCs w:val="28"/>
              </w:rPr>
            </w:pPr>
            <w:r>
              <w:rPr>
                <w:b/>
                <w:sz w:val="28"/>
                <w:szCs w:val="28"/>
              </w:rPr>
              <w:t>15</w:t>
            </w:r>
          </w:p>
        </w:tc>
        <w:tc>
          <w:tcPr>
            <w:tcW w:w="3013" w:type="dxa"/>
            <w:tcBorders>
              <w:top w:val="single" w:color="FFFFFF" w:sz="6" w:space="0"/>
              <w:left w:val="single" w:color="FFFFFF" w:sz="6" w:space="0"/>
              <w:bottom w:val="single" w:color="FFFFFF" w:sz="6" w:space="0"/>
              <w:right w:val="single" w:color="FFFFFF" w:sz="4" w:space="0"/>
            </w:tcBorders>
            <w:shd w:val="clear" w:color="auto" w:fill="C0C0C0"/>
            <w:vAlign w:val="center"/>
          </w:tcPr>
          <w:p>
            <w:pPr>
              <w:jc w:val="center"/>
              <w:rPr>
                <w:rFonts w:hint="default"/>
                <w:b/>
                <w:sz w:val="28"/>
                <w:szCs w:val="28"/>
              </w:rPr>
            </w:pPr>
            <w:r>
              <w:rPr>
                <w:b/>
                <w:sz w:val="28"/>
                <w:szCs w:val="28"/>
              </w:rPr>
              <w:t>11.20</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57" w:type="dxa"/>
            <w:bottom w:w="0" w:type="dxa"/>
            <w:right w:w="57" w:type="dxa"/>
          </w:tblCellMar>
        </w:tblPrEx>
        <w:trPr>
          <w:cantSplit/>
          <w:trHeight w:val="638" w:hRule="atLeast"/>
          <w:jc w:val="center"/>
        </w:trPr>
        <w:tc>
          <w:tcPr>
            <w:tcW w:w="2639" w:type="dxa"/>
            <w:tcBorders>
              <w:top w:val="single" w:color="FFFFFF" w:sz="6" w:space="0"/>
              <w:left w:val="single" w:color="FFFFFF" w:sz="4" w:space="0"/>
              <w:bottom w:val="single" w:color="FFFFFF" w:sz="6" w:space="0"/>
              <w:right w:val="single" w:color="FFFFFF" w:sz="6" w:space="0"/>
            </w:tcBorders>
            <w:shd w:val="clear" w:color="auto" w:fill="C0C0C0"/>
            <w:vAlign w:val="center"/>
          </w:tcPr>
          <w:p>
            <w:pPr>
              <w:spacing w:line="300" w:lineRule="auto"/>
              <w:jc w:val="center"/>
              <w:rPr>
                <w:rFonts w:hint="default"/>
                <w:b/>
                <w:sz w:val="28"/>
                <w:szCs w:val="28"/>
              </w:rPr>
            </w:pPr>
            <w:r>
              <w:rPr>
                <w:b/>
                <w:sz w:val="28"/>
                <w:szCs w:val="28"/>
              </w:rPr>
              <w:t>部门管理</w:t>
            </w:r>
          </w:p>
        </w:tc>
        <w:tc>
          <w:tcPr>
            <w:tcW w:w="2838" w:type="dxa"/>
            <w:tcBorders>
              <w:top w:val="single" w:color="FFFFFF" w:sz="6" w:space="0"/>
              <w:left w:val="single" w:color="FFFFFF" w:sz="6" w:space="0"/>
              <w:bottom w:val="single" w:color="FFFFFF" w:sz="6" w:space="0"/>
              <w:right w:val="single" w:color="FFFFFF" w:sz="6" w:space="0"/>
            </w:tcBorders>
            <w:shd w:val="clear" w:color="auto" w:fill="C0C0C0"/>
            <w:vAlign w:val="center"/>
          </w:tcPr>
          <w:p>
            <w:pPr>
              <w:jc w:val="center"/>
              <w:rPr>
                <w:rFonts w:hint="default"/>
                <w:b/>
                <w:sz w:val="28"/>
                <w:szCs w:val="28"/>
              </w:rPr>
            </w:pPr>
            <w:r>
              <w:rPr>
                <w:b/>
                <w:sz w:val="28"/>
                <w:szCs w:val="28"/>
              </w:rPr>
              <w:t>40</w:t>
            </w:r>
          </w:p>
        </w:tc>
        <w:tc>
          <w:tcPr>
            <w:tcW w:w="3013" w:type="dxa"/>
            <w:tcBorders>
              <w:top w:val="single" w:color="FFFFFF" w:sz="6" w:space="0"/>
              <w:left w:val="single" w:color="FFFFFF" w:sz="6" w:space="0"/>
              <w:bottom w:val="single" w:color="FFFFFF" w:sz="6" w:space="0"/>
              <w:right w:val="single" w:color="FFFFFF" w:sz="4" w:space="0"/>
            </w:tcBorders>
            <w:shd w:val="clear" w:color="auto" w:fill="C0C0C0"/>
            <w:vAlign w:val="center"/>
          </w:tcPr>
          <w:p>
            <w:pPr>
              <w:jc w:val="center"/>
              <w:rPr>
                <w:rFonts w:hint="default"/>
                <w:b/>
                <w:sz w:val="28"/>
                <w:szCs w:val="28"/>
              </w:rPr>
            </w:pPr>
            <w:r>
              <w:rPr>
                <w:b/>
                <w:sz w:val="28"/>
                <w:szCs w:val="28"/>
              </w:rPr>
              <w:t>32.92</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57" w:type="dxa"/>
            <w:bottom w:w="0" w:type="dxa"/>
            <w:right w:w="57" w:type="dxa"/>
          </w:tblCellMar>
        </w:tblPrEx>
        <w:trPr>
          <w:cantSplit/>
          <w:trHeight w:val="680" w:hRule="atLeast"/>
          <w:jc w:val="center"/>
        </w:trPr>
        <w:tc>
          <w:tcPr>
            <w:tcW w:w="2639" w:type="dxa"/>
            <w:tcBorders>
              <w:top w:val="single" w:color="FFFFFF" w:sz="6" w:space="0"/>
              <w:left w:val="single" w:color="FFFFFF" w:sz="4" w:space="0"/>
              <w:bottom w:val="single" w:color="FFFFFF" w:sz="4" w:space="0"/>
              <w:right w:val="single" w:color="FFFFFF" w:sz="6" w:space="0"/>
            </w:tcBorders>
            <w:shd w:val="clear" w:color="auto" w:fill="C0C0C0"/>
            <w:vAlign w:val="center"/>
          </w:tcPr>
          <w:p>
            <w:pPr>
              <w:spacing w:line="300" w:lineRule="auto"/>
              <w:jc w:val="center"/>
              <w:rPr>
                <w:rFonts w:hint="default"/>
                <w:b/>
                <w:sz w:val="28"/>
                <w:szCs w:val="28"/>
              </w:rPr>
            </w:pPr>
            <w:r>
              <w:rPr>
                <w:b/>
                <w:sz w:val="28"/>
                <w:szCs w:val="28"/>
              </w:rPr>
              <w:t>部门绩效</w:t>
            </w:r>
          </w:p>
        </w:tc>
        <w:tc>
          <w:tcPr>
            <w:tcW w:w="2838" w:type="dxa"/>
            <w:tcBorders>
              <w:top w:val="single" w:color="FFFFFF" w:sz="6" w:space="0"/>
              <w:left w:val="single" w:color="FFFFFF" w:sz="6" w:space="0"/>
              <w:bottom w:val="single" w:color="FFFFFF" w:sz="4" w:space="0"/>
              <w:right w:val="single" w:color="FFFFFF" w:sz="4" w:space="0"/>
            </w:tcBorders>
            <w:shd w:val="clear" w:color="auto" w:fill="C0C0C0"/>
            <w:vAlign w:val="center"/>
          </w:tcPr>
          <w:p>
            <w:pPr>
              <w:jc w:val="center"/>
              <w:rPr>
                <w:rFonts w:hint="default"/>
                <w:b/>
                <w:sz w:val="28"/>
                <w:szCs w:val="28"/>
              </w:rPr>
            </w:pPr>
            <w:r>
              <w:rPr>
                <w:b/>
                <w:sz w:val="28"/>
                <w:szCs w:val="28"/>
              </w:rPr>
              <w:t>45</w:t>
            </w:r>
          </w:p>
        </w:tc>
        <w:tc>
          <w:tcPr>
            <w:tcW w:w="3013" w:type="dxa"/>
            <w:tcBorders>
              <w:top w:val="single" w:color="FFFFFF" w:sz="6" w:space="0"/>
              <w:left w:val="single" w:color="FFFFFF" w:sz="4" w:space="0"/>
              <w:bottom w:val="single" w:color="FFFFFF" w:sz="4" w:space="0"/>
              <w:right w:val="single" w:color="FFFFFF" w:sz="4" w:space="0"/>
            </w:tcBorders>
            <w:shd w:val="clear" w:color="auto" w:fill="C0C0C0"/>
            <w:vAlign w:val="center"/>
          </w:tcPr>
          <w:p>
            <w:pPr>
              <w:jc w:val="center"/>
              <w:rPr>
                <w:rFonts w:hint="default"/>
                <w:b/>
                <w:sz w:val="28"/>
                <w:szCs w:val="28"/>
              </w:rPr>
            </w:pPr>
            <w:r>
              <w:rPr>
                <w:b/>
                <w:sz w:val="28"/>
                <w:szCs w:val="28"/>
              </w:rPr>
              <w:t>38.65</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57" w:type="dxa"/>
            <w:bottom w:w="0" w:type="dxa"/>
            <w:right w:w="57" w:type="dxa"/>
          </w:tblCellMar>
        </w:tblPrEx>
        <w:trPr>
          <w:cantSplit/>
          <w:trHeight w:val="647" w:hRule="atLeast"/>
          <w:jc w:val="center"/>
        </w:trPr>
        <w:tc>
          <w:tcPr>
            <w:tcW w:w="2639" w:type="dxa"/>
            <w:tcBorders>
              <w:top w:val="single" w:color="FFFFFF" w:sz="4" w:space="0"/>
              <w:left w:val="single" w:color="FFFFFF" w:sz="4" w:space="0"/>
              <w:bottom w:val="single" w:color="FFFFFF" w:sz="4" w:space="0"/>
              <w:right w:val="single" w:color="FFFFFF" w:sz="6" w:space="0"/>
            </w:tcBorders>
            <w:shd w:val="clear" w:color="auto" w:fill="C0C0C0"/>
            <w:vAlign w:val="center"/>
          </w:tcPr>
          <w:p>
            <w:pPr>
              <w:spacing w:line="300" w:lineRule="auto"/>
              <w:jc w:val="center"/>
              <w:rPr>
                <w:rFonts w:hint="default"/>
                <w:b/>
                <w:sz w:val="28"/>
                <w:szCs w:val="28"/>
              </w:rPr>
            </w:pPr>
            <w:r>
              <w:rPr>
                <w:b/>
                <w:sz w:val="28"/>
                <w:szCs w:val="28"/>
              </w:rPr>
              <w:t>综合得分</w:t>
            </w:r>
          </w:p>
        </w:tc>
        <w:tc>
          <w:tcPr>
            <w:tcW w:w="2838" w:type="dxa"/>
            <w:tcBorders>
              <w:top w:val="single" w:color="FFFFFF" w:sz="4" w:space="0"/>
              <w:left w:val="single" w:color="FFFFFF" w:sz="6" w:space="0"/>
              <w:bottom w:val="single" w:color="FFFFFF" w:sz="4" w:space="0"/>
              <w:right w:val="single" w:color="FFFFFF" w:sz="4" w:space="0"/>
            </w:tcBorders>
            <w:shd w:val="clear" w:color="auto" w:fill="C0C0C0"/>
            <w:vAlign w:val="center"/>
          </w:tcPr>
          <w:p>
            <w:pPr>
              <w:jc w:val="center"/>
              <w:rPr>
                <w:rFonts w:hint="default"/>
                <w:b/>
                <w:sz w:val="28"/>
                <w:szCs w:val="28"/>
              </w:rPr>
            </w:pPr>
            <w:r>
              <w:rPr>
                <w:b/>
                <w:sz w:val="28"/>
                <w:szCs w:val="28"/>
              </w:rPr>
              <w:t>100</w:t>
            </w:r>
          </w:p>
        </w:tc>
        <w:tc>
          <w:tcPr>
            <w:tcW w:w="3013" w:type="dxa"/>
            <w:tcBorders>
              <w:top w:val="single" w:color="FFFFFF" w:sz="4" w:space="0"/>
              <w:left w:val="single" w:color="FFFFFF" w:sz="4" w:space="0"/>
              <w:bottom w:val="single" w:color="FFFFFF" w:sz="4" w:space="0"/>
              <w:right w:val="single" w:color="FFFFFF" w:sz="4" w:space="0"/>
            </w:tcBorders>
            <w:shd w:val="clear" w:color="auto" w:fill="C0C0C0"/>
            <w:vAlign w:val="center"/>
          </w:tcPr>
          <w:p>
            <w:pPr>
              <w:jc w:val="center"/>
              <w:rPr>
                <w:rFonts w:hint="default"/>
                <w:b/>
                <w:sz w:val="28"/>
                <w:szCs w:val="28"/>
              </w:rPr>
            </w:pPr>
            <w:r>
              <w:rPr>
                <w:b/>
                <w:sz w:val="28"/>
                <w:szCs w:val="28"/>
              </w:rPr>
              <w:t>82.77</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57" w:type="dxa"/>
            <w:bottom w:w="0" w:type="dxa"/>
            <w:right w:w="57" w:type="dxa"/>
          </w:tblCellMar>
        </w:tblPrEx>
        <w:trPr>
          <w:cantSplit/>
          <w:trHeight w:val="885" w:hRule="atLeast"/>
          <w:jc w:val="center"/>
        </w:trPr>
        <w:tc>
          <w:tcPr>
            <w:tcW w:w="2639" w:type="dxa"/>
            <w:tcBorders>
              <w:top w:val="single" w:color="FFFFFF" w:sz="4" w:space="0"/>
              <w:left w:val="single" w:color="FFFFFF" w:sz="4" w:space="0"/>
              <w:bottom w:val="single" w:color="FFFFFF" w:sz="4" w:space="0"/>
              <w:right w:val="single" w:color="FFFFFF" w:sz="4" w:space="0"/>
            </w:tcBorders>
            <w:shd w:val="clear" w:color="auto" w:fill="C0C0C0"/>
            <w:vAlign w:val="center"/>
          </w:tcPr>
          <w:p>
            <w:pPr>
              <w:spacing w:line="300" w:lineRule="auto"/>
              <w:jc w:val="center"/>
              <w:rPr>
                <w:rFonts w:hint="default"/>
                <w:b/>
                <w:sz w:val="28"/>
                <w:szCs w:val="28"/>
              </w:rPr>
            </w:pPr>
            <w:r>
              <w:rPr>
                <w:b/>
                <w:sz w:val="28"/>
                <w:szCs w:val="28"/>
              </w:rPr>
              <w:t>绩效评定级别</w:t>
            </w:r>
          </w:p>
        </w:tc>
        <w:tc>
          <w:tcPr>
            <w:tcW w:w="5851" w:type="dxa"/>
            <w:gridSpan w:val="2"/>
            <w:tcBorders>
              <w:top w:val="single" w:color="FFFFFF" w:sz="4" w:space="0"/>
              <w:left w:val="single" w:color="FFFFFF" w:sz="4" w:space="0"/>
              <w:bottom w:val="single" w:color="FFFFFF" w:sz="4" w:space="0"/>
              <w:right w:val="single" w:color="FFFFFF" w:sz="4" w:space="0"/>
            </w:tcBorders>
            <w:shd w:val="clear" w:color="auto" w:fill="C0C0C0"/>
            <w:vAlign w:val="center"/>
          </w:tcPr>
          <w:p>
            <w:pPr>
              <w:jc w:val="center"/>
              <w:rPr>
                <w:rFonts w:hint="default"/>
                <w:b/>
                <w:sz w:val="28"/>
                <w:szCs w:val="28"/>
              </w:rPr>
            </w:pPr>
            <w:r>
              <w:rPr>
                <w:b/>
                <w:sz w:val="28"/>
                <w:szCs w:val="28"/>
              </w:rPr>
              <w:t>良好</w:t>
            </w:r>
          </w:p>
        </w:tc>
      </w:tr>
    </w:tbl>
    <w:p>
      <w:pPr>
        <w:spacing w:line="560" w:lineRule="exact"/>
        <w:rPr>
          <w:rFonts w:hint="default" w:ascii="楷体_GB2312" w:hAnsi="楷体_GB2312" w:eastAsia="楷体_GB2312" w:cs="楷体_GB2312"/>
          <w:sz w:val="32"/>
          <w:szCs w:val="32"/>
        </w:rPr>
      </w:pPr>
      <w:r>
        <w:rPr>
          <w:rFonts w:ascii="楷体_GB2312" w:hAnsi="楷体_GB2312" w:eastAsia="楷体_GB2312" w:cs="楷体_GB2312"/>
          <w:sz w:val="32"/>
          <w:szCs w:val="32"/>
        </w:rPr>
        <w:t>（四）绩效评价指标分析；</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玉桥街道年初未制定部门整体目标，本次绩效评价前根部门整体工作的安排及项目执行情况等资料，补充制定了部门绩效目标。 </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评价认为，补充制定的部门整体绩效目标设定较为合理，与玉桥街道现阶段职能相符合，但部门整体目标设置不够全面，与年度重点工作不够匹配，缺少玉桥街道基本职能且无经费保障的工作目标；部门整体资金调整后，未及时调整年初目标和任务；项目绩效目标及绩效指标设置不够规范、准确、细化。</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（1）产出指标一</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产出数量指标：足额保障街道人员经费、公用经费、物业费、各项人员保险费及机构运转经费。</w:t>
      </w:r>
    </w:p>
    <w:p>
      <w:pPr>
        <w:spacing w:line="560" w:lineRule="exact"/>
        <w:rPr>
          <w:rFonts w:hint="default" w:ascii="仿宋_GB2312" w:hAnsi="仿宋_GB2312" w:eastAsia="仿宋_GB2312" w:cs="仿宋_GB2312"/>
          <w:sz w:val="32"/>
          <w:szCs w:val="32"/>
        </w:rPr>
      </w:pPr>
      <w:r>
        <w:rPr>
          <w:rFonts w:ascii="仿宋_GB2312" w:hAnsi="仿宋_GB2312" w:eastAsia="仿宋_GB2312" w:cs="仿宋_GB2312"/>
          <w:sz w:val="32"/>
          <w:szCs w:val="32"/>
        </w:rPr>
        <w:t>产出质量指标：完成全年支付及缴纳计划并做好机构日常运转资金保障工作。</w:t>
      </w:r>
    </w:p>
    <w:p>
      <w:pPr>
        <w:spacing w:line="560" w:lineRule="exact"/>
        <w:rPr>
          <w:rFonts w:hint="default" w:ascii="仿宋_GB2312" w:hAnsi="仿宋_GB2312" w:eastAsia="仿宋_GB2312" w:cs="仿宋_GB2312"/>
          <w:sz w:val="32"/>
          <w:szCs w:val="32"/>
        </w:rPr>
      </w:pPr>
      <w:r>
        <w:rPr>
          <w:rFonts w:ascii="仿宋_GB2312" w:hAnsi="仿宋_GB2312" w:eastAsia="仿宋_GB2312" w:cs="仿宋_GB2312"/>
          <w:sz w:val="32"/>
          <w:szCs w:val="32"/>
        </w:rPr>
        <w:t>产出进度指标：按照区财政局考核制度执行。</w:t>
      </w:r>
    </w:p>
    <w:p>
      <w:pPr>
        <w:spacing w:line="560" w:lineRule="exact"/>
        <w:rPr>
          <w:rFonts w:hint="default" w:ascii="仿宋_GB2312" w:hAnsi="仿宋_GB2312" w:eastAsia="仿宋_GB2312" w:cs="仿宋_GB2312"/>
          <w:sz w:val="32"/>
          <w:szCs w:val="32"/>
        </w:rPr>
      </w:pPr>
      <w:r>
        <w:rPr>
          <w:rFonts w:ascii="仿宋_GB2312" w:hAnsi="仿宋_GB2312" w:eastAsia="仿宋_GB2312" w:cs="仿宋_GB2312"/>
          <w:sz w:val="32"/>
          <w:szCs w:val="32"/>
        </w:rPr>
        <w:t>产出成本指标：100%准时支付及缴纳完成。</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（2）产出指标二</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产出数量指标：</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①玉桥辖区环境秩序良好，占道经营举报下降。                                                   </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②无照经营、门前三包问题、散发小广告、非法营运等问题得到有效整治，破坏环境秩序行为进一步减少。                      </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③完成玉桥北里小区、玉桥南里小区、布店北里小区等路面清扫、绿化清扫、楼门清扫等共计361089平方米的服务保洁任务。                                              </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④举办《玉桥嘉年华》项目，开幕式现场观众达到1500人，玉桥北里、玉桥南里、玉桥东里分为三个主分会场，2天活动参与人次12000余人。</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⑤完成发电厂宿舍平房区、510宿舍平房区、国税局北侧路、京哈铁路沿线两段（第一段由鑫隆市场北侧垃圾站至乔庄火车站货场西门，第二段由铁路公安学校北侧至滨河中路）共计约为33326平方米的清扫保洁、清理小广告及遗弃物清理等服务任务。                                              </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⑥完成背街小巷环境秩序管控。每天劝导乱停自行车三轮车及机动车等行为。                                  </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⑦《通州玉桥报》为双周刊，每周二发行，出版印刷24期，每期为4开8版，采用国产A类新闻纸，以17个社区居民数为依据，单彩印刷36000份。                                                         </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⑧玉桥益家项目共推送微信48期，开展4场月度主题活动，覆盖17个社区，2019年开展志愿服务及社区服务能力提升培训。                                                </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⑨指导17个社区开展上、下半年社区尊老助老活动。 </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⑩新建2家养老驿站，开展助洁、助乐、助餐等服务。</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产出质量指标：</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①城乡环境建设考评情况。</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②辖区安全隐患排除整治成效。</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③网格化治理考核成绩提升幅度。</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产出进度指标：玉桥街道各科室按照年度安排及实际工作需求提出资金申请,由玉桥街道统一向通州区财政局申报资金。</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产出成本指标：4,407.88万元。</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（3）社会效益指标</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①制定社区发展规划，发展社区社会服务设施，合理配置社区服务资源，兴办社区服务事业；兴办社会福利事业，做好社会救助、社会保险等社会保障工作。</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 xml:space="preserve">②对居民进行法制和社会公德教育，组织居民参与社会公益活动；组织开展科学文化、体育活动和社区教育，卫生工作，普及科学常识。                                                                                              </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③丰富居民业余生活，展现街道在环境治理、文化建设、社区组织发展等方面的工作亮点，展现辖区居民良好的精神风貌，展现副中心里的玉桥人的幸福生活，形成崇德向善的浓厚社会氛围，得到辖区居民的广泛认可。</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（4）环境效益指标</w:t>
      </w:r>
    </w:p>
    <w:p>
      <w:pPr>
        <w:spacing w:line="560" w:lineRule="exact"/>
        <w:rPr>
          <w:rFonts w:hint="default" w:ascii="仿宋_GB2312" w:hAnsi="仿宋_GB2312" w:eastAsia="仿宋_GB2312" w:cs="仿宋_GB2312"/>
          <w:sz w:val="32"/>
          <w:szCs w:val="32"/>
        </w:rPr>
      </w:pPr>
      <w:r>
        <w:rPr>
          <w:rFonts w:ascii="仿宋_GB2312" w:hAnsi="仿宋_GB2312" w:eastAsia="仿宋_GB2312" w:cs="仿宋_GB2312"/>
          <w:sz w:val="32"/>
          <w:szCs w:val="32"/>
        </w:rPr>
        <w:t>提升社区建设水平，协同建设主管部门监督施工单位依法施工、防止施工扬尘、扰民，对居住小区物业管理进行指导和监督检查，居民生活环境进一步提高</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（5）可持续影响指标</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①在推进公共服务、市场化服务、社区服务、公益服务中建立起了更加完善的服务体系，能够满足广大群众不同层次的服务需求。</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②通过优化办公环境、规范社区工作行为、强化社区工作者力量，进一步提升社区服务居民的能力，细化各项服务工作。</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③通过广泛开展宣传文化活动，不断提升社区精神文明建设水平，社区居民对与创城工作的理解更加深刻。</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④通过安全宣教、执法检查、志愿者巡防等多种形式的安全维稳工作，使平安社区建设的不断深入，营造了更加安全稳定的社会环境。</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（6）服务对象满意度指标居民满意度95%以上。</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（五）主要经验及做法、存在的问题及原因分析；</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1.街道自身中长期规划不足。</w:t>
      </w:r>
    </w:p>
    <w:p>
      <w:pPr>
        <w:spacing w:line="560" w:lineRule="exact"/>
        <w:rPr>
          <w:rFonts w:hint="default" w:ascii="仿宋_GB2312" w:hAnsi="仿宋_GB2312" w:eastAsia="仿宋_GB2312" w:cs="仿宋_GB2312"/>
          <w:sz w:val="32"/>
          <w:szCs w:val="32"/>
        </w:rPr>
      </w:pPr>
      <w:r>
        <w:rPr>
          <w:rFonts w:ascii="仿宋_GB2312" w:hAnsi="仿宋_GB2312" w:eastAsia="仿宋_GB2312" w:cs="仿宋_GB2312"/>
          <w:sz w:val="32"/>
          <w:szCs w:val="32"/>
        </w:rPr>
        <w:t>玉桥街道目前执行《通州区“十三五”规划纲要任务分工方案》，未能根据相关文件制定街道自身的“十三五”规划或中长期规划。</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2.部门整体预算决策过程及预算保障机制不够清晰。</w:t>
      </w:r>
    </w:p>
    <w:p>
      <w:pPr>
        <w:spacing w:line="560" w:lineRule="exact"/>
        <w:rPr>
          <w:rFonts w:hint="default" w:ascii="仿宋_GB2312" w:hAnsi="仿宋_GB2312" w:eastAsia="仿宋_GB2312" w:cs="仿宋_GB2312"/>
          <w:sz w:val="32"/>
          <w:szCs w:val="32"/>
        </w:rPr>
      </w:pPr>
      <w:r>
        <w:rPr>
          <w:rFonts w:ascii="仿宋_GB2312" w:hAnsi="仿宋_GB2312" w:eastAsia="仿宋_GB2312" w:cs="仿宋_GB2312"/>
          <w:sz w:val="32"/>
          <w:szCs w:val="32"/>
        </w:rPr>
        <w:t>玉桥街道年初重点工作目标明确，但未能按照部门整体工作的轻重缓急进行分配，整体资金分配至各子项目原则不够明确，资金分配与重点工作匹配度较低。</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3.未能全面树立预算全口径管理意识，项目设立分散，未能进行全面统筹，如宣传类项目，安监科、环保科、社区中心及司法所等均有涉及。</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4.整体绩效管理工作基础不够完善，绩效目标管理规范性与约束力不足。一是部门整体支出绩效目标设置不完整，仅对基本经费及事权资金设置了目标，对街道基本职能且无经费保障的工作，未设置相应的目标。二是部门整体资金调整后，未能及时对年初设定的目标及任务进行相应调整。三是项目绩效目标及绩效指标设置不够规范、准确、合理、细化。</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5.事权资金执行调整率过高，预算刚性约束力不足。预算调整率过高且无相关预算调整或变更说明，子项目预算编制的科学性和准确性难以评判。资金进行调整后，年初任务未进行相应调整。</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6.制度建设相对滞后，内控规范不够完整。一是当前执行的内控制度为2014年建立，与街道目前的实际情况不够匹配，制度建设相对滞后。二是内控规范不够完整，缺少非预算收入的管理办法、内部采购管理办法、合同管理办法、国有资产出租出借收入管理办法、固定资产的盘亏盘盈规定、结余资金管理办法等重要制度。</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7.项目实施方案不够规范，不能有效指导项目开展。一是未能针对事权资金制定部门总体的实施方案或工作分解方案，总体年度工作计划性不强。二是小巷维修子项目、社会秩序外包服务项目未制定项目实施方案，以第三方的方案为依据，未能落实实施主体的责任。三是创城宣传子项目及第二届社区嘉年华活动项目已制定项目实施方案，但不够规范及完善，缺少组织分工、项目实施的时间进度、资金使用计划、监督管理、项目验收及风险防控等内容。</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8.项目管理及项目验收不够规范。一是合同管理不够规范，部分合同签字、日期等要素不全，存在风险，如创城宣传子项目合同。二是项目监督考核、未进行项目验收或验收资料不足。</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9.绩效成果与年初计划及绩效目标匹配性不足。一是绩效报告未能全面体现年初集体决策情况。二是年度总结未能与年初计划及绩效目标相对应，年度工作总结不够充分，对年初目标及计划是否全面完成不易考量。</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10.绩效成果展现资料单一。绩效资料多为照片及工作总结，支撑资料不足，跨年项目的中期总结资料不够完善。</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11.反映满意度资料不够完善。一是部门整体满意度调查分析报告不够全面，调查的目的、调查对象、调查时间、调查人员组成及如何进行抽样没有明确阐述，调查范围不足，设置的问题不能全面反映街道年度重点工作。二是大部分子项目未进行满意度调查，未能对后期开展类似项目提供有效参考意见。如小项维修、拆违项目、宣传类活动项目等。</w:t>
      </w:r>
    </w:p>
    <w:p>
      <w:pPr>
        <w:spacing w:line="560" w:lineRule="exact"/>
        <w:rPr>
          <w:rFonts w:hint="default" w:ascii="仿宋_GB2312" w:hAnsi="仿宋_GB2312" w:eastAsia="仿宋_GB2312" w:cs="仿宋_GB2312"/>
          <w:sz w:val="32"/>
          <w:szCs w:val="32"/>
        </w:rPr>
      </w:pPr>
      <w:r>
        <w:rPr>
          <w:rFonts w:ascii="仿宋_GB2312" w:hAnsi="仿宋_GB2312" w:eastAsia="仿宋_GB2312" w:cs="仿宋_GB2312"/>
          <w:sz w:val="32"/>
          <w:szCs w:val="32"/>
        </w:rPr>
        <w:t>  （六）有关建议。</w:t>
      </w:r>
    </w:p>
    <w:p>
      <w:pPr>
        <w:spacing w:line="560" w:lineRule="exact"/>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1.充分梳理玉桥街道部门职能，明确发展目标及重点领域，开展部门顶层设计，制定街道中长期发展规划，探索项目库的建设，全面提升街道工作整体管理水平，推进街道建设。</w:t>
      </w:r>
    </w:p>
    <w:p>
      <w:pPr>
        <w:spacing w:line="560" w:lineRule="exact"/>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2.完善决策程序，提高决策科学化水平。进一步明确年初重点工作，依据年初重点工作及目标分解项目内容。明确部门整体对各类项目资金的分配原则，完善预算决策程序，对项目的可行性与资金预算的合理性进行充分论证。</w:t>
      </w:r>
    </w:p>
    <w:p>
      <w:pPr>
        <w:spacing w:line="560" w:lineRule="exact"/>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3.进一步加强与财政部门的沟通，树立预算全口径管理意识，精准把控结余资金与各类预算的关系，进一步梳理实有资金情况，加大对各类结余资金的整体统筹，厉行节约的编制年初预算，避免重复保障及资金沉淀，同时合理统筹各项目，提高资金使用效率。</w:t>
      </w:r>
    </w:p>
    <w:p>
      <w:pPr>
        <w:spacing w:line="560" w:lineRule="exact"/>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4.提高绩效管理意识，提升绩效管理水平，明确绩效工作归口管理部门，有效衔接各部门工作，全面编制部门整体绩效目标，合理设置各子项目绩效目标，合理、规范设置绩效指标，针对资金调整情况，及时调整年初目标及任务。</w:t>
      </w:r>
    </w:p>
    <w:p>
      <w:pPr>
        <w:spacing w:line="560" w:lineRule="exact"/>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5.加强预算管理，提升预算的刚性约束力，提高各子项目前期预算编制的科学性和准确性，细化预算和资金需求，减少预算调整率过高情况，完善资金调整的相关论证，提升年度资金目标任务的合理性，树立成本绩效管理理念。</w:t>
      </w:r>
    </w:p>
    <w:p>
      <w:pPr>
        <w:spacing w:line="560" w:lineRule="exact"/>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6.进一步加强内部制度建设，依据2020年1月1日实行的《北京市街道办事处条例》，并结合玉桥街道的实际工作情况，完善内部管理体制和运行机制，建立健全和完善内部控制制度。确保分工明确、责任明确，促进各项管理工作的专业化、职业化、规范化、标准化。按照科学性、规范性、可行性、操作性相结合的原则，对现有的基本规章制度进行认真梳理，有针对性地分别进行废止、修订、补充、完善和规范。保证部门各项工作在规范、良好、有效的内控环进行的正常运转。</w:t>
      </w:r>
    </w:p>
    <w:p>
      <w:pPr>
        <w:spacing w:line="560" w:lineRule="exact"/>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7.制定有效的部门整体及子项目实施方案，指导年度工作及项目开展，明确组织机构、实施计划、过程管控及措施、风险防控、资金使用计划等内容，切实落实预算实施主体责任。</w:t>
      </w:r>
    </w:p>
    <w:p>
      <w:pPr>
        <w:spacing w:line="560" w:lineRule="exact"/>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8.加强项目管控水平，规范进行项目验收。规范填写各项合同基本要素，提高合同风险防范意识。加强项目实施过程的监督、管理、评价、考核、验收等相关工作。</w:t>
      </w:r>
    </w:p>
    <w:p>
      <w:pPr>
        <w:spacing w:line="560" w:lineRule="exact"/>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9.根据年初工作计划与目标，对应进行年度工作总结，全面、充分体现年初任务完成情况。</w:t>
      </w:r>
    </w:p>
    <w:p>
      <w:pPr>
        <w:spacing w:line="560" w:lineRule="exact"/>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10.提高绩效成果展现水平，注重绩效成果资料的收集和呈现，多渠道获取项目的反馈和评价，多元方式展示绩效成果。</w:t>
      </w:r>
    </w:p>
    <w:p>
      <w:pPr>
        <w:spacing w:line="560" w:lineRule="exact"/>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11.合理设计部门整体满意度调查问卷，明确样本选择方式，充分对调查问卷进行统计分析，总结经验，为后续工作提供依据。及时开展子项目满意度调查，为后期开展类似项目提供有效参考意见。</w:t>
      </w:r>
    </w:p>
    <w:p>
      <w:pPr>
        <w:spacing w:line="560" w:lineRule="exact"/>
        <w:ind w:firstLine="640"/>
        <w:rPr>
          <w:rFonts w:hint="default" w:ascii="仿宋_GB2312" w:hAnsi="仿宋_GB2312" w:eastAsia="仿宋_GB2312" w:cs="仿宋_GB2312"/>
          <w:sz w:val="32"/>
          <w:szCs w:val="32"/>
        </w:rPr>
      </w:pPr>
      <w:r>
        <w:rPr>
          <w:rFonts w:ascii="黑体" w:hAnsi="黑体" w:eastAsia="黑体" w:cs="黑体"/>
          <w:sz w:val="32"/>
          <w:szCs w:val="32"/>
        </w:rPr>
        <w:t>三、项目支出绩效自评表</w:t>
      </w:r>
    </w:p>
    <w:p>
      <w:pPr>
        <w:spacing w:line="560" w:lineRule="exact"/>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无。</w:t>
      </w:r>
    </w:p>
    <w:p>
      <w:pPr>
        <w:spacing w:line="560" w:lineRule="exact"/>
        <w:rPr>
          <w:rFonts w:hint="default" w:ascii="仿宋_GB2312" w:hAnsi="仿宋_GB2312" w:eastAsia="仿宋_GB2312" w:cs="仿宋_GB2312"/>
          <w:sz w:val="32"/>
          <w:szCs w:val="32"/>
        </w:rPr>
      </w:pPr>
      <w:r>
        <w:rPr>
          <w:rFonts w:ascii="仿宋_GB2312" w:hAnsi="仿宋_GB2312" w:eastAsia="仿宋_GB2312" w:cs="仿宋_GB2312"/>
          <w:sz w:val="32"/>
          <w:szCs w:val="32"/>
        </w:rPr>
        <w:t>              </w:t>
      </w:r>
    </w:p>
    <w:sectPr>
      <w:pgSz w:w="11915" w:h="16840"/>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libri Light">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14D"/>
    <w:rsid w:val="004523C9"/>
    <w:rsid w:val="00B44C19"/>
    <w:rsid w:val="00C53F55"/>
    <w:rsid w:val="00F1614D"/>
    <w:rsid w:val="04CA3850"/>
    <w:rsid w:val="6B7C1837"/>
    <w:rsid w:val="6F0A48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eastAsia" w:ascii="宋体" w:hAnsi="宋体" w:eastAsia="宋体" w:cs="Times New Roman"/>
      <w:sz w:val="24"/>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uiPriority w:val="0"/>
    <w:pPr>
      <w:widowControl w:val="0"/>
      <w:spacing w:line="480" w:lineRule="exact"/>
      <w:ind w:firstLine="420"/>
      <w:jc w:val="both"/>
    </w:pPr>
    <w:rPr>
      <w:rFonts w:hint="default" w:ascii="Calibri" w:hAnsi="Calibri"/>
      <w:kern w:val="2"/>
      <w:sz w:val="21"/>
      <w:szCs w:val="21"/>
    </w:rPr>
  </w:style>
  <w:style w:type="paragraph" w:styleId="3">
    <w:name w:val="Body Text Indent 2"/>
    <w:basedOn w:val="1"/>
    <w:uiPriority w:val="0"/>
    <w:pPr>
      <w:widowControl w:val="0"/>
      <w:spacing w:after="120" w:line="480" w:lineRule="auto"/>
      <w:ind w:left="420" w:leftChars="200"/>
      <w:jc w:val="both"/>
    </w:pPr>
    <w:rPr>
      <w:rFonts w:hint="default" w:ascii="Calibri" w:hAnsi="Calibri"/>
      <w:kern w:val="2"/>
    </w:rPr>
  </w:style>
  <w:style w:type="paragraph" w:styleId="4">
    <w:name w:val="footer"/>
    <w:basedOn w:val="1"/>
    <w:link w:val="12"/>
    <w:qFormat/>
    <w:uiPriority w:val="0"/>
    <w:pPr>
      <w:tabs>
        <w:tab w:val="center" w:pos="4153"/>
        <w:tab w:val="right" w:pos="8306"/>
      </w:tabs>
      <w:snapToGrid w:val="0"/>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pPr>
  </w:style>
  <w:style w:type="character" w:styleId="8">
    <w:name w:val="Strong"/>
    <w:basedOn w:val="7"/>
    <w:qFormat/>
    <w:uiPriority w:val="0"/>
    <w:rPr>
      <w:b/>
    </w:rPr>
  </w:style>
  <w:style w:type="paragraph" w:customStyle="1" w:styleId="10">
    <w:name w:val="msolistparagraph"/>
    <w:basedOn w:val="1"/>
    <w:hidden/>
    <w:uiPriority w:val="0"/>
    <w:pPr>
      <w:widowControl w:val="0"/>
      <w:spacing w:line="480" w:lineRule="exact"/>
      <w:ind w:firstLine="420" w:firstLineChars="200"/>
      <w:jc w:val="both"/>
    </w:pPr>
    <w:rPr>
      <w:rFonts w:hint="default" w:ascii="Calibri" w:hAnsi="Calibri"/>
      <w:kern w:val="2"/>
      <w:szCs w:val="22"/>
    </w:rPr>
  </w:style>
  <w:style w:type="character" w:customStyle="1" w:styleId="11">
    <w:name w:val="页眉 Char"/>
    <w:basedOn w:val="7"/>
    <w:link w:val="5"/>
    <w:uiPriority w:val="0"/>
    <w:rPr>
      <w:rFonts w:ascii="宋体" w:hAnsi="宋体" w:eastAsia="宋体" w:cs="Times New Roman"/>
      <w:sz w:val="18"/>
      <w:szCs w:val="18"/>
    </w:rPr>
  </w:style>
  <w:style w:type="character" w:customStyle="1" w:styleId="12">
    <w:name w:val="页脚 Char"/>
    <w:basedOn w:val="7"/>
    <w:link w:val="4"/>
    <w:uiPriority w:val="0"/>
    <w:rPr>
      <w:rFonts w:ascii="宋体" w:hAnsi="宋体"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1588</Words>
  <Characters>9055</Characters>
  <Lines>75</Lines>
  <Paragraphs>21</Paragraphs>
  <TotalTime>0</TotalTime>
  <ScaleCrop>false</ScaleCrop>
  <LinksUpToDate>false</LinksUpToDate>
  <CharactersWithSpaces>10622</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2021-09-06T05:44:57Z</cp:lastPrinted>
  <dcterms:modified xsi:type="dcterms:W3CDTF">2021-09-06T05:46:47Z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