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pageBreakBefore w:val="0"/>
        <w:widowControl w:val="0"/>
        <w:kinsoku/>
        <w:overflowPunct/>
        <w:autoSpaceDE/>
        <w:autoSpaceDN/>
        <w:bidi w:val="0"/>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pStyle w:val="1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sz w:val="44"/>
          <w:szCs w:val="44"/>
          <w:lang w:val="en-US" w:eastAsia="zh-CN"/>
        </w:rPr>
      </w:pPr>
      <w:r>
        <w:rPr>
          <w:rFonts w:hint="eastAsia" w:ascii="方正小标宋简体" w:hAnsi="方正小标宋简体" w:eastAsia="方正小标宋简体"/>
          <w:sz w:val="44"/>
          <w:szCs w:val="44"/>
          <w:lang w:val="en-US" w:eastAsia="zh-CN"/>
        </w:rPr>
        <w:t>通州区建筑工程施工现场</w:t>
      </w:r>
    </w:p>
    <w:p>
      <w:pPr>
        <w:pStyle w:val="1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sz w:val="44"/>
          <w:szCs w:val="44"/>
          <w:lang w:val="en-US" w:eastAsia="zh-CN"/>
        </w:rPr>
      </w:pPr>
      <w:r>
        <w:rPr>
          <w:rFonts w:hint="eastAsia" w:ascii="方正小标宋简体" w:hAnsi="方正小标宋简体" w:eastAsia="方正小标宋简体"/>
          <w:sz w:val="44"/>
          <w:szCs w:val="44"/>
          <w:lang w:val="en-US" w:eastAsia="zh-CN"/>
        </w:rPr>
        <w:t>安全风险评估三年工作方案</w:t>
      </w:r>
    </w:p>
    <w:p>
      <w:pPr>
        <w:pStyle w:val="15"/>
        <w:keepNext w:val="0"/>
        <w:keepLines w:val="0"/>
        <w:pageBreakBefore w:val="0"/>
        <w:widowControl w:val="0"/>
        <w:kinsoku/>
        <w:overflowPunct/>
        <w:autoSpaceDE/>
        <w:autoSpaceDN/>
        <w:bidi w:val="0"/>
        <w:spacing w:line="560" w:lineRule="exact"/>
        <w:textAlignment w:val="auto"/>
        <w:rPr>
          <w:rFonts w:hint="eastAsia" w:ascii="方正小标宋简体" w:hAnsi="方正小标宋简体" w:eastAsia="方正小标宋简体"/>
          <w:sz w:val="44"/>
          <w:szCs w:val="44"/>
          <w:lang w:val="en-US" w:eastAsia="zh-CN"/>
        </w:rPr>
      </w:pP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为进一步做好通州区</w:t>
      </w:r>
      <w:r>
        <w:rPr>
          <w:rFonts w:hint="eastAsia" w:ascii="仿宋_GB2312" w:hAnsi="仿宋_GB2312" w:eastAsia="仿宋_GB2312" w:cs="仿宋_GB2312"/>
          <w:sz w:val="32"/>
          <w:szCs w:val="32"/>
          <w:lang w:val="en-US" w:eastAsia="zh-CN"/>
        </w:rPr>
        <w:t>建筑工程施工现场</w:t>
      </w:r>
      <w:r>
        <w:rPr>
          <w:rFonts w:hint="eastAsia" w:ascii="仿宋_GB2312" w:hAnsi="仿宋_GB2312" w:eastAsia="仿宋_GB2312" w:cs="仿宋_GB2312"/>
          <w:sz w:val="32"/>
          <w:szCs w:val="32"/>
          <w:lang w:eastAsia="zh-CN"/>
        </w:rPr>
        <w:t>安全风险评估工作，防范化解重大安全风险，全面提升安全管理水平，结合通州区建筑工程施工现场工作实际</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制定方案如下：</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一、指导思想</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以习近平新时代中国特色社会主义思想为指导，全面贯彻落实党的十九大和十九届历次全会精神以及习近平总书记关于</w:t>
      </w:r>
      <w:r>
        <w:rPr>
          <w:rFonts w:hint="eastAsia" w:ascii="仿宋_GB2312" w:hAnsi="仿宋_GB2312" w:eastAsia="仿宋_GB2312" w:cs="仿宋_GB2312"/>
          <w:sz w:val="32"/>
          <w:szCs w:val="32"/>
          <w:lang w:eastAsia="zh-CN"/>
        </w:rPr>
        <w:t>防</w:t>
      </w:r>
      <w:r>
        <w:rPr>
          <w:rFonts w:hint="eastAsia" w:ascii="仿宋_GB2312" w:hAnsi="仿宋_GB2312" w:eastAsia="仿宋_GB2312" w:cs="仿宋_GB2312"/>
          <w:sz w:val="32"/>
          <w:szCs w:val="32"/>
        </w:rPr>
        <w:t>范化解重大风险的重要论述，坚持总体国家安全观，坚持人民至上、生命至上，主动服务首都安全发展大局，从源头防范化解重大安全风险，为落实北京城市副中心战略定位，提升通州区城市风险管理水平与城市治理能力的现代化提供保障。</w:t>
      </w:r>
    </w:p>
    <w:p>
      <w:pPr>
        <w:pStyle w:val="13"/>
        <w:keepNext w:val="0"/>
        <w:keepLines w:val="0"/>
        <w:pageBreakBefore w:val="0"/>
        <w:widowControl w:val="0"/>
        <w:numPr>
          <w:ilvl w:val="0"/>
          <w:numId w:val="0"/>
        </w:numPr>
        <w:suppressLineNumbers w:val="0"/>
        <w:kinsoku/>
        <w:wordWrap w:val="0"/>
        <w:overflowPunct/>
        <w:topLinePunct/>
        <w:autoSpaceDE/>
        <w:autoSpaceDN/>
        <w:bidi w:val="0"/>
        <w:adjustRightInd w:val="0"/>
        <w:snapToGrid w:val="0"/>
        <w:spacing w:after="0" w:line="560" w:lineRule="exact"/>
        <w:ind w:firstLine="640" w:firstLineChars="200"/>
        <w:jc w:val="both"/>
        <w:textAlignment w:val="auto"/>
        <w:rPr>
          <w:sz w:val="32"/>
          <w:szCs w:val="32"/>
        </w:rPr>
      </w:pPr>
      <w:r>
        <w:rPr>
          <w:rFonts w:hint="eastAsia" w:ascii="黑体" w:hAnsi="黑体" w:eastAsia="黑体" w:cs="黑体"/>
          <w:kern w:val="2"/>
          <w:sz w:val="32"/>
          <w:szCs w:val="32"/>
          <w:lang w:val="en-US" w:eastAsia="zh-CN" w:bidi="ar-SA"/>
        </w:rPr>
        <w:t>二、工作目标        </w:t>
      </w:r>
      <w:r>
        <w:rPr>
          <w:sz w:val="32"/>
          <w:szCs w:val="32"/>
        </w:rPr>
        <w:t>                 </w:t>
      </w:r>
    </w:p>
    <w:p>
      <w:pPr>
        <w:pStyle w:val="13"/>
        <w:keepNext w:val="0"/>
        <w:keepLines w:val="0"/>
        <w:pageBreakBefore w:val="0"/>
        <w:widowControl w:val="0"/>
        <w:suppressLineNumbers w:val="0"/>
        <w:kinsoku/>
        <w:wordWrap w:val="0"/>
        <w:overflowPunct/>
        <w:topLinePunct/>
        <w:autoSpaceDE/>
        <w:autoSpaceDN/>
        <w:bidi w:val="0"/>
        <w:adjustRightInd w:val="0"/>
        <w:snapToGrid w:val="0"/>
        <w:spacing w:after="0" w:line="560" w:lineRule="exact"/>
        <w:ind w:left="0" w:firstLine="640" w:firstLineChars="200"/>
        <w:jc w:val="both"/>
        <w:textAlignment w:val="auto"/>
        <w:rPr>
          <w:rFonts w:hint="eastAsia" w:ascii="仿宋_GB2312" w:eastAsia="仿宋_GB2312" w:cs="仿宋_GB2312"/>
          <w:color w:val="0C0C0C"/>
          <w:sz w:val="32"/>
          <w:szCs w:val="32"/>
        </w:rPr>
      </w:pPr>
      <w:r>
        <w:rPr>
          <w:rFonts w:hint="eastAsia" w:ascii="仿宋_GB2312" w:eastAsia="仿宋_GB2312" w:cs="仿宋_GB2312"/>
          <w:color w:val="0C0C0C"/>
          <w:sz w:val="32"/>
          <w:szCs w:val="32"/>
        </w:rPr>
        <w:t>在既有</w:t>
      </w:r>
      <w:r>
        <w:rPr>
          <w:rFonts w:hint="eastAsia" w:ascii="仿宋_GB2312" w:hAnsi="仿宋_GB2312" w:eastAsia="仿宋_GB2312" w:cs="仿宋_GB2312"/>
          <w:color w:val="000000"/>
          <w:sz w:val="32"/>
          <w:szCs w:val="32"/>
          <w:lang w:eastAsia="zh-CN"/>
        </w:rPr>
        <w:t>通州区建筑施工领域</w:t>
      </w:r>
      <w:r>
        <w:rPr>
          <w:rFonts w:hint="eastAsia" w:ascii="仿宋_GB2312" w:eastAsia="仿宋_GB2312" w:cs="仿宋_GB2312"/>
          <w:color w:val="0C0C0C"/>
          <w:sz w:val="32"/>
          <w:szCs w:val="32"/>
          <w:lang w:eastAsia="zh-CN"/>
        </w:rPr>
        <w:t>安全</w:t>
      </w:r>
      <w:r>
        <w:rPr>
          <w:rFonts w:hint="eastAsia" w:ascii="仿宋_GB2312" w:hAnsi="仿宋_GB2312" w:eastAsia="仿宋_GB2312" w:cs="仿宋_GB2312"/>
          <w:color w:val="000000"/>
          <w:sz w:val="32"/>
          <w:szCs w:val="32"/>
          <w:lang w:val="en-US" w:eastAsia="zh-CN"/>
        </w:rPr>
        <w:t>风险评估工作成果基础上</w:t>
      </w:r>
      <w:r>
        <w:rPr>
          <w:rFonts w:hint="eastAsia" w:ascii="仿宋_GB2312" w:eastAsia="仿宋_GB2312" w:cs="仿宋_GB2312"/>
          <w:color w:val="0C0C0C"/>
          <w:sz w:val="32"/>
          <w:szCs w:val="32"/>
        </w:rPr>
        <w:t>，利用</w:t>
      </w:r>
      <w:r>
        <w:rPr>
          <w:rFonts w:hint="eastAsia" w:ascii="仿宋_GB2312" w:eastAsia="仿宋_GB2312" w:cs="仿宋_GB2312"/>
          <w:color w:val="0C0C0C"/>
          <w:sz w:val="32"/>
          <w:szCs w:val="32"/>
          <w:lang w:eastAsia="zh-CN"/>
        </w:rPr>
        <w:t>三</w:t>
      </w:r>
      <w:r>
        <w:rPr>
          <w:rFonts w:hint="eastAsia" w:ascii="仿宋_GB2312" w:eastAsia="仿宋_GB2312" w:cs="仿宋_GB2312"/>
          <w:color w:val="0C0C0C"/>
          <w:sz w:val="32"/>
          <w:szCs w:val="32"/>
        </w:rPr>
        <w:t>年时间，持续推进安全风险评估向广度和深度“双拓展”，大力推动</w:t>
      </w:r>
      <w:r>
        <w:rPr>
          <w:rFonts w:hint="eastAsia" w:ascii="仿宋_GB2312" w:hAnsi="仿宋_GB2312" w:eastAsia="仿宋_GB2312" w:cs="仿宋_GB2312"/>
          <w:sz w:val="32"/>
          <w:szCs w:val="32"/>
          <w:lang w:eastAsia="zh-CN"/>
        </w:rPr>
        <w:t>建筑施工领域</w:t>
      </w:r>
      <w:r>
        <w:rPr>
          <w:rFonts w:hint="eastAsia" w:ascii="仿宋_GB2312" w:eastAsia="仿宋_GB2312" w:cs="仿宋_GB2312"/>
          <w:color w:val="0C0C0C"/>
          <w:sz w:val="32"/>
          <w:szCs w:val="32"/>
          <w:lang w:eastAsia="zh-CN"/>
        </w:rPr>
        <w:t>安全</w:t>
      </w:r>
      <w:r>
        <w:rPr>
          <w:rFonts w:hint="eastAsia" w:ascii="仿宋_GB2312" w:eastAsia="仿宋_GB2312" w:cs="仿宋_GB2312"/>
          <w:color w:val="0C0C0C"/>
          <w:sz w:val="32"/>
          <w:szCs w:val="32"/>
        </w:rPr>
        <w:t>风险评估能力和质量“双提升”</w:t>
      </w:r>
      <w:r>
        <w:rPr>
          <w:rFonts w:hint="eastAsia" w:ascii="仿宋_GB2312" w:eastAsia="仿宋_GB2312" w:cs="仿宋_GB2312"/>
          <w:color w:val="0C0C0C"/>
          <w:sz w:val="32"/>
          <w:szCs w:val="32"/>
          <w:lang w:eastAsia="zh-CN"/>
        </w:rPr>
        <w:t>。</w:t>
      </w:r>
      <w:r>
        <w:rPr>
          <w:rFonts w:hint="eastAsia" w:ascii="仿宋_GB2312" w:eastAsia="仿宋_GB2312" w:cs="仿宋_GB2312"/>
          <w:color w:val="0C0C0C"/>
          <w:sz w:val="32"/>
          <w:szCs w:val="32"/>
        </w:rPr>
        <w:t>到2024年底，区住房城乡建设委</w:t>
      </w:r>
      <w:r>
        <w:rPr>
          <w:rFonts w:hint="eastAsia" w:ascii="仿宋_GB2312" w:eastAsia="仿宋_GB2312" w:cs="仿宋_GB2312"/>
          <w:color w:val="0C0C0C"/>
          <w:sz w:val="32"/>
          <w:szCs w:val="32"/>
          <w:lang w:eastAsia="zh-CN"/>
        </w:rPr>
        <w:t>将</w:t>
      </w:r>
      <w:r>
        <w:rPr>
          <w:rFonts w:hint="eastAsia" w:ascii="仿宋_GB2312" w:eastAsia="仿宋_GB2312" w:cs="仿宋_GB2312"/>
          <w:color w:val="0C0C0C"/>
          <w:sz w:val="32"/>
          <w:szCs w:val="32"/>
          <w:lang w:val="en-US"/>
        </w:rPr>
        <w:t>建成较为成熟完善的</w:t>
      </w:r>
      <w:r>
        <w:rPr>
          <w:rFonts w:hint="eastAsia" w:ascii="仿宋_GB2312" w:eastAsia="仿宋_GB2312" w:cs="仿宋_GB2312"/>
          <w:color w:val="0C0C0C"/>
          <w:sz w:val="32"/>
          <w:szCs w:val="32"/>
          <w:lang w:val="en-US" w:eastAsia="zh-CN"/>
        </w:rPr>
        <w:t>建筑施工领域</w:t>
      </w:r>
      <w:r>
        <w:rPr>
          <w:rFonts w:hint="eastAsia" w:ascii="仿宋_GB2312" w:eastAsia="仿宋_GB2312" w:cs="仿宋_GB2312"/>
          <w:color w:val="0C0C0C"/>
          <w:sz w:val="32"/>
          <w:szCs w:val="32"/>
          <w:lang w:val="en-US"/>
        </w:rPr>
        <w:t>安全风险评估标准体系</w:t>
      </w:r>
      <w:r>
        <w:rPr>
          <w:rFonts w:hint="eastAsia" w:ascii="仿宋_GB2312" w:eastAsia="仿宋_GB2312" w:cs="仿宋_GB2312"/>
          <w:color w:val="0C0C0C"/>
          <w:sz w:val="32"/>
          <w:szCs w:val="32"/>
        </w:rPr>
        <w:t>。</w:t>
      </w:r>
    </w:p>
    <w:p>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color w:val="0C0C0C"/>
          <w:sz w:val="32"/>
          <w:szCs w:val="32"/>
          <w:lang w:val="en-US" w:eastAsia="zh-CN"/>
        </w:rPr>
        <w:t>三、</w:t>
      </w:r>
      <w:r>
        <w:rPr>
          <w:rFonts w:hint="eastAsia" w:ascii="黑体" w:hAnsi="黑体" w:eastAsia="黑体" w:cs="黑体"/>
          <w:sz w:val="32"/>
          <w:szCs w:val="32"/>
          <w:highlight w:val="none"/>
        </w:rPr>
        <w:t>组织领导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s="仿宋_GB2312"/>
          <w:color w:val="0C0C0C"/>
          <w:sz w:val="32"/>
          <w:szCs w:val="32"/>
          <w:lang w:val="en-US" w:eastAsia="zh-CN"/>
        </w:rPr>
      </w:pPr>
      <w:r>
        <w:rPr>
          <w:rFonts w:hint="eastAsia" w:ascii="仿宋_GB2312" w:hAnsi="仿宋_GB2312" w:eastAsia="仿宋_GB2312" w:cs="仿宋_GB2312"/>
          <w:sz w:val="32"/>
          <w:szCs w:val="32"/>
          <w:highlight w:val="none"/>
          <w:lang w:eastAsia="zh-CN"/>
        </w:rPr>
        <w:t>区住房城乡建设委</w:t>
      </w:r>
      <w:r>
        <w:rPr>
          <w:rFonts w:hint="eastAsia" w:ascii="仿宋_GB2312" w:hAnsi="仿宋_GB2312" w:eastAsia="仿宋_GB2312" w:cs="仿宋_GB2312"/>
          <w:sz w:val="32"/>
          <w:szCs w:val="32"/>
          <w:highlight w:val="none"/>
        </w:rPr>
        <w:t>成立</w:t>
      </w:r>
      <w:r>
        <w:rPr>
          <w:rFonts w:hint="eastAsia" w:ascii="仿宋_GB2312" w:hAnsi="仿宋_GB2312" w:eastAsia="仿宋_GB2312" w:cs="仿宋_GB2312"/>
          <w:sz w:val="32"/>
          <w:szCs w:val="32"/>
          <w:highlight w:val="none"/>
          <w:lang w:eastAsia="zh-CN"/>
        </w:rPr>
        <w:t>通州区建筑工程施工现场安全风险评估三年</w:t>
      </w:r>
      <w:r>
        <w:rPr>
          <w:rFonts w:hint="eastAsia" w:ascii="仿宋_GB2312" w:hAnsi="仿宋" w:eastAsia="仿宋_GB2312"/>
          <w:sz w:val="32"/>
          <w:szCs w:val="32"/>
          <w:highlight w:val="none"/>
        </w:rPr>
        <w:t>工作领导小组，</w:t>
      </w:r>
      <w:r>
        <w:rPr>
          <w:rFonts w:hint="eastAsia" w:ascii="仿宋_GB2312" w:hAnsi="仿宋_GB2312" w:eastAsia="仿宋_GB2312" w:cs="仿宋_GB2312"/>
          <w:sz w:val="32"/>
          <w:szCs w:val="32"/>
          <w:highlight w:val="none"/>
          <w:lang w:eastAsia="zh-CN"/>
        </w:rPr>
        <w:t>区住房城乡建设委党组书记、主任任组长，区住房城乡建设委党组成员、主管副主任任副组长</w:t>
      </w:r>
      <w:r>
        <w:rPr>
          <w:rFonts w:hint="eastAsia" w:ascii="仿宋_GB2312" w:hAnsi="仿宋" w:eastAsia="仿宋_GB2312"/>
          <w:sz w:val="32"/>
          <w:szCs w:val="32"/>
          <w:highlight w:val="none"/>
        </w:rPr>
        <w:t>。</w:t>
      </w:r>
    </w:p>
    <w:p>
      <w:pPr>
        <w:pStyle w:val="13"/>
        <w:keepNext w:val="0"/>
        <w:keepLines w:val="0"/>
        <w:pageBreakBefore w:val="0"/>
        <w:widowControl w:val="0"/>
        <w:suppressLineNumbers w:val="0"/>
        <w:kinsoku/>
        <w:wordWrap w:val="0"/>
        <w:overflowPunct/>
        <w:topLinePunct/>
        <w:autoSpaceDE/>
        <w:autoSpaceDN/>
        <w:bidi w:val="0"/>
        <w:adjustRightInd w:val="0"/>
        <w:snapToGrid w:val="0"/>
        <w:spacing w:after="0" w:line="560" w:lineRule="exact"/>
        <w:ind w:left="0" w:firstLine="640" w:firstLineChars="200"/>
        <w:jc w:val="both"/>
        <w:textAlignment w:val="auto"/>
        <w:rPr>
          <w:rFonts w:hint="eastAsia" w:ascii="黑体" w:hAnsi="宋体" w:eastAsia="黑体" w:cs="黑体"/>
          <w:color w:val="0C0C0C"/>
          <w:sz w:val="32"/>
          <w:szCs w:val="32"/>
          <w:highlight w:val="none"/>
        </w:rPr>
      </w:pPr>
      <w:r>
        <w:rPr>
          <w:rFonts w:hint="eastAsia" w:ascii="黑体" w:eastAsia="黑体" w:cs="黑体"/>
          <w:color w:val="0C0C0C"/>
          <w:sz w:val="32"/>
          <w:szCs w:val="32"/>
          <w:highlight w:val="none"/>
          <w:lang w:eastAsia="zh-CN"/>
        </w:rPr>
        <w:t>四、</w:t>
      </w:r>
      <w:r>
        <w:rPr>
          <w:rFonts w:hint="eastAsia" w:ascii="黑体" w:hAnsi="宋体" w:eastAsia="黑体" w:cs="黑体"/>
          <w:color w:val="0C0C0C"/>
          <w:sz w:val="32"/>
          <w:szCs w:val="32"/>
          <w:highlight w:val="none"/>
        </w:rPr>
        <w:t>重点任务</w:t>
      </w:r>
    </w:p>
    <w:p>
      <w:pPr>
        <w:pStyle w:val="13"/>
        <w:keepNext w:val="0"/>
        <w:keepLines w:val="0"/>
        <w:pageBreakBefore w:val="0"/>
        <w:widowControl w:val="0"/>
        <w:suppressLineNumbers w:val="0"/>
        <w:kinsoku/>
        <w:wordWrap w:val="0"/>
        <w:overflowPunct/>
        <w:topLinePunct/>
        <w:autoSpaceDE/>
        <w:autoSpaceDN/>
        <w:bidi w:val="0"/>
        <w:adjustRightInd w:val="0"/>
        <w:snapToGrid w:val="0"/>
        <w:spacing w:after="0" w:line="560" w:lineRule="exact"/>
        <w:ind w:left="0" w:firstLine="640" w:firstLineChars="200"/>
        <w:jc w:val="both"/>
        <w:textAlignment w:val="auto"/>
        <w:rPr>
          <w:rFonts w:hint="eastAsia" w:ascii="仿宋_GB2312" w:eastAsia="仿宋_GB2312" w:cs="仿宋_GB2312"/>
          <w:strike w:val="0"/>
          <w:dstrike w:val="0"/>
          <w:color w:val="000000" w:themeColor="text1"/>
          <w:sz w:val="32"/>
          <w:szCs w:val="32"/>
          <w:lang w:val="en-US" w:eastAsia="zh-CN"/>
          <w14:textFill>
            <w14:solidFill>
              <w14:schemeClr w14:val="tx1"/>
            </w14:solidFill>
          </w14:textFill>
        </w:rPr>
      </w:pPr>
      <w:r>
        <w:rPr>
          <w:rFonts w:hint="default" w:ascii="楷体_GB2312" w:eastAsia="楷体_GB2312" w:cs="楷体_GB2312"/>
          <w:color w:val="000000" w:themeColor="text1"/>
          <w:sz w:val="32"/>
          <w:szCs w:val="32"/>
          <w14:textFill>
            <w14:solidFill>
              <w14:schemeClr w14:val="tx1"/>
            </w14:solidFill>
          </w14:textFill>
        </w:rPr>
        <w:t>（一）</w:t>
      </w:r>
      <w:r>
        <w:rPr>
          <w:rFonts w:hint="default" w:ascii="楷体_GB2312" w:hAnsi="宋体" w:eastAsia="楷体_GB2312" w:cs="楷体_GB2312"/>
          <w:strike w:val="0"/>
          <w:dstrike w:val="0"/>
          <w:color w:val="000000" w:themeColor="text1"/>
          <w:kern w:val="0"/>
          <w:sz w:val="32"/>
          <w:szCs w:val="32"/>
          <w:lang w:val="en-US" w:eastAsia="zh-CN" w:bidi="ar"/>
          <w14:textFill>
            <w14:solidFill>
              <w14:schemeClr w14:val="tx1"/>
            </w14:solidFill>
          </w14:textFill>
        </w:rPr>
        <w:t>持续</w:t>
      </w:r>
      <w:r>
        <w:rPr>
          <w:rFonts w:hint="eastAsia" w:ascii="楷体_GB2312" w:hAnsi="宋体" w:eastAsia="楷体_GB2312" w:cs="楷体_GB2312"/>
          <w:strike w:val="0"/>
          <w:dstrike w:val="0"/>
          <w:color w:val="000000" w:themeColor="text1"/>
          <w:kern w:val="0"/>
          <w:sz w:val="32"/>
          <w:szCs w:val="32"/>
          <w:lang w:val="en-US" w:eastAsia="zh-CN" w:bidi="ar"/>
          <w14:textFill>
            <w14:solidFill>
              <w14:schemeClr w14:val="tx1"/>
            </w14:solidFill>
          </w14:textFill>
        </w:rPr>
        <w:t>推进建筑工程施工现场</w:t>
      </w:r>
      <w:r>
        <w:rPr>
          <w:rFonts w:hint="default" w:ascii="楷体_GB2312" w:hAnsi="宋体" w:eastAsia="楷体_GB2312" w:cs="楷体_GB2312"/>
          <w:strike w:val="0"/>
          <w:dstrike w:val="0"/>
          <w:color w:val="000000" w:themeColor="text1"/>
          <w:kern w:val="0"/>
          <w:sz w:val="32"/>
          <w:szCs w:val="32"/>
          <w:lang w:val="en-US" w:eastAsia="zh-CN" w:bidi="ar"/>
          <w14:textFill>
            <w14:solidFill>
              <w14:schemeClr w14:val="tx1"/>
            </w14:solidFill>
          </w14:textFill>
        </w:rPr>
        <w:t>提质增效</w:t>
      </w:r>
    </w:p>
    <w:p>
      <w:pPr>
        <w:pStyle w:val="13"/>
        <w:keepNext w:val="0"/>
        <w:keepLines w:val="0"/>
        <w:pageBreakBefore w:val="0"/>
        <w:widowControl w:val="0"/>
        <w:suppressLineNumbers w:val="0"/>
        <w:kinsoku/>
        <w:wordWrap w:val="0"/>
        <w:overflowPunct/>
        <w:topLinePunct/>
        <w:autoSpaceDE/>
        <w:autoSpaceDN/>
        <w:bidi w:val="0"/>
        <w:adjustRightInd w:val="0"/>
        <w:snapToGrid w:val="0"/>
        <w:spacing w:after="0" w:line="560" w:lineRule="exact"/>
        <w:ind w:firstLine="640" w:firstLineChars="200"/>
        <w:jc w:val="both"/>
        <w:textAlignment w:val="auto"/>
        <w:rPr>
          <w:rFonts w:hint="eastAsia" w:ascii="仿宋_GB2312" w:eastAsia="仿宋_GB2312" w:cs="仿宋_GB2312"/>
          <w:strike/>
          <w:dstrike w:val="0"/>
          <w:color w:val="000000" w:themeColor="text1"/>
          <w:sz w:val="32"/>
          <w:szCs w:val="32"/>
          <w14:textFill>
            <w14:solidFill>
              <w14:schemeClr w14:val="tx1"/>
            </w14:solidFill>
          </w14:textFill>
        </w:rPr>
      </w:pPr>
      <w:r>
        <w:rPr>
          <w:rFonts w:hint="eastAsia" w:ascii="仿宋_GB2312" w:eastAsia="仿宋_GB2312" w:cs="仿宋_GB2312"/>
          <w:strike w:val="0"/>
          <w:dstrike w:val="0"/>
          <w:color w:val="000000" w:themeColor="text1"/>
          <w:sz w:val="32"/>
          <w:szCs w:val="32"/>
          <w:lang w:val="en-US" w:eastAsia="zh-CN"/>
          <w14:textFill>
            <w14:solidFill>
              <w14:schemeClr w14:val="tx1"/>
            </w14:solidFill>
          </w14:textFill>
        </w:rPr>
        <w:t>区住房城乡建设委依托市住房城乡建设委新编制的标准清单，细化工作流程，将风险辨识、评估工作常态化，提高线上业务审核能力，提升每季度动态更新率，强化风险管控措施，推广典型工作方法，带动各工程项目参与。</w:t>
      </w:r>
    </w:p>
    <w:p>
      <w:pPr>
        <w:pStyle w:val="13"/>
        <w:keepNext w:val="0"/>
        <w:keepLines w:val="0"/>
        <w:pageBreakBefore w:val="0"/>
        <w:widowControl w:val="0"/>
        <w:suppressLineNumbers w:val="0"/>
        <w:kinsoku/>
        <w:wordWrap w:val="0"/>
        <w:overflowPunct/>
        <w:topLinePunct/>
        <w:autoSpaceDE/>
        <w:autoSpaceDN/>
        <w:bidi w:val="0"/>
        <w:adjustRightInd w:val="0"/>
        <w:snapToGrid w:val="0"/>
        <w:spacing w:after="0" w:line="560" w:lineRule="exact"/>
        <w:ind w:firstLine="640" w:firstLineChars="200"/>
        <w:jc w:val="both"/>
        <w:textAlignment w:val="auto"/>
        <w:rPr>
          <w:rFonts w:hint="default" w:ascii="仿宋_GB2312" w:eastAsia="仿宋_GB2312" w:cs="仿宋_GB2312"/>
          <w:strike w:val="0"/>
          <w:dstrike w:val="0"/>
          <w:color w:val="000000" w:themeColor="text1"/>
          <w:sz w:val="32"/>
          <w:szCs w:val="32"/>
          <w:lang w:val="en-US" w:eastAsia="zh-CN"/>
          <w14:textFill>
            <w14:solidFill>
              <w14:schemeClr w14:val="tx1"/>
            </w14:solidFill>
          </w14:textFill>
        </w:rPr>
      </w:pPr>
      <w:r>
        <w:rPr>
          <w:rFonts w:hint="eastAsia" w:ascii="楷体_GB2312" w:eastAsia="楷体_GB2312" w:cs="楷体_GB2312"/>
          <w:strike w:val="0"/>
          <w:dstrike w:val="0"/>
          <w:color w:val="000000" w:themeColor="text1"/>
          <w:kern w:val="0"/>
          <w:sz w:val="32"/>
          <w:szCs w:val="32"/>
          <w:lang w:val="en-US" w:eastAsia="zh-CN" w:bidi="ar"/>
          <w14:textFill>
            <w14:solidFill>
              <w14:schemeClr w14:val="tx1"/>
            </w14:solidFill>
          </w14:textFill>
        </w:rPr>
        <w:t>（二）</w:t>
      </w:r>
      <w:r>
        <w:rPr>
          <w:rFonts w:hint="eastAsia" w:ascii="楷体_GB2312" w:hAnsi="宋体" w:eastAsia="楷体_GB2312" w:cs="楷体_GB2312"/>
          <w:strike w:val="0"/>
          <w:dstrike w:val="0"/>
          <w:color w:val="000000" w:themeColor="text1"/>
          <w:kern w:val="0"/>
          <w:sz w:val="32"/>
          <w:szCs w:val="32"/>
          <w:lang w:val="en-US" w:eastAsia="zh-CN" w:bidi="ar"/>
          <w14:textFill>
            <w14:solidFill>
              <w14:schemeClr w14:val="tx1"/>
            </w14:solidFill>
          </w14:textFill>
        </w:rPr>
        <w:t>开展受自然灾害影响的风险评估</w:t>
      </w:r>
    </w:p>
    <w:p>
      <w:pPr>
        <w:pStyle w:val="13"/>
        <w:keepNext w:val="0"/>
        <w:keepLines w:val="0"/>
        <w:pageBreakBefore w:val="0"/>
        <w:widowControl w:val="0"/>
        <w:suppressLineNumbers w:val="0"/>
        <w:kinsoku/>
        <w:wordWrap w:val="0"/>
        <w:overflowPunct/>
        <w:topLinePunct/>
        <w:autoSpaceDE/>
        <w:autoSpaceDN/>
        <w:bidi w:val="0"/>
        <w:adjustRightInd w:val="0"/>
        <w:snapToGrid w:val="0"/>
        <w:spacing w:after="0" w:line="560" w:lineRule="exact"/>
        <w:ind w:firstLine="640" w:firstLineChars="200"/>
        <w:jc w:val="both"/>
        <w:textAlignment w:val="auto"/>
        <w:rPr>
          <w:rFonts w:hint="default" w:ascii="仿宋_GB2312" w:eastAsia="仿宋_GB2312" w:cs="仿宋_GB2312"/>
          <w:strike w:val="0"/>
          <w:dstrike w:val="0"/>
          <w:color w:val="000000" w:themeColor="text1"/>
          <w:sz w:val="32"/>
          <w:szCs w:val="32"/>
          <w:lang w:val="en-US" w:eastAsia="zh-CN"/>
          <w14:textFill>
            <w14:solidFill>
              <w14:schemeClr w14:val="tx1"/>
            </w14:solidFill>
          </w14:textFill>
        </w:rPr>
      </w:pPr>
      <w:r>
        <w:rPr>
          <w:rFonts w:hint="eastAsia" w:ascii="仿宋_GB2312" w:eastAsia="仿宋_GB2312" w:cs="仿宋_GB2312"/>
          <w:strike w:val="0"/>
          <w:dstrike w:val="0"/>
          <w:color w:val="000000" w:themeColor="text1"/>
          <w:sz w:val="32"/>
          <w:szCs w:val="32"/>
          <w:lang w:val="en-US" w:eastAsia="zh-CN"/>
          <w14:textFill>
            <w14:solidFill>
              <w14:schemeClr w14:val="tx1"/>
            </w14:solidFill>
          </w14:textFill>
        </w:rPr>
        <w:t>区住房城乡建设委配合区应急办开展受自然灾害影响的风险评估，结合自然灾害季节性、周期性和衍生性等特点，考虑自然灾害因素对建筑工程施工现场的影响，组织开展自然灾害等因素影响建筑工程施工现场的风险评估，以及自然灾害引发生产安全事故等风险评估，提升各工程项目抵御自然灾害风险能力。</w:t>
      </w:r>
    </w:p>
    <w:p>
      <w:pPr>
        <w:pStyle w:val="13"/>
        <w:keepNext w:val="0"/>
        <w:keepLines w:val="0"/>
        <w:pageBreakBefore w:val="0"/>
        <w:widowControl w:val="0"/>
        <w:suppressLineNumbers w:val="0"/>
        <w:kinsoku/>
        <w:wordWrap w:val="0"/>
        <w:overflowPunct/>
        <w:topLinePunct/>
        <w:autoSpaceDE/>
        <w:autoSpaceDN/>
        <w:bidi w:val="0"/>
        <w:adjustRightInd w:val="0"/>
        <w:snapToGrid w:val="0"/>
        <w:spacing w:after="0" w:line="560" w:lineRule="exact"/>
        <w:ind w:firstLine="640" w:firstLineChars="200"/>
        <w:jc w:val="both"/>
        <w:textAlignment w:val="auto"/>
        <w:rPr>
          <w:rFonts w:hint="eastAsia" w:ascii="仿宋_GB2312" w:eastAsia="仿宋_GB2312" w:cs="仿宋_GB2312"/>
          <w:strike w:val="0"/>
          <w:dstrike w:val="0"/>
          <w:color w:val="000000" w:themeColor="text1"/>
          <w:sz w:val="32"/>
          <w:szCs w:val="32"/>
          <w:lang w:val="en-US" w:eastAsia="zh-CN"/>
          <w14:textFill>
            <w14:solidFill>
              <w14:schemeClr w14:val="tx1"/>
            </w14:solidFill>
          </w14:textFill>
        </w:rPr>
      </w:pPr>
      <w:r>
        <w:rPr>
          <w:rFonts w:hint="eastAsia" w:ascii="楷体_GB2312" w:eastAsia="楷体_GB2312" w:cs="楷体_GB2312"/>
          <w:strike w:val="0"/>
          <w:dstrike w:val="0"/>
          <w:color w:val="000000" w:themeColor="text1"/>
          <w:kern w:val="0"/>
          <w:sz w:val="32"/>
          <w:szCs w:val="32"/>
          <w:lang w:val="en-US" w:eastAsia="zh-CN" w:bidi="ar"/>
          <w14:textFill>
            <w14:solidFill>
              <w14:schemeClr w14:val="tx1"/>
            </w14:solidFill>
          </w14:textFill>
        </w:rPr>
        <w:t>（三）</w:t>
      </w:r>
      <w:r>
        <w:rPr>
          <w:rFonts w:hint="default" w:ascii="楷体_GB2312" w:hAnsi="宋体" w:eastAsia="楷体_GB2312" w:cs="楷体_GB2312"/>
          <w:strike w:val="0"/>
          <w:dstrike w:val="0"/>
          <w:color w:val="000000" w:themeColor="text1"/>
          <w:kern w:val="0"/>
          <w:sz w:val="32"/>
          <w:szCs w:val="32"/>
          <w:lang w:val="en-US" w:eastAsia="zh-CN" w:bidi="ar"/>
          <w14:textFill>
            <w14:solidFill>
              <w14:schemeClr w14:val="tx1"/>
            </w14:solidFill>
          </w14:textFill>
        </w:rPr>
        <w:t>重大安全风险评估论证机制</w:t>
      </w:r>
    </w:p>
    <w:p>
      <w:pPr>
        <w:pStyle w:val="13"/>
        <w:keepNext w:val="0"/>
        <w:keepLines w:val="0"/>
        <w:pageBreakBefore w:val="0"/>
        <w:widowControl w:val="0"/>
        <w:suppressLineNumbers w:val="0"/>
        <w:kinsoku/>
        <w:wordWrap w:val="0"/>
        <w:overflowPunct/>
        <w:topLinePunct/>
        <w:autoSpaceDE/>
        <w:autoSpaceDN/>
        <w:bidi w:val="0"/>
        <w:adjustRightInd w:val="0"/>
        <w:snapToGrid w:val="0"/>
        <w:spacing w:after="0" w:line="560" w:lineRule="exact"/>
        <w:ind w:firstLine="640" w:firstLineChars="200"/>
        <w:jc w:val="both"/>
        <w:textAlignment w:val="auto"/>
        <w:rPr>
          <w:rFonts w:hint="eastAsia" w:ascii="仿宋_GB2312" w:eastAsia="仿宋_GB2312"/>
          <w:color w:val="000000"/>
          <w:kern w:val="0"/>
          <w:sz w:val="32"/>
          <w:szCs w:val="32"/>
          <w:lang w:val="en-US" w:eastAsia="zh-CN"/>
        </w:rPr>
      </w:pPr>
      <w:r>
        <w:rPr>
          <w:rFonts w:hint="eastAsia" w:ascii="仿宋_GB2312" w:eastAsia="仿宋_GB2312" w:cs="仿宋_GB2312"/>
          <w:strike w:val="0"/>
          <w:dstrike w:val="0"/>
          <w:color w:val="000000" w:themeColor="text1"/>
          <w:sz w:val="32"/>
          <w:szCs w:val="32"/>
          <w:lang w:val="en-US" w:eastAsia="zh-CN"/>
          <w14:textFill>
            <w14:solidFill>
              <w14:schemeClr w14:val="tx1"/>
            </w14:solidFill>
          </w14:textFill>
        </w:rPr>
        <w:t>区住房城乡建设委充分运用既有建筑施工领域安全风险会商机制，完善重大安全风险源评估和审核程序，分析建筑工程施工现场重大安全风险特点规律和发展趋势，及时向各工程项目发布风险提示，做好重大安全风险联防联控工作。</w:t>
      </w:r>
    </w:p>
    <w:p>
      <w:pPr>
        <w:keepNext w:val="0"/>
        <w:keepLines w:val="0"/>
        <w:pageBreakBefore w:val="0"/>
        <w:widowControl w:val="0"/>
        <w:kinsoku/>
        <w:overflowPunct/>
        <w:autoSpaceDE/>
        <w:autoSpaceDN/>
        <w:bidi w:val="0"/>
        <w:spacing w:line="560" w:lineRule="exact"/>
        <w:ind w:firstLine="640" w:firstLineChars="200"/>
        <w:jc w:val="both"/>
        <w:textAlignment w:val="auto"/>
        <w:rPr>
          <w:sz w:val="32"/>
          <w:szCs w:val="32"/>
          <w:highlight w:val="yellow"/>
        </w:rPr>
      </w:pPr>
      <w:bookmarkStart w:id="0" w:name="_GoBack"/>
      <w:r>
        <w:rPr>
          <w:rFonts w:hint="eastAsia" w:ascii="黑体" w:hAnsi="宋体" w:eastAsia="黑体" w:cs="黑体"/>
          <w:color w:val="0C0C0C"/>
          <w:sz w:val="32"/>
          <w:szCs w:val="32"/>
          <w:highlight w:val="none"/>
          <w:lang w:eastAsia="zh-CN"/>
        </w:rPr>
        <w:t>五</w:t>
      </w:r>
      <w:r>
        <w:rPr>
          <w:rFonts w:hint="eastAsia" w:ascii="黑体" w:hAnsi="宋体" w:eastAsia="黑体" w:cs="黑体"/>
          <w:color w:val="0C0C0C"/>
          <w:sz w:val="32"/>
          <w:szCs w:val="32"/>
          <w:highlight w:val="none"/>
        </w:rPr>
        <w:t>、工作安排</w:t>
      </w:r>
      <w:bookmarkEnd w:id="0"/>
    </w:p>
    <w:p>
      <w:pPr>
        <w:pStyle w:val="13"/>
        <w:keepNext w:val="0"/>
        <w:keepLines w:val="0"/>
        <w:pageBreakBefore w:val="0"/>
        <w:widowControl w:val="0"/>
        <w:suppressLineNumbers w:val="0"/>
        <w:kinsoku/>
        <w:wordWrap w:val="0"/>
        <w:overflowPunct/>
        <w:topLinePunct/>
        <w:autoSpaceDE/>
        <w:autoSpaceDN/>
        <w:bidi w:val="0"/>
        <w:adjustRightInd w:val="0"/>
        <w:snapToGrid w:val="0"/>
        <w:spacing w:after="0" w:line="560" w:lineRule="exact"/>
        <w:ind w:left="0" w:firstLine="640" w:firstLineChars="200"/>
        <w:jc w:val="both"/>
        <w:textAlignment w:val="auto"/>
        <w:rPr>
          <w:rFonts w:hint="eastAsia" w:ascii="仿宋_GB2312" w:eastAsia="仿宋_GB2312" w:cs="仿宋_GB2312"/>
          <w:strike w:val="0"/>
          <w:dstrike w:val="0"/>
          <w:color w:val="000000" w:themeColor="text1"/>
          <w:sz w:val="32"/>
          <w:szCs w:val="32"/>
          <w:lang w:val="en-US" w:eastAsia="zh-CN"/>
          <w14:textFill>
            <w14:solidFill>
              <w14:schemeClr w14:val="tx1"/>
            </w14:solidFill>
          </w14:textFill>
        </w:rPr>
      </w:pPr>
      <w:r>
        <w:rPr>
          <w:rFonts w:hint="default" w:ascii="楷体_GB2312" w:eastAsia="楷体_GB2312" w:cs="楷体_GB2312"/>
          <w:color w:val="000000" w:themeColor="text1"/>
          <w:sz w:val="32"/>
          <w:szCs w:val="32"/>
          <w14:textFill>
            <w14:solidFill>
              <w14:schemeClr w14:val="tx1"/>
            </w14:solidFill>
          </w14:textFill>
        </w:rPr>
        <w:t>（一）</w:t>
      </w:r>
      <w:r>
        <w:rPr>
          <w:rFonts w:hint="eastAsia" w:ascii="楷体_GB2312" w:hAnsi="宋体" w:eastAsia="楷体_GB2312" w:cs="楷体_GB2312"/>
          <w:strike w:val="0"/>
          <w:dstrike w:val="0"/>
          <w:color w:val="000000" w:themeColor="text1"/>
          <w:kern w:val="0"/>
          <w:sz w:val="32"/>
          <w:szCs w:val="32"/>
          <w:lang w:val="en-US" w:eastAsia="zh-CN" w:bidi="ar"/>
          <w14:textFill>
            <w14:solidFill>
              <w14:schemeClr w14:val="tx1"/>
            </w14:solidFill>
          </w14:textFill>
        </w:rPr>
        <w:t xml:space="preserve">动员部署 </w:t>
      </w:r>
    </w:p>
    <w:p>
      <w:pPr>
        <w:keepNext w:val="0"/>
        <w:keepLines w:val="0"/>
        <w:pageBreakBefore w:val="0"/>
        <w:widowControl w:val="0"/>
        <w:kinsoku/>
        <w:overflowPunct/>
        <w:autoSpaceDE/>
        <w:autoSpaceDN/>
        <w:bidi w:val="0"/>
        <w:spacing w:line="560" w:lineRule="exact"/>
        <w:ind w:firstLine="640" w:firstLineChars="200"/>
        <w:jc w:val="both"/>
        <w:textAlignment w:val="auto"/>
        <w:rPr>
          <w:rFonts w:hint="eastAsia" w:ascii="仿宋_GB2312" w:eastAsia="仿宋_GB2312" w:cs="仿宋_GB2312"/>
          <w:strike w:val="0"/>
          <w:dstrike w:val="0"/>
          <w:color w:val="000000" w:themeColor="text1"/>
          <w:sz w:val="32"/>
          <w:szCs w:val="32"/>
          <w:lang w:val="en-US" w:eastAsia="zh-CN"/>
          <w14:textFill>
            <w14:solidFill>
              <w14:schemeClr w14:val="tx1"/>
            </w14:solidFill>
          </w14:textFill>
        </w:rPr>
      </w:pPr>
      <w:r>
        <w:rPr>
          <w:rFonts w:hint="eastAsia" w:ascii="仿宋_GB2312" w:eastAsia="仿宋_GB2312" w:cs="仿宋_GB2312"/>
          <w:strike w:val="0"/>
          <w:dstrike w:val="0"/>
          <w:color w:val="000000" w:themeColor="text1"/>
          <w:sz w:val="32"/>
          <w:szCs w:val="32"/>
          <w:lang w:val="en-US" w:eastAsia="zh-CN"/>
          <w14:textFill>
            <w14:solidFill>
              <w14:schemeClr w14:val="tx1"/>
            </w14:solidFill>
          </w14:textFill>
        </w:rPr>
        <w:t>区住房城乡建设委充分运用每季度</w:t>
      </w:r>
      <w:r>
        <w:rPr>
          <w:rFonts w:hint="eastAsia" w:ascii="FangSong_GB2312" w:hAnsi="FangSong_GB2312" w:eastAsia="FangSong_GB2312"/>
          <w:sz w:val="32"/>
          <w:szCs w:val="32"/>
        </w:rPr>
        <w:t>通州区建设工程施工</w:t>
      </w:r>
      <w:r>
        <w:rPr>
          <w:rFonts w:hint="eastAsia" w:ascii="FangSong_GB2312" w:hAnsi="FangSong_GB2312" w:eastAsia="FangSong_GB2312"/>
          <w:sz w:val="32"/>
          <w:szCs w:val="32"/>
          <w:lang w:eastAsia="zh-CN"/>
        </w:rPr>
        <w:t>部署会，</w:t>
      </w:r>
      <w:r>
        <w:rPr>
          <w:rFonts w:hint="eastAsia" w:ascii="FangSong_GB2312" w:hAnsi="FangSong_GB2312" w:eastAsia="FangSong_GB2312"/>
          <w:sz w:val="32"/>
          <w:szCs w:val="32"/>
        </w:rPr>
        <w:t>对全区施工现场安全生产工作进行部署</w:t>
      </w:r>
      <w:r>
        <w:rPr>
          <w:rFonts w:hint="eastAsia" w:ascii="FangSong_GB2312" w:hAnsi="FangSong_GB2312" w:eastAsia="FangSong_GB2312"/>
          <w:sz w:val="32"/>
          <w:szCs w:val="32"/>
          <w:lang w:eastAsia="zh-CN"/>
        </w:rPr>
        <w:t>。</w:t>
      </w:r>
      <w:r>
        <w:rPr>
          <w:rFonts w:hint="eastAsia" w:ascii="仿宋_GB2312" w:eastAsia="仿宋_GB2312" w:cs="仿宋_GB2312"/>
          <w:strike w:val="0"/>
          <w:dstrike w:val="0"/>
          <w:color w:val="000000" w:themeColor="text1"/>
          <w:sz w:val="32"/>
          <w:szCs w:val="32"/>
          <w:lang w:val="en-US" w:eastAsia="zh-CN"/>
          <w14:textFill>
            <w14:solidFill>
              <w14:schemeClr w14:val="tx1"/>
            </w14:solidFill>
          </w14:textFill>
        </w:rPr>
        <w:t xml:space="preserve">全区各工程项目每年6月底前要召开专题工作会议，对工作进行动员部署，制定实施方案，明确组织领导、职责任务、重点工作、时间安排和保障措施等内容。 </w:t>
      </w:r>
    </w:p>
    <w:p>
      <w:pPr>
        <w:pStyle w:val="13"/>
        <w:keepNext w:val="0"/>
        <w:keepLines w:val="0"/>
        <w:pageBreakBefore w:val="0"/>
        <w:widowControl w:val="0"/>
        <w:suppressLineNumbers w:val="0"/>
        <w:kinsoku/>
        <w:wordWrap w:val="0"/>
        <w:overflowPunct/>
        <w:topLinePunct/>
        <w:autoSpaceDE/>
        <w:autoSpaceDN/>
        <w:bidi w:val="0"/>
        <w:adjustRightInd w:val="0"/>
        <w:snapToGrid w:val="0"/>
        <w:spacing w:after="0" w:line="560" w:lineRule="exact"/>
        <w:ind w:left="0" w:firstLine="640" w:firstLineChars="200"/>
        <w:jc w:val="both"/>
        <w:textAlignment w:val="auto"/>
        <w:rPr>
          <w:rFonts w:hint="eastAsia" w:ascii="仿宋_GB2312" w:eastAsia="仿宋_GB2312" w:cs="仿宋_GB2312"/>
          <w:color w:val="0C0C0C"/>
          <w:kern w:val="0"/>
          <w:sz w:val="32"/>
          <w:szCs w:val="32"/>
          <w:lang w:val="en-US" w:eastAsia="zh-CN" w:bidi="ar"/>
        </w:rPr>
      </w:pPr>
      <w:r>
        <w:rPr>
          <w:rFonts w:hint="eastAsia" w:ascii="楷体_GB2312" w:eastAsia="楷体_GB2312" w:cs="楷体_GB2312"/>
          <w:strike w:val="0"/>
          <w:dstrike w:val="0"/>
          <w:color w:val="000000" w:themeColor="text1"/>
          <w:kern w:val="0"/>
          <w:sz w:val="32"/>
          <w:szCs w:val="32"/>
          <w:lang w:val="en-US" w:eastAsia="zh-CN" w:bidi="ar"/>
          <w14:textFill>
            <w14:solidFill>
              <w14:schemeClr w14:val="tx1"/>
            </w14:solidFill>
          </w14:textFill>
        </w:rPr>
        <w:t>（二）</w:t>
      </w:r>
      <w:r>
        <w:rPr>
          <w:rFonts w:hint="eastAsia" w:ascii="楷体_GB2312" w:hAnsi="宋体" w:eastAsia="楷体_GB2312" w:cs="楷体_GB2312"/>
          <w:strike w:val="0"/>
          <w:dstrike w:val="0"/>
          <w:color w:val="000000" w:themeColor="text1"/>
          <w:kern w:val="0"/>
          <w:sz w:val="32"/>
          <w:szCs w:val="32"/>
          <w:lang w:val="en-US" w:eastAsia="zh-CN" w:bidi="ar"/>
          <w14:textFill>
            <w14:solidFill>
              <w14:schemeClr w14:val="tx1"/>
            </w14:solidFill>
          </w14:textFill>
        </w:rPr>
        <w:t>开展建筑工程施工现场安全风险评估</w:t>
      </w:r>
    </w:p>
    <w:p>
      <w:pPr>
        <w:keepNext w:val="0"/>
        <w:keepLines w:val="0"/>
        <w:pageBreakBefore w:val="0"/>
        <w:widowControl w:val="0"/>
        <w:kinsoku/>
        <w:wordWrap/>
        <w:overflowPunct/>
        <w:topLinePunct w:val="0"/>
        <w:autoSpaceDE/>
        <w:autoSpaceDN/>
        <w:bidi w:val="0"/>
        <w:adjustRightInd/>
        <w:spacing w:line="560" w:lineRule="exact"/>
        <w:ind w:firstLine="640"/>
        <w:jc w:val="both"/>
        <w:textAlignment w:val="auto"/>
        <w:rPr>
          <w:rFonts w:hint="eastAsia" w:ascii="仿宋_GB2312" w:eastAsia="仿宋_GB2312" w:cs="仿宋_GB2312"/>
          <w:color w:val="0C0C0C"/>
          <w:kern w:val="0"/>
          <w:sz w:val="32"/>
          <w:szCs w:val="32"/>
          <w:lang w:val="en-US" w:eastAsia="zh-CN" w:bidi="ar"/>
        </w:rPr>
      </w:pPr>
      <w:r>
        <w:rPr>
          <w:rFonts w:hint="eastAsia" w:ascii="仿宋_GB2312" w:eastAsia="仿宋_GB2312" w:cs="仿宋_GB2312"/>
          <w:strike w:val="0"/>
          <w:dstrike w:val="0"/>
          <w:color w:val="000000" w:themeColor="text1"/>
          <w:sz w:val="32"/>
          <w:szCs w:val="32"/>
          <w:lang w:val="en-US" w:eastAsia="zh-CN"/>
          <w14:textFill>
            <w14:solidFill>
              <w14:schemeClr w14:val="tx1"/>
            </w14:solidFill>
          </w14:textFill>
        </w:rPr>
        <w:t>区住房城乡建设委</w:t>
      </w:r>
      <w:r>
        <w:rPr>
          <w:rFonts w:hint="eastAsia" w:ascii="仿宋_GB2312" w:hAnsi="黑体" w:eastAsia="仿宋_GB2312"/>
          <w:color w:val="000000"/>
          <w:sz w:val="32"/>
          <w:szCs w:val="32"/>
        </w:rPr>
        <w:t>组织</w:t>
      </w:r>
      <w:r>
        <w:rPr>
          <w:rFonts w:hint="eastAsia" w:eastAsia="仿宋_GB2312"/>
          <w:color w:val="000000"/>
          <w:sz w:val="32"/>
          <w:szCs w:val="32"/>
        </w:rPr>
        <w:t>开展</w:t>
      </w:r>
      <w:r>
        <w:rPr>
          <w:rFonts w:hint="eastAsia" w:ascii="仿宋_GB2312" w:eastAsia="仿宋_GB2312" w:cs="仿宋_GB2312"/>
          <w:color w:val="0C0C0C"/>
          <w:kern w:val="0"/>
          <w:sz w:val="32"/>
          <w:szCs w:val="32"/>
          <w:lang w:val="en-US" w:eastAsia="zh-CN" w:bidi="ar"/>
        </w:rPr>
        <w:t>建筑工程施工现场</w:t>
      </w:r>
      <w:r>
        <w:rPr>
          <w:rFonts w:hint="eastAsia" w:ascii="仿宋_GB2312" w:eastAsia="仿宋_GB2312"/>
          <w:color w:val="000000"/>
          <w:kern w:val="0"/>
          <w:sz w:val="32"/>
          <w:szCs w:val="32"/>
          <w:lang w:eastAsia="zh-CN"/>
        </w:rPr>
        <w:t>风险辨识、</w:t>
      </w:r>
      <w:r>
        <w:rPr>
          <w:rFonts w:hint="eastAsia" w:ascii="仿宋_GB2312" w:eastAsia="仿宋_GB2312"/>
          <w:color w:val="000000"/>
          <w:kern w:val="0"/>
          <w:sz w:val="32"/>
          <w:szCs w:val="32"/>
        </w:rPr>
        <w:t>评估</w:t>
      </w:r>
      <w:r>
        <w:rPr>
          <w:rFonts w:hint="eastAsia" w:ascii="仿宋_GB2312" w:eastAsia="仿宋_GB2312"/>
          <w:color w:val="000000"/>
          <w:kern w:val="0"/>
          <w:sz w:val="32"/>
          <w:szCs w:val="32"/>
          <w:lang w:eastAsia="zh-CN"/>
        </w:rPr>
        <w:t>工</w:t>
      </w:r>
      <w:r>
        <w:rPr>
          <w:rFonts w:hint="eastAsia" w:ascii="仿宋_GB2312" w:eastAsia="仿宋_GB2312"/>
          <w:color w:val="000000"/>
          <w:kern w:val="0"/>
          <w:sz w:val="32"/>
          <w:szCs w:val="32"/>
        </w:rPr>
        <w:t>作</w:t>
      </w:r>
      <w:r>
        <w:rPr>
          <w:rFonts w:hint="eastAsia" w:ascii="仿宋_GB2312" w:eastAsia="仿宋_GB2312"/>
          <w:color w:val="000000"/>
          <w:kern w:val="0"/>
          <w:sz w:val="32"/>
          <w:szCs w:val="32"/>
          <w:lang w:eastAsia="zh-CN"/>
        </w:rPr>
        <w:t>。</w:t>
      </w:r>
      <w:r>
        <w:rPr>
          <w:rFonts w:hint="eastAsia" w:ascii="仿宋_GB2312" w:eastAsia="仿宋_GB2312"/>
          <w:color w:val="000000"/>
          <w:kern w:val="0"/>
          <w:sz w:val="32"/>
          <w:szCs w:val="32"/>
        </w:rPr>
        <w:t>建立</w:t>
      </w:r>
      <w:r>
        <w:rPr>
          <w:rFonts w:hint="eastAsia" w:ascii="仿宋_GB2312" w:eastAsia="仿宋_GB2312"/>
          <w:color w:val="000000"/>
          <w:kern w:val="0"/>
          <w:sz w:val="32"/>
          <w:szCs w:val="32"/>
          <w:lang w:eastAsia="zh-CN"/>
        </w:rPr>
        <w:t>风险评估工程项目</w:t>
      </w:r>
      <w:r>
        <w:rPr>
          <w:rFonts w:hint="eastAsia" w:ascii="仿宋_GB2312" w:eastAsia="仿宋_GB2312"/>
          <w:color w:val="000000"/>
          <w:kern w:val="0"/>
          <w:sz w:val="32"/>
          <w:szCs w:val="32"/>
        </w:rPr>
        <w:t>台账，对</w:t>
      </w:r>
      <w:r>
        <w:rPr>
          <w:rFonts w:hint="eastAsia" w:ascii="仿宋_GB2312" w:eastAsia="仿宋_GB2312"/>
          <w:color w:val="000000"/>
          <w:kern w:val="0"/>
          <w:sz w:val="32"/>
          <w:szCs w:val="32"/>
          <w:lang w:eastAsia="zh-CN"/>
        </w:rPr>
        <w:t>各工程项目</w:t>
      </w:r>
      <w:r>
        <w:rPr>
          <w:rFonts w:hint="eastAsia" w:ascii="仿宋_GB2312" w:eastAsia="仿宋_GB2312"/>
          <w:color w:val="000000"/>
          <w:kern w:val="0"/>
          <w:sz w:val="32"/>
          <w:szCs w:val="32"/>
        </w:rPr>
        <w:t>进行风险评估工作业务培训；</w:t>
      </w:r>
      <w:r>
        <w:rPr>
          <w:rFonts w:hint="eastAsia" w:ascii="仿宋_GB2312" w:hAnsi="黑体" w:eastAsia="仿宋_GB2312"/>
          <w:color w:val="000000"/>
          <w:sz w:val="32"/>
          <w:szCs w:val="32"/>
        </w:rPr>
        <w:t>在线审核</w:t>
      </w:r>
      <w:r>
        <w:rPr>
          <w:rFonts w:hint="eastAsia" w:ascii="仿宋_GB2312" w:hAnsi="黑体" w:eastAsia="仿宋_GB2312"/>
          <w:color w:val="000000"/>
          <w:sz w:val="32"/>
          <w:szCs w:val="32"/>
          <w:lang w:eastAsia="zh-CN"/>
        </w:rPr>
        <w:t>工程项目</w:t>
      </w:r>
      <w:r>
        <w:rPr>
          <w:rFonts w:hint="eastAsia" w:ascii="仿宋_GB2312" w:hAnsi="黑体" w:eastAsia="仿宋_GB2312"/>
          <w:color w:val="000000"/>
          <w:sz w:val="32"/>
          <w:szCs w:val="32"/>
        </w:rPr>
        <w:t>基本信息；根据</w:t>
      </w:r>
      <w:r>
        <w:rPr>
          <w:rFonts w:hint="eastAsia" w:ascii="仿宋_GB2312" w:eastAsia="仿宋_GB2312" w:cs="仿宋_GB2312"/>
          <w:strike w:val="0"/>
          <w:dstrike w:val="0"/>
          <w:color w:val="000000" w:themeColor="text1"/>
          <w:sz w:val="32"/>
          <w:szCs w:val="32"/>
          <w:lang w:val="en-US" w:eastAsia="zh-CN"/>
          <w14:textFill>
            <w14:solidFill>
              <w14:schemeClr w14:val="tx1"/>
            </w14:solidFill>
          </w14:textFill>
        </w:rPr>
        <w:t>市住房城乡建设委</w:t>
      </w:r>
      <w:r>
        <w:rPr>
          <w:rFonts w:hint="eastAsia" w:ascii="仿宋_GB2312" w:hAnsi="黑体" w:eastAsia="仿宋_GB2312"/>
          <w:color w:val="000000"/>
          <w:sz w:val="32"/>
          <w:szCs w:val="32"/>
          <w:lang w:eastAsia="zh-CN"/>
        </w:rPr>
        <w:t>编制的</w:t>
      </w:r>
      <w:r>
        <w:rPr>
          <w:rFonts w:hint="eastAsia" w:ascii="仿宋_GB2312" w:hAnsi="黑体" w:eastAsia="仿宋_GB2312"/>
          <w:color w:val="000000"/>
          <w:sz w:val="32"/>
          <w:szCs w:val="32"/>
        </w:rPr>
        <w:t>风险源清单，对可能影响公共安全的风险进行再评估，完成</w:t>
      </w:r>
      <w:r>
        <w:rPr>
          <w:rFonts w:hint="eastAsia" w:ascii="仿宋_GB2312" w:hAnsi="黑体" w:eastAsia="仿宋_GB2312"/>
          <w:color w:val="000000"/>
          <w:sz w:val="32"/>
          <w:szCs w:val="32"/>
          <w:lang w:eastAsia="zh-CN"/>
        </w:rPr>
        <w:t>各工程项目</w:t>
      </w:r>
      <w:r>
        <w:rPr>
          <w:rFonts w:hint="eastAsia" w:ascii="仿宋_GB2312" w:hAnsi="黑体" w:eastAsia="仿宋_GB2312"/>
          <w:color w:val="000000"/>
          <w:sz w:val="32"/>
          <w:szCs w:val="32"/>
        </w:rPr>
        <w:t>风险源信息及风险等级等在线审核</w:t>
      </w:r>
      <w:r>
        <w:rPr>
          <w:rFonts w:hint="eastAsia" w:ascii="仿宋_GB2312" w:hAnsi="黑体" w:eastAsia="仿宋_GB2312"/>
          <w:color w:val="000000"/>
          <w:sz w:val="32"/>
          <w:szCs w:val="32"/>
          <w:lang w:eastAsia="zh-CN"/>
        </w:rPr>
        <w:t>；</w:t>
      </w:r>
      <w:r>
        <w:rPr>
          <w:rFonts w:hint="eastAsia" w:ascii="仿宋_GB2312" w:hAnsi="黑体" w:eastAsia="仿宋_GB2312"/>
          <w:color w:val="000000"/>
          <w:sz w:val="32"/>
          <w:szCs w:val="32"/>
        </w:rPr>
        <w:t>针对重大安全风险源，编制重大安全风险源</w:t>
      </w:r>
      <w:r>
        <w:rPr>
          <w:rFonts w:hint="eastAsia" w:ascii="仿宋_GB2312" w:hAnsi="黑体" w:eastAsia="仿宋_GB2312"/>
          <w:color w:val="000000"/>
          <w:sz w:val="32"/>
          <w:szCs w:val="32"/>
          <w:lang w:eastAsia="zh-CN"/>
        </w:rPr>
        <w:t>项目</w:t>
      </w:r>
      <w:r>
        <w:rPr>
          <w:rFonts w:hint="eastAsia" w:ascii="仿宋_GB2312" w:hAnsi="黑体" w:eastAsia="仿宋_GB2312"/>
          <w:color w:val="000000"/>
          <w:sz w:val="32"/>
          <w:szCs w:val="32"/>
        </w:rPr>
        <w:t>与属地政府“一对一”事故应急预案并组织开展应急演练</w:t>
      </w:r>
      <w:r>
        <w:rPr>
          <w:rFonts w:hint="eastAsia" w:ascii="仿宋_GB2312" w:hAnsi="黑体" w:eastAsia="仿宋_GB2312"/>
          <w:color w:val="000000"/>
          <w:sz w:val="32"/>
          <w:szCs w:val="32"/>
          <w:lang w:eastAsia="zh-CN"/>
        </w:rPr>
        <w:t>。</w:t>
      </w:r>
      <w:r>
        <w:rPr>
          <w:rFonts w:hint="eastAsia" w:ascii="仿宋_GB2312" w:eastAsia="仿宋_GB2312" w:cs="仿宋_GB2312"/>
          <w:color w:val="0C0C0C"/>
          <w:kern w:val="0"/>
          <w:sz w:val="32"/>
          <w:szCs w:val="32"/>
          <w:lang w:val="en-US" w:eastAsia="zh-CN" w:bidi="ar"/>
        </w:rPr>
        <w:t>各工程项目</w:t>
      </w:r>
      <w:r>
        <w:rPr>
          <w:rFonts w:hint="eastAsia" w:ascii="仿宋_GB2312" w:eastAsia="仿宋_GB2312" w:cs="仿宋_GB2312"/>
          <w:strike w:val="0"/>
          <w:dstrike w:val="0"/>
          <w:color w:val="000000" w:themeColor="text1"/>
          <w:sz w:val="32"/>
          <w:szCs w:val="32"/>
          <w:lang w:val="en-US" w:eastAsia="zh-CN"/>
          <w14:textFill>
            <w14:solidFill>
              <w14:schemeClr w14:val="tx1"/>
            </w14:solidFill>
          </w14:textFill>
        </w:rPr>
        <w:t>要</w:t>
      </w:r>
      <w:r>
        <w:rPr>
          <w:rFonts w:hint="eastAsia" w:ascii="仿宋_GB2312" w:eastAsia="仿宋_GB2312" w:cs="仿宋_GB2312"/>
          <w:color w:val="0C0C0C"/>
          <w:kern w:val="0"/>
          <w:sz w:val="32"/>
          <w:szCs w:val="32"/>
          <w:lang w:val="en-US" w:eastAsia="zh-CN" w:bidi="ar"/>
        </w:rPr>
        <w:t>将风险辨识、评估工作常态化，</w:t>
      </w:r>
      <w:r>
        <w:rPr>
          <w:rFonts w:hint="eastAsia" w:ascii="仿宋_GB2312" w:eastAsia="仿宋_GB2312" w:cs="仿宋_GB2312"/>
          <w:strike w:val="0"/>
          <w:dstrike w:val="0"/>
          <w:color w:val="000000" w:themeColor="text1"/>
          <w:sz w:val="32"/>
          <w:szCs w:val="32"/>
          <w:lang w:val="en-US" w:eastAsia="zh-CN"/>
          <w14:textFill>
            <w14:solidFill>
              <w14:schemeClr w14:val="tx1"/>
            </w14:solidFill>
          </w14:textFill>
        </w:rPr>
        <w:t>细化工作流程，</w:t>
      </w:r>
      <w:r>
        <w:rPr>
          <w:rFonts w:hint="eastAsia" w:ascii="仿宋_GB2312" w:eastAsia="仿宋_GB2312" w:cs="仿宋_GB2312"/>
          <w:color w:val="0C0C0C"/>
          <w:kern w:val="0"/>
          <w:sz w:val="32"/>
          <w:szCs w:val="32"/>
          <w:lang w:val="en-US" w:eastAsia="zh-CN" w:bidi="ar"/>
        </w:rPr>
        <w:t>认真做好风险辨识，针对排查确定的各类安全风险，细化各类安全风险的具体风险点，对已分析和排查出的安全风险进行必要的筛选、排除和调整，形成安全风险清单，并制定相应的安全风险管理措施。</w:t>
      </w:r>
    </w:p>
    <w:p>
      <w:pPr>
        <w:pStyle w:val="13"/>
        <w:keepNext w:val="0"/>
        <w:keepLines w:val="0"/>
        <w:pageBreakBefore w:val="0"/>
        <w:widowControl w:val="0"/>
        <w:suppressLineNumbers w:val="0"/>
        <w:kinsoku/>
        <w:wordWrap w:val="0"/>
        <w:overflowPunct/>
        <w:topLinePunct/>
        <w:autoSpaceDE/>
        <w:autoSpaceDN/>
        <w:bidi w:val="0"/>
        <w:adjustRightInd w:val="0"/>
        <w:snapToGrid w:val="0"/>
        <w:spacing w:after="0" w:line="560" w:lineRule="exact"/>
        <w:ind w:left="0" w:firstLine="640" w:firstLineChars="200"/>
        <w:jc w:val="both"/>
        <w:textAlignment w:val="auto"/>
        <w:rPr>
          <w:rFonts w:hint="eastAsia" w:ascii="仿宋_GB2312" w:eastAsia="仿宋_GB2312" w:cs="仿宋_GB2312"/>
          <w:color w:val="0C0C0C"/>
          <w:kern w:val="0"/>
          <w:sz w:val="32"/>
          <w:szCs w:val="32"/>
          <w:lang w:val="en-US" w:eastAsia="zh-CN" w:bidi="ar"/>
        </w:rPr>
      </w:pPr>
      <w:r>
        <w:rPr>
          <w:rFonts w:hint="eastAsia" w:ascii="楷体_GB2312" w:eastAsia="楷体_GB2312" w:cs="楷体_GB2312"/>
          <w:strike w:val="0"/>
          <w:dstrike w:val="0"/>
          <w:color w:val="000000" w:themeColor="text1"/>
          <w:kern w:val="0"/>
          <w:sz w:val="32"/>
          <w:szCs w:val="32"/>
          <w:lang w:val="en-US" w:eastAsia="zh-CN" w:bidi="ar"/>
          <w14:textFill>
            <w14:solidFill>
              <w14:schemeClr w14:val="tx1"/>
            </w14:solidFill>
          </w14:textFill>
        </w:rPr>
        <w:t>（三）</w:t>
      </w:r>
      <w:r>
        <w:rPr>
          <w:rFonts w:hint="eastAsia" w:ascii="楷体_GB2312" w:hAnsi="宋体" w:eastAsia="楷体_GB2312" w:cs="楷体_GB2312"/>
          <w:strike w:val="0"/>
          <w:dstrike w:val="0"/>
          <w:color w:val="000000" w:themeColor="text1"/>
          <w:kern w:val="0"/>
          <w:sz w:val="32"/>
          <w:szCs w:val="32"/>
          <w:lang w:val="en-US" w:eastAsia="zh-CN" w:bidi="ar"/>
          <w14:textFill>
            <w14:solidFill>
              <w14:schemeClr w14:val="tx1"/>
            </w14:solidFill>
          </w14:textFill>
        </w:rPr>
        <w:t>重大安全风险评估论证和风险形势会商</w:t>
      </w:r>
    </w:p>
    <w:p>
      <w:pPr>
        <w:pStyle w:val="13"/>
        <w:keepNext w:val="0"/>
        <w:keepLines w:val="0"/>
        <w:pageBreakBefore w:val="0"/>
        <w:widowControl w:val="0"/>
        <w:suppressLineNumbers w:val="0"/>
        <w:kinsoku/>
        <w:wordWrap w:val="0"/>
        <w:overflowPunct/>
        <w:topLinePunct/>
        <w:autoSpaceDE/>
        <w:autoSpaceDN/>
        <w:bidi w:val="0"/>
        <w:adjustRightInd w:val="0"/>
        <w:snapToGrid w:val="0"/>
        <w:spacing w:after="0" w:line="560" w:lineRule="exact"/>
        <w:ind w:left="0" w:firstLine="640" w:firstLineChars="200"/>
        <w:jc w:val="both"/>
        <w:textAlignment w:val="auto"/>
        <w:rPr>
          <w:rFonts w:hint="eastAsia" w:ascii="仿宋_GB2312" w:eastAsia="仿宋_GB2312" w:cs="仿宋_GB2312"/>
          <w:color w:val="0C0C0C"/>
          <w:kern w:val="0"/>
          <w:sz w:val="32"/>
          <w:szCs w:val="32"/>
          <w:lang w:val="en-US" w:eastAsia="zh-CN" w:bidi="ar"/>
        </w:rPr>
      </w:pPr>
      <w:r>
        <w:rPr>
          <w:rFonts w:hint="eastAsia" w:ascii="仿宋_GB2312" w:eastAsia="仿宋_GB2312" w:cs="仿宋_GB2312"/>
          <w:strike w:val="0"/>
          <w:dstrike w:val="0"/>
          <w:color w:val="000000" w:themeColor="text1"/>
          <w:sz w:val="32"/>
          <w:szCs w:val="32"/>
          <w:lang w:val="en-US" w:eastAsia="zh-CN"/>
          <w14:textFill>
            <w14:solidFill>
              <w14:schemeClr w14:val="tx1"/>
            </w14:solidFill>
          </w14:textFill>
        </w:rPr>
        <w:t>区住房城乡建设委</w:t>
      </w:r>
      <w:r>
        <w:rPr>
          <w:rFonts w:hint="eastAsia" w:ascii="仿宋_GB2312" w:eastAsia="仿宋_GB2312" w:cs="仿宋_GB2312"/>
          <w:color w:val="0C0C0C"/>
          <w:kern w:val="0"/>
          <w:sz w:val="32"/>
          <w:szCs w:val="32"/>
          <w:lang w:val="en-US" w:eastAsia="zh-CN" w:bidi="ar"/>
        </w:rPr>
        <w:t>根据区安委办重大安全风险评估论证机制，持续开展建筑工程施工现场安全风险研判，</w:t>
      </w:r>
      <w:r>
        <w:rPr>
          <w:rFonts w:hint="eastAsia" w:ascii="仿宋_GB2312" w:eastAsia="仿宋_GB2312" w:cs="仿宋_GB2312"/>
          <w:strike w:val="0"/>
          <w:dstrike w:val="0"/>
          <w:color w:val="000000" w:themeColor="text1"/>
          <w:sz w:val="32"/>
          <w:szCs w:val="32"/>
          <w:lang w:val="en-US" w:eastAsia="zh-CN"/>
          <w14:textFill>
            <w14:solidFill>
              <w14:schemeClr w14:val="tx1"/>
            </w14:solidFill>
          </w14:textFill>
        </w:rPr>
        <w:t>及时向各工程项目发布风险提示，落实风险分级管控责任，</w:t>
      </w:r>
      <w:r>
        <w:rPr>
          <w:rFonts w:hint="eastAsia" w:ascii="仿宋_GB2312" w:eastAsia="仿宋_GB2312" w:cs="仿宋_GB2312"/>
          <w:color w:val="0C0C0C"/>
          <w:kern w:val="0"/>
          <w:sz w:val="32"/>
          <w:szCs w:val="32"/>
          <w:lang w:val="en-US" w:eastAsia="zh-CN" w:bidi="ar"/>
        </w:rPr>
        <w:t>积极参与区安委办组织的季度安全风险会商会。</w:t>
      </w:r>
    </w:p>
    <w:p>
      <w:pPr>
        <w:pStyle w:val="13"/>
        <w:keepNext w:val="0"/>
        <w:keepLines w:val="0"/>
        <w:pageBreakBefore w:val="0"/>
        <w:widowControl w:val="0"/>
        <w:numPr>
          <w:ilvl w:val="0"/>
          <w:numId w:val="0"/>
        </w:numPr>
        <w:suppressLineNumbers w:val="0"/>
        <w:kinsoku/>
        <w:wordWrap w:val="0"/>
        <w:overflowPunct/>
        <w:topLinePunct/>
        <w:autoSpaceDE/>
        <w:autoSpaceDN/>
        <w:bidi w:val="0"/>
        <w:adjustRightInd w:val="0"/>
        <w:snapToGrid w:val="0"/>
        <w:spacing w:after="0" w:line="560" w:lineRule="exac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eastAsia="楷体_GB2312" w:cs="楷体_GB2312"/>
          <w:strike w:val="0"/>
          <w:dstrike w:val="0"/>
          <w:color w:val="000000" w:themeColor="text1"/>
          <w:kern w:val="0"/>
          <w:sz w:val="32"/>
          <w:szCs w:val="32"/>
          <w:lang w:val="en-US" w:eastAsia="zh-CN" w:bidi="ar"/>
          <w14:textFill>
            <w14:solidFill>
              <w14:schemeClr w14:val="tx1"/>
            </w14:solidFill>
          </w14:textFill>
        </w:rPr>
        <w:t>（四）</w:t>
      </w:r>
      <w:r>
        <w:rPr>
          <w:rFonts w:hint="default" w:ascii="楷体_GB2312" w:hAnsi="宋体" w:eastAsia="楷体_GB2312" w:cs="楷体_GB2312"/>
          <w:strike w:val="0"/>
          <w:dstrike w:val="0"/>
          <w:color w:val="000000" w:themeColor="text1"/>
          <w:kern w:val="0"/>
          <w:sz w:val="32"/>
          <w:szCs w:val="32"/>
          <w:lang w:val="en-US" w:eastAsia="zh-CN" w:bidi="ar"/>
          <w14:textFill>
            <w14:solidFill>
              <w14:schemeClr w14:val="tx1"/>
            </w14:solidFill>
          </w14:textFill>
        </w:rPr>
        <w:t>风险动态更新</w:t>
      </w:r>
    </w:p>
    <w:p>
      <w:pPr>
        <w:pStyle w:val="13"/>
        <w:keepNext w:val="0"/>
        <w:keepLines w:val="0"/>
        <w:pageBreakBefore w:val="0"/>
        <w:widowControl w:val="0"/>
        <w:numPr>
          <w:ilvl w:val="0"/>
          <w:numId w:val="0"/>
        </w:numPr>
        <w:suppressLineNumbers w:val="0"/>
        <w:kinsoku/>
        <w:wordWrap w:val="0"/>
        <w:overflowPunct/>
        <w:topLinePunct/>
        <w:autoSpaceDE/>
        <w:autoSpaceDN/>
        <w:bidi w:val="0"/>
        <w:adjustRightInd w:val="0"/>
        <w:snapToGrid w:val="0"/>
        <w:spacing w:after="0" w:line="560" w:lineRule="exact"/>
        <w:ind w:left="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各工程项目每季度至少完成1次风险更新，标准清单更新和单位情况变化时，应及时更新。</w:t>
      </w:r>
    </w:p>
    <w:p>
      <w:pPr>
        <w:pStyle w:val="13"/>
        <w:keepNext w:val="0"/>
        <w:keepLines w:val="0"/>
        <w:pageBreakBefore w:val="0"/>
        <w:widowControl w:val="0"/>
        <w:numPr>
          <w:ilvl w:val="0"/>
          <w:numId w:val="0"/>
        </w:numPr>
        <w:suppressLineNumbers w:val="0"/>
        <w:kinsoku/>
        <w:wordWrap w:val="0"/>
        <w:overflowPunct/>
        <w:topLinePunct/>
        <w:autoSpaceDE/>
        <w:autoSpaceDN/>
        <w:bidi w:val="0"/>
        <w:adjustRightInd w:val="0"/>
        <w:snapToGrid w:val="0"/>
        <w:spacing w:after="0" w:line="560" w:lineRule="exact"/>
        <w:ind w:left="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eastAsia="楷体_GB2312" w:cs="楷体_GB2312"/>
          <w:strike w:val="0"/>
          <w:dstrike w:val="0"/>
          <w:color w:val="000000" w:themeColor="text1"/>
          <w:kern w:val="0"/>
          <w:sz w:val="32"/>
          <w:szCs w:val="32"/>
          <w:lang w:val="en-US" w:eastAsia="zh-CN" w:bidi="ar"/>
          <w14:textFill>
            <w14:solidFill>
              <w14:schemeClr w14:val="tx1"/>
            </w14:solidFill>
          </w14:textFill>
        </w:rPr>
        <w:t>（五）</w:t>
      </w:r>
      <w:r>
        <w:rPr>
          <w:rFonts w:hint="default" w:ascii="楷体_GB2312" w:hAnsi="宋体" w:eastAsia="楷体_GB2312" w:cs="楷体_GB2312"/>
          <w:strike w:val="0"/>
          <w:dstrike w:val="0"/>
          <w:color w:val="000000" w:themeColor="text1"/>
          <w:kern w:val="0"/>
          <w:sz w:val="32"/>
          <w:szCs w:val="32"/>
          <w:lang w:val="en-US" w:eastAsia="zh-CN" w:bidi="ar"/>
          <w14:textFill>
            <w14:solidFill>
              <w14:schemeClr w14:val="tx1"/>
            </w14:solidFill>
          </w14:textFill>
        </w:rPr>
        <w:t>工作成果提交</w:t>
      </w:r>
    </w:p>
    <w:p>
      <w:pPr>
        <w:pStyle w:val="13"/>
        <w:keepNext w:val="0"/>
        <w:keepLines w:val="0"/>
        <w:pageBreakBefore w:val="0"/>
        <w:widowControl w:val="0"/>
        <w:numPr>
          <w:ilvl w:val="0"/>
          <w:numId w:val="0"/>
        </w:numPr>
        <w:suppressLineNumbers w:val="0"/>
        <w:kinsoku/>
        <w:wordWrap w:val="0"/>
        <w:overflowPunct/>
        <w:topLinePunct/>
        <w:autoSpaceDE/>
        <w:autoSpaceDN/>
        <w:bidi w:val="0"/>
        <w:adjustRightInd w:val="0"/>
        <w:snapToGrid w:val="0"/>
        <w:spacing w:after="0" w:line="560" w:lineRule="exac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eastAsia="仿宋_GB2312" w:cs="仿宋_GB2312"/>
          <w:strike w:val="0"/>
          <w:dstrike w:val="0"/>
          <w:color w:val="000000" w:themeColor="text1"/>
          <w:sz w:val="32"/>
          <w:szCs w:val="32"/>
          <w:lang w:val="en-US" w:eastAsia="zh-CN"/>
          <w14:textFill>
            <w14:solidFill>
              <w14:schemeClr w14:val="tx1"/>
            </w14:solidFill>
          </w14:textFill>
        </w:rPr>
        <w:t>区住房城乡建设委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每年向区安委办提交年度工作总结、安全风险评估报告、重大安全风险清单等成果材料。</w:t>
      </w:r>
    </w:p>
    <w:p>
      <w:pPr>
        <w:pStyle w:val="13"/>
        <w:keepNext w:val="0"/>
        <w:keepLines w:val="0"/>
        <w:pageBreakBefore w:val="0"/>
        <w:widowControl w:val="0"/>
        <w:suppressLineNumbers w:val="0"/>
        <w:kinsoku/>
        <w:wordWrap w:val="0"/>
        <w:overflowPunct/>
        <w:topLinePunct/>
        <w:autoSpaceDE/>
        <w:autoSpaceDN/>
        <w:bidi w:val="0"/>
        <w:adjustRightInd w:val="0"/>
        <w:snapToGrid w:val="0"/>
        <w:spacing w:after="0" w:line="560" w:lineRule="exact"/>
        <w:ind w:left="0" w:firstLine="640" w:firstLineChars="200"/>
        <w:jc w:val="both"/>
        <w:textAlignment w:val="auto"/>
        <w:rPr>
          <w:sz w:val="32"/>
          <w:szCs w:val="32"/>
        </w:rPr>
      </w:pPr>
      <w:r>
        <w:rPr>
          <w:rFonts w:hint="eastAsia" w:ascii="黑体" w:eastAsia="黑体" w:cs="黑体"/>
          <w:color w:val="0C0C0C"/>
          <w:sz w:val="32"/>
          <w:szCs w:val="32"/>
          <w:lang w:eastAsia="zh-CN"/>
        </w:rPr>
        <w:t>六</w:t>
      </w:r>
      <w:r>
        <w:rPr>
          <w:rFonts w:hint="eastAsia" w:ascii="黑体" w:hAnsi="宋体" w:eastAsia="黑体" w:cs="黑体"/>
          <w:color w:val="0C0C0C"/>
          <w:sz w:val="32"/>
          <w:szCs w:val="32"/>
        </w:rPr>
        <w:t>、保障措施</w:t>
      </w:r>
    </w:p>
    <w:p>
      <w:pPr>
        <w:keepNext w:val="0"/>
        <w:keepLines w:val="0"/>
        <w:pageBreakBefore w:val="0"/>
        <w:widowControl w:val="0"/>
        <w:suppressLineNumbers w:val="0"/>
        <w:kinsoku/>
        <w:wordWrap w:val="0"/>
        <w:overflowPunct/>
        <w:topLinePunct/>
        <w:autoSpaceDE/>
        <w:autoSpaceDN/>
        <w:bidi w:val="0"/>
        <w:adjustRightInd w:val="0"/>
        <w:snapToGrid w:val="0"/>
        <w:spacing w:after="0" w:line="560" w:lineRule="exact"/>
        <w:ind w:left="0" w:firstLine="640" w:firstLineChars="200"/>
        <w:jc w:val="both"/>
        <w:textAlignment w:val="auto"/>
        <w:rPr>
          <w:rFonts w:hint="eastAsia" w:ascii="楷体_GB2312" w:hAnsi="楷体_GB2312" w:eastAsia="楷体_GB2312" w:cs="楷体_GB2312"/>
          <w:color w:val="0C0C0C"/>
          <w:kern w:val="0"/>
          <w:sz w:val="32"/>
          <w:szCs w:val="32"/>
          <w:highlight w:val="none"/>
          <w:lang w:val="en-US" w:eastAsia="zh-CN" w:bidi="ar"/>
        </w:rPr>
      </w:pPr>
      <w:r>
        <w:rPr>
          <w:rFonts w:hint="eastAsia" w:ascii="楷体_GB2312" w:hAnsi="楷体_GB2312" w:eastAsia="楷体_GB2312" w:cs="楷体_GB2312"/>
          <w:color w:val="0C0C0C"/>
          <w:kern w:val="0"/>
          <w:sz w:val="32"/>
          <w:szCs w:val="32"/>
          <w:lang w:val="en-US" w:eastAsia="zh-CN" w:bidi="ar"/>
        </w:rPr>
        <w:t>（一）</w:t>
      </w:r>
      <w:r>
        <w:rPr>
          <w:rFonts w:hint="eastAsia" w:ascii="楷体_GB2312" w:hAnsi="楷体_GB2312" w:eastAsia="楷体_GB2312" w:cs="楷体_GB2312"/>
          <w:color w:val="0C0C0C"/>
          <w:kern w:val="0"/>
          <w:sz w:val="32"/>
          <w:szCs w:val="32"/>
          <w:highlight w:val="none"/>
          <w:lang w:val="en-US" w:eastAsia="zh-CN" w:bidi="ar"/>
        </w:rPr>
        <w:t>加强组织领导</w:t>
      </w:r>
    </w:p>
    <w:p>
      <w:pPr>
        <w:keepNext w:val="0"/>
        <w:keepLines w:val="0"/>
        <w:pageBreakBefore w:val="0"/>
        <w:widowControl w:val="0"/>
        <w:suppressLineNumbers w:val="0"/>
        <w:kinsoku/>
        <w:wordWrap w:val="0"/>
        <w:overflowPunct/>
        <w:topLinePunct/>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trike w:val="0"/>
          <w:dstrike w:val="0"/>
          <w:color w:val="000000" w:themeColor="text1"/>
          <w:kern w:val="0"/>
          <w:sz w:val="32"/>
          <w:szCs w:val="32"/>
          <w:highlight w:val="none"/>
          <w:lang w:val="en-US" w:eastAsia="zh-CN" w:bidi="ar"/>
          <w14:textFill>
            <w14:solidFill>
              <w14:schemeClr w14:val="tx1"/>
            </w14:solidFill>
          </w14:textFill>
        </w:rPr>
      </w:pPr>
      <w:r>
        <w:rPr>
          <w:rFonts w:hint="eastAsia" w:ascii="仿宋_GB2312" w:hAnsi="仿宋_GB2312" w:eastAsia="仿宋_GB2312" w:cs="仿宋_GB2312"/>
          <w:b w:val="0"/>
          <w:bCs w:val="0"/>
          <w:sz w:val="32"/>
          <w:szCs w:val="32"/>
          <w:highlight w:val="none"/>
          <w:lang w:eastAsia="zh-CN"/>
        </w:rPr>
        <w:t>各参建单位</w:t>
      </w:r>
      <w:r>
        <w:rPr>
          <w:rFonts w:hint="eastAsia" w:ascii="仿宋_GB2312" w:hAnsi="仿宋_GB2312" w:eastAsia="仿宋_GB2312" w:cs="仿宋_GB2312"/>
          <w:strike w:val="0"/>
          <w:dstrike w:val="0"/>
          <w:color w:val="000000" w:themeColor="text1"/>
          <w:kern w:val="0"/>
          <w:sz w:val="32"/>
          <w:szCs w:val="32"/>
          <w:highlight w:val="none"/>
          <w:lang w:val="en-US" w:eastAsia="zh-CN" w:bidi="ar"/>
          <w14:textFill>
            <w14:solidFill>
              <w14:schemeClr w14:val="tx1"/>
            </w14:solidFill>
          </w14:textFill>
        </w:rPr>
        <w:t>要加强组织领导，强化安全风险管理责任，切实落实安全风险管控职责，成立工作领导小组，明确具体负责工作人员。要将安全风险评估工作纳入年度重点工作，确保各项任务逐级落实。</w:t>
      </w:r>
    </w:p>
    <w:p>
      <w:pPr>
        <w:keepNext w:val="0"/>
        <w:keepLines w:val="0"/>
        <w:pageBreakBefore w:val="0"/>
        <w:widowControl w:val="0"/>
        <w:numPr>
          <w:ilvl w:val="0"/>
          <w:numId w:val="0"/>
        </w:numPr>
        <w:suppressLineNumbers w:val="0"/>
        <w:kinsoku/>
        <w:wordWrap w:val="0"/>
        <w:overflowPunct/>
        <w:topLinePunct/>
        <w:autoSpaceDE/>
        <w:autoSpaceDN/>
        <w:bidi w:val="0"/>
        <w:adjustRightInd w:val="0"/>
        <w:snapToGrid w:val="0"/>
        <w:spacing w:after="0" w:line="560" w:lineRule="exact"/>
        <w:ind w:firstLine="640" w:firstLineChars="200"/>
        <w:jc w:val="both"/>
        <w:textAlignment w:val="auto"/>
        <w:rPr>
          <w:rFonts w:hint="default" w:ascii="楷体_GB2312" w:hAnsi="楷体_GB2312" w:eastAsia="楷体_GB2312" w:cs="楷体_GB2312"/>
          <w:color w:val="0C0C0C"/>
          <w:kern w:val="0"/>
          <w:sz w:val="32"/>
          <w:szCs w:val="32"/>
          <w:highlight w:val="none"/>
          <w:lang w:val="en-US" w:eastAsia="zh-CN" w:bidi="ar"/>
        </w:rPr>
      </w:pPr>
      <w:r>
        <w:rPr>
          <w:rFonts w:hint="eastAsia" w:ascii="楷体_GB2312" w:hAnsi="楷体_GB2312" w:eastAsia="楷体_GB2312" w:cs="楷体_GB2312"/>
          <w:color w:val="0C0C0C"/>
          <w:kern w:val="0"/>
          <w:sz w:val="32"/>
          <w:szCs w:val="32"/>
          <w:highlight w:val="none"/>
          <w:lang w:val="en-US" w:eastAsia="zh-CN" w:bidi="ar"/>
        </w:rPr>
        <w:t>（二）</w:t>
      </w:r>
      <w:r>
        <w:rPr>
          <w:rFonts w:hint="default" w:ascii="楷体_GB2312" w:hAnsi="楷体_GB2312" w:eastAsia="楷体_GB2312" w:cs="楷体_GB2312"/>
          <w:color w:val="0C0C0C"/>
          <w:kern w:val="0"/>
          <w:sz w:val="32"/>
          <w:szCs w:val="32"/>
          <w:highlight w:val="none"/>
          <w:lang w:val="en-US" w:eastAsia="zh-CN" w:bidi="ar"/>
        </w:rPr>
        <w:t>强化经费支持</w:t>
      </w:r>
    </w:p>
    <w:p>
      <w:pPr>
        <w:keepNext w:val="0"/>
        <w:keepLines w:val="0"/>
        <w:pageBreakBefore w:val="0"/>
        <w:widowControl w:val="0"/>
        <w:numPr>
          <w:ilvl w:val="0"/>
          <w:numId w:val="0"/>
        </w:numPr>
        <w:suppressLineNumbers w:val="0"/>
        <w:kinsoku/>
        <w:wordWrap w:val="0"/>
        <w:overflowPunct/>
        <w:topLinePunct/>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trike w:val="0"/>
          <w:dstrike w:val="0"/>
          <w:color w:val="000000" w:themeColor="text1"/>
          <w:kern w:val="0"/>
          <w:sz w:val="32"/>
          <w:szCs w:val="32"/>
          <w:highlight w:val="none"/>
          <w:lang w:val="en-US" w:eastAsia="zh-CN" w:bidi="ar"/>
          <w14:textFill>
            <w14:solidFill>
              <w14:schemeClr w14:val="tx1"/>
            </w14:solidFill>
          </w14:textFill>
        </w:rPr>
      </w:pPr>
      <w:r>
        <w:rPr>
          <w:rFonts w:hint="eastAsia" w:ascii="仿宋_GB2312" w:hAnsi="仿宋_GB2312" w:eastAsia="仿宋_GB2312" w:cs="仿宋_GB2312"/>
          <w:b w:val="0"/>
          <w:bCs w:val="0"/>
          <w:sz w:val="32"/>
          <w:szCs w:val="32"/>
          <w:highlight w:val="none"/>
          <w:lang w:eastAsia="zh-CN"/>
        </w:rPr>
        <w:t>各参建单位</w:t>
      </w:r>
      <w:r>
        <w:rPr>
          <w:rFonts w:hint="eastAsia" w:ascii="仿宋_GB2312" w:hAnsi="仿宋_GB2312" w:eastAsia="仿宋_GB2312" w:cs="仿宋_GB2312"/>
          <w:strike w:val="0"/>
          <w:dstrike w:val="0"/>
          <w:color w:val="000000" w:themeColor="text1"/>
          <w:kern w:val="0"/>
          <w:sz w:val="32"/>
          <w:szCs w:val="32"/>
          <w:highlight w:val="none"/>
          <w:lang w:val="en-US" w:eastAsia="zh-CN" w:bidi="ar"/>
          <w14:textFill>
            <w14:solidFill>
              <w14:schemeClr w14:val="tx1"/>
            </w14:solidFill>
          </w14:textFill>
        </w:rPr>
        <w:t>要把安全风险评估作为一项基础性、常态化工作，加大资金保障力度，确保任务落到实处。</w:t>
      </w:r>
    </w:p>
    <w:p>
      <w:pPr>
        <w:keepNext w:val="0"/>
        <w:keepLines w:val="0"/>
        <w:pageBreakBefore w:val="0"/>
        <w:widowControl w:val="0"/>
        <w:numPr>
          <w:ilvl w:val="0"/>
          <w:numId w:val="0"/>
        </w:numPr>
        <w:suppressLineNumbers w:val="0"/>
        <w:kinsoku/>
        <w:wordWrap w:val="0"/>
        <w:overflowPunct/>
        <w:topLinePunct/>
        <w:autoSpaceDE/>
        <w:autoSpaceDN/>
        <w:bidi w:val="0"/>
        <w:adjustRightInd w:val="0"/>
        <w:snapToGrid w:val="0"/>
        <w:spacing w:after="0" w:line="560" w:lineRule="exact"/>
        <w:ind w:firstLine="640" w:firstLineChars="200"/>
        <w:jc w:val="both"/>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（三）</w:t>
      </w:r>
      <w:r>
        <w:rPr>
          <w:rFonts w:hint="eastAsia" w:ascii="楷体_GB2312" w:hAnsi="楷体_GB2312" w:eastAsia="楷体_GB2312" w:cs="楷体_GB2312"/>
          <w:sz w:val="32"/>
          <w:szCs w:val="32"/>
          <w:highlight w:val="none"/>
        </w:rPr>
        <w:t>深化隐患治理</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auto"/>
        <w:rPr>
          <w:rFonts w:hint="eastAsia"/>
          <w:sz w:val="32"/>
          <w:szCs w:val="32"/>
          <w:highlight w:val="none"/>
          <w:lang w:val="en-US" w:eastAsia="zh-CN"/>
        </w:rPr>
      </w:pPr>
      <w:r>
        <w:rPr>
          <w:rFonts w:hint="eastAsia" w:ascii="仿宋_GB2312" w:hAnsi="仿宋_GB2312" w:eastAsia="仿宋_GB2312" w:cs="仿宋_GB2312"/>
          <w:b w:val="0"/>
          <w:bCs w:val="0"/>
          <w:sz w:val="32"/>
          <w:szCs w:val="32"/>
          <w:highlight w:val="none"/>
          <w:lang w:eastAsia="zh-CN"/>
        </w:rPr>
        <w:t>各参建单位</w:t>
      </w:r>
      <w:r>
        <w:rPr>
          <w:rFonts w:hint="eastAsia" w:ascii="仿宋_GB2312" w:hAnsi="仿宋_GB2312" w:eastAsia="仿宋_GB2312" w:cs="仿宋_GB2312"/>
          <w:strike w:val="0"/>
          <w:dstrike w:val="0"/>
          <w:color w:val="000000" w:themeColor="text1"/>
          <w:kern w:val="0"/>
          <w:sz w:val="32"/>
          <w:szCs w:val="32"/>
          <w:highlight w:val="none"/>
          <w:lang w:val="en-US" w:eastAsia="zh-CN" w:bidi="ar"/>
          <w14:textFill>
            <w14:solidFill>
              <w14:schemeClr w14:val="tx1"/>
            </w14:solidFill>
          </w14:textFill>
        </w:rPr>
        <w:t>要</w:t>
      </w:r>
      <w:r>
        <w:rPr>
          <w:rFonts w:hint="eastAsia" w:ascii="仿宋_GB2312" w:hAnsi="仿宋_GB2312" w:eastAsia="仿宋_GB2312" w:cs="仿宋_GB2312"/>
          <w:sz w:val="32"/>
          <w:szCs w:val="32"/>
          <w:highlight w:val="none"/>
        </w:rPr>
        <w:t>提高对安全生产危险性的认识，清醒认识安全生产工作的紧迫形势，对</w:t>
      </w:r>
      <w:r>
        <w:rPr>
          <w:rFonts w:hint="eastAsia" w:ascii="仿宋_GB2312" w:eastAsia="仿宋_GB2312" w:cs="仿宋_GB2312"/>
          <w:color w:val="0C0C0C"/>
          <w:kern w:val="0"/>
          <w:sz w:val="32"/>
          <w:szCs w:val="32"/>
          <w:highlight w:val="none"/>
          <w:lang w:val="en-US" w:eastAsia="zh-CN" w:bidi="ar"/>
        </w:rPr>
        <w:t>风险辨识、评估工作</w:t>
      </w:r>
      <w:r>
        <w:rPr>
          <w:rFonts w:hint="eastAsia" w:ascii="仿宋_GB2312" w:hAnsi="仿宋_GB2312" w:eastAsia="仿宋_GB2312" w:cs="仿宋_GB2312"/>
          <w:sz w:val="32"/>
          <w:szCs w:val="32"/>
          <w:highlight w:val="none"/>
          <w:lang w:eastAsia="zh-CN"/>
        </w:rPr>
        <w:t>中</w:t>
      </w:r>
      <w:r>
        <w:rPr>
          <w:rFonts w:hint="eastAsia" w:ascii="仿宋_GB2312" w:eastAsia="仿宋_GB2312" w:cs="仿宋_GB2312"/>
          <w:color w:val="0C0C0C"/>
          <w:kern w:val="0"/>
          <w:sz w:val="32"/>
          <w:szCs w:val="32"/>
          <w:highlight w:val="none"/>
          <w:lang w:val="en-US" w:eastAsia="zh-CN" w:bidi="ar"/>
        </w:rPr>
        <w:t>排查确定的各类安全风险</w:t>
      </w:r>
      <w:r>
        <w:rPr>
          <w:rFonts w:hint="eastAsia" w:ascii="仿宋_GB2312" w:hAnsi="仿宋_GB2312" w:eastAsia="仿宋_GB2312" w:cs="仿宋_GB2312"/>
          <w:sz w:val="32"/>
          <w:szCs w:val="32"/>
          <w:highlight w:val="none"/>
          <w:lang w:eastAsia="zh-CN"/>
        </w:rPr>
        <w:t>，要</w:t>
      </w:r>
      <w:r>
        <w:rPr>
          <w:rFonts w:hint="eastAsia" w:ascii="仿宋_GB2312" w:eastAsia="仿宋_GB2312" w:cs="仿宋_GB2312"/>
          <w:color w:val="0C0C0C"/>
          <w:kern w:val="0"/>
          <w:sz w:val="32"/>
          <w:szCs w:val="32"/>
          <w:highlight w:val="none"/>
          <w:lang w:val="en-US" w:eastAsia="zh-CN" w:bidi="ar"/>
        </w:rPr>
        <w:t>制定相应的安全风险管理措施，</w:t>
      </w:r>
      <w:r>
        <w:rPr>
          <w:rFonts w:hint="eastAsia" w:ascii="仿宋_GB2312" w:hAnsi="仿宋_GB2312" w:eastAsia="仿宋_GB2312" w:cs="仿宋_GB2312"/>
          <w:sz w:val="32"/>
          <w:szCs w:val="32"/>
          <w:highlight w:val="none"/>
        </w:rPr>
        <w:t>能够立即整改的要即查即改，暂不具备整改条件的，要明确责任单位，定实整改措施，限期整改到位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对于重大隐患要建立台账，制定整改方案。</w:t>
      </w:r>
    </w:p>
    <w:p>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640" w:firstLineChars="200"/>
        <w:jc w:val="both"/>
        <w:textAlignment w:val="auto"/>
        <w:outlineLvl w:val="9"/>
        <w:rPr>
          <w:rFonts w:hint="default" w:ascii="楷体_GB2312" w:hAnsi="楷体_GB2312" w:eastAsia="楷体_GB2312" w:cs="楷体_GB2312"/>
          <w:color w:val="0C0C0C"/>
          <w:kern w:val="0"/>
          <w:sz w:val="32"/>
          <w:szCs w:val="32"/>
          <w:highlight w:val="none"/>
          <w:lang w:val="en-US" w:eastAsia="zh-CN" w:bidi="ar"/>
        </w:rPr>
      </w:pPr>
      <w:r>
        <w:rPr>
          <w:rFonts w:hint="eastAsia" w:ascii="楷体_GB2312" w:hAnsi="楷体_GB2312" w:eastAsia="楷体_GB2312" w:cs="楷体_GB2312"/>
          <w:color w:val="0C0C0C"/>
          <w:kern w:val="0"/>
          <w:sz w:val="32"/>
          <w:szCs w:val="32"/>
          <w:highlight w:val="none"/>
          <w:lang w:val="en-US" w:eastAsia="zh-CN" w:bidi="ar"/>
        </w:rPr>
        <w:t>（四）</w:t>
      </w:r>
      <w:r>
        <w:rPr>
          <w:rFonts w:hint="default" w:ascii="楷体_GB2312" w:hAnsi="楷体_GB2312" w:eastAsia="楷体_GB2312" w:cs="楷体_GB2312"/>
          <w:color w:val="0C0C0C"/>
          <w:kern w:val="0"/>
          <w:sz w:val="32"/>
          <w:szCs w:val="32"/>
          <w:highlight w:val="none"/>
          <w:lang w:val="en-US" w:eastAsia="zh-CN" w:bidi="ar"/>
        </w:rPr>
        <w:t>强化</w:t>
      </w:r>
      <w:r>
        <w:rPr>
          <w:rFonts w:hint="eastAsia" w:ascii="楷体_GB2312" w:hAnsi="楷体_GB2312" w:eastAsia="楷体_GB2312" w:cs="楷体_GB2312"/>
          <w:color w:val="0C0C0C"/>
          <w:kern w:val="0"/>
          <w:sz w:val="32"/>
          <w:szCs w:val="32"/>
          <w:highlight w:val="none"/>
          <w:lang w:val="en-US" w:eastAsia="zh-CN" w:bidi="ar"/>
        </w:rPr>
        <w:t>执法检查</w:t>
      </w:r>
    </w:p>
    <w:p>
      <w:pPr>
        <w:keepNext w:val="0"/>
        <w:keepLines w:val="0"/>
        <w:pageBreakBefore w:val="0"/>
        <w:widowControl w:val="0"/>
        <w:suppressLineNumbers w:val="0"/>
        <w:kinsoku/>
        <w:wordWrap w:val="0"/>
        <w:overflowPunct/>
        <w:topLinePunct/>
        <w:autoSpaceDE/>
        <w:autoSpaceDN/>
        <w:bidi w:val="0"/>
        <w:adjustRightInd w:val="0"/>
        <w:snapToGrid w:val="0"/>
        <w:spacing w:after="0" w:line="56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城市安全风险评估工作已纳入通州区安全生产考核范围，</w:t>
      </w:r>
      <w:r>
        <w:rPr>
          <w:rFonts w:hint="eastAsia" w:ascii="仿宋_GB2312" w:hAnsi="仿宋_GB2312" w:eastAsia="仿宋_GB2312" w:cs="仿宋_GB2312"/>
          <w:b w:val="0"/>
          <w:bCs w:val="0"/>
          <w:sz w:val="32"/>
          <w:szCs w:val="32"/>
          <w:highlight w:val="none"/>
        </w:rPr>
        <w:t>区住房城乡建设委加大</w:t>
      </w:r>
      <w:r>
        <w:rPr>
          <w:rFonts w:hint="eastAsia" w:ascii="仿宋_GB2312" w:hAnsi="仿宋_GB2312" w:eastAsia="仿宋_GB2312" w:cs="仿宋_GB2312"/>
          <w:b w:val="0"/>
          <w:bCs w:val="0"/>
          <w:sz w:val="32"/>
          <w:szCs w:val="32"/>
          <w:highlight w:val="none"/>
          <w:lang w:eastAsia="zh-CN"/>
        </w:rPr>
        <w:t>对安全风险评估工作的检查力度，</w:t>
      </w:r>
      <w:r>
        <w:rPr>
          <w:rFonts w:hint="eastAsia" w:ascii="仿宋_GB2312" w:hAnsi="仿宋_GB2312" w:eastAsia="仿宋_GB2312" w:cs="仿宋_GB2312"/>
          <w:b w:val="0"/>
          <w:bCs w:val="0"/>
          <w:sz w:val="32"/>
          <w:szCs w:val="32"/>
          <w:highlight w:val="none"/>
        </w:rPr>
        <w:t>通过执法</w:t>
      </w:r>
      <w:r>
        <w:rPr>
          <w:rFonts w:hint="eastAsia" w:ascii="仿宋_GB2312" w:hAnsi="仿宋_GB2312" w:eastAsia="仿宋_GB2312" w:cs="仿宋_GB2312"/>
          <w:b w:val="0"/>
          <w:bCs w:val="0"/>
          <w:sz w:val="32"/>
          <w:szCs w:val="32"/>
          <w:highlight w:val="none"/>
          <w:lang w:eastAsia="zh-CN"/>
        </w:rPr>
        <w:t>检查</w:t>
      </w:r>
      <w:r>
        <w:rPr>
          <w:rFonts w:hint="eastAsia" w:ascii="仿宋_GB2312" w:hAnsi="仿宋_GB2312" w:eastAsia="仿宋_GB2312" w:cs="仿宋_GB2312"/>
          <w:b w:val="0"/>
          <w:bCs w:val="0"/>
          <w:sz w:val="32"/>
          <w:szCs w:val="32"/>
          <w:highlight w:val="none"/>
        </w:rPr>
        <w:t>督促</w:t>
      </w:r>
      <w:r>
        <w:rPr>
          <w:rFonts w:hint="eastAsia" w:ascii="仿宋_GB2312" w:hAnsi="仿宋_GB2312" w:eastAsia="仿宋_GB2312" w:cs="仿宋_GB2312"/>
          <w:b w:val="0"/>
          <w:bCs w:val="0"/>
          <w:sz w:val="32"/>
          <w:szCs w:val="32"/>
          <w:highlight w:val="none"/>
          <w:lang w:eastAsia="zh-CN"/>
        </w:rPr>
        <w:t>各参建单位</w:t>
      </w:r>
      <w:r>
        <w:rPr>
          <w:rFonts w:hint="eastAsia" w:ascii="仿宋_GB2312" w:hAnsi="仿宋_GB2312" w:eastAsia="仿宋_GB2312" w:cs="仿宋_GB2312"/>
          <w:b w:val="0"/>
          <w:bCs w:val="0"/>
          <w:sz w:val="32"/>
          <w:szCs w:val="32"/>
          <w:highlight w:val="none"/>
        </w:rPr>
        <w:t>落实责任，对工作</w:t>
      </w:r>
      <w:r>
        <w:rPr>
          <w:rFonts w:hint="eastAsia" w:ascii="仿宋_GB2312" w:hAnsi="仿宋_GB2312" w:eastAsia="仿宋_GB2312" w:cs="仿宋_GB2312"/>
          <w:b w:val="0"/>
          <w:bCs w:val="0"/>
          <w:sz w:val="32"/>
          <w:szCs w:val="32"/>
          <w:highlight w:val="none"/>
          <w:lang w:val="en-US" w:eastAsia="zh-CN"/>
        </w:rPr>
        <w:t>进度滞后</w:t>
      </w:r>
      <w:r>
        <w:rPr>
          <w:rFonts w:hint="eastAsia" w:ascii="仿宋_GB2312" w:hAnsi="仿宋_GB2312" w:eastAsia="仿宋_GB2312" w:cs="仿宋_GB2312"/>
          <w:b w:val="0"/>
          <w:bCs w:val="0"/>
          <w:sz w:val="32"/>
          <w:szCs w:val="32"/>
          <w:highlight w:val="none"/>
        </w:rPr>
        <w:t>、隐患突出的单位负责人开展重点约谈</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有效震慑安全生产违法违规行为。</w:t>
      </w:r>
    </w:p>
    <w:p>
      <w:pPr>
        <w:keepNext w:val="0"/>
        <w:keepLines w:val="0"/>
        <w:pageBreakBefore w:val="0"/>
        <w:widowControl w:val="0"/>
        <w:suppressLineNumbers w:val="0"/>
        <w:kinsoku/>
        <w:wordWrap w:val="0"/>
        <w:overflowPunct/>
        <w:topLinePunct/>
        <w:autoSpaceDE/>
        <w:autoSpaceDN/>
        <w:bidi w:val="0"/>
        <w:adjustRightInd w:val="0"/>
        <w:snapToGrid w:val="0"/>
        <w:spacing w:after="0" w:line="56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p>
    <w:p>
      <w:pPr>
        <w:keepNext w:val="0"/>
        <w:keepLines w:val="0"/>
        <w:pageBreakBefore w:val="0"/>
        <w:widowControl w:val="0"/>
        <w:kinsoku/>
        <w:wordWrap w:val="0"/>
        <w:overflowPunct/>
        <w:topLinePunct/>
        <w:autoSpaceDE/>
        <w:autoSpaceDN/>
        <w:bidi w:val="0"/>
        <w:adjustRightInd w:val="0"/>
        <w:snapToGrid w:val="0"/>
        <w:spacing w:line="560" w:lineRule="exact"/>
        <w:textAlignment w:val="auto"/>
        <w:rPr>
          <w:rFonts w:hint="default"/>
          <w:lang w:val="en-US" w:eastAsia="zh-CN"/>
        </w:rPr>
      </w:pPr>
    </w:p>
    <w:p>
      <w:pPr>
        <w:pStyle w:val="11"/>
        <w:tabs>
          <w:tab w:val="left" w:pos="2700"/>
        </w:tabs>
        <w:rPr>
          <w:rFonts w:hint="default"/>
          <w:lang w:val="en-US" w:eastAsia="zh-CN"/>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9"/>
                      <w:rPr>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snapToGrid w:val="0"/>
      <w:ind w:left="0" w:leftChars="0" w:firstLine="0" w:firstLineChars="0"/>
      <w:jc w:val="both"/>
      <w:rPr>
        <w:rFonts w:ascii="Times New Roman" w:hAnsi="Times New Roman"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08"/>
    <w:rsid w:val="000866EC"/>
    <w:rsid w:val="002B3854"/>
    <w:rsid w:val="004D2ACC"/>
    <w:rsid w:val="0090274B"/>
    <w:rsid w:val="00A318EE"/>
    <w:rsid w:val="00C45933"/>
    <w:rsid w:val="00E07850"/>
    <w:rsid w:val="00EA5D6F"/>
    <w:rsid w:val="01493424"/>
    <w:rsid w:val="01796C79"/>
    <w:rsid w:val="01902F39"/>
    <w:rsid w:val="01D658C7"/>
    <w:rsid w:val="02096A87"/>
    <w:rsid w:val="023473C5"/>
    <w:rsid w:val="023E53C5"/>
    <w:rsid w:val="02683267"/>
    <w:rsid w:val="02AB6749"/>
    <w:rsid w:val="02AD1F35"/>
    <w:rsid w:val="02D93A46"/>
    <w:rsid w:val="034C5CA9"/>
    <w:rsid w:val="0358331E"/>
    <w:rsid w:val="03C54AA6"/>
    <w:rsid w:val="04466ABD"/>
    <w:rsid w:val="045B02E7"/>
    <w:rsid w:val="04683AEB"/>
    <w:rsid w:val="04743671"/>
    <w:rsid w:val="04A02A6F"/>
    <w:rsid w:val="04C4287D"/>
    <w:rsid w:val="04CA515F"/>
    <w:rsid w:val="04E91777"/>
    <w:rsid w:val="05105AF5"/>
    <w:rsid w:val="052678AA"/>
    <w:rsid w:val="05393EFE"/>
    <w:rsid w:val="053E7CBF"/>
    <w:rsid w:val="0554139B"/>
    <w:rsid w:val="057C1D29"/>
    <w:rsid w:val="05C44248"/>
    <w:rsid w:val="06497634"/>
    <w:rsid w:val="064D3A25"/>
    <w:rsid w:val="064D4BC3"/>
    <w:rsid w:val="065407B7"/>
    <w:rsid w:val="06AE5B81"/>
    <w:rsid w:val="06B31B34"/>
    <w:rsid w:val="07157862"/>
    <w:rsid w:val="07334D85"/>
    <w:rsid w:val="074035A3"/>
    <w:rsid w:val="07835BD9"/>
    <w:rsid w:val="079B04E1"/>
    <w:rsid w:val="07A204F7"/>
    <w:rsid w:val="07CB57FE"/>
    <w:rsid w:val="082E1588"/>
    <w:rsid w:val="0857099E"/>
    <w:rsid w:val="085D0B9B"/>
    <w:rsid w:val="0887123D"/>
    <w:rsid w:val="08A461AB"/>
    <w:rsid w:val="08A74C64"/>
    <w:rsid w:val="08FC5CC7"/>
    <w:rsid w:val="08FC79D1"/>
    <w:rsid w:val="09113836"/>
    <w:rsid w:val="09187691"/>
    <w:rsid w:val="091F38EF"/>
    <w:rsid w:val="099F33E7"/>
    <w:rsid w:val="09AB2EC0"/>
    <w:rsid w:val="09B21002"/>
    <w:rsid w:val="09DB6139"/>
    <w:rsid w:val="0A1A2AD5"/>
    <w:rsid w:val="0A221EF1"/>
    <w:rsid w:val="0A444679"/>
    <w:rsid w:val="0A4F34B5"/>
    <w:rsid w:val="0A5B6718"/>
    <w:rsid w:val="0AB32833"/>
    <w:rsid w:val="0ABB7096"/>
    <w:rsid w:val="0ACE3044"/>
    <w:rsid w:val="0AD20871"/>
    <w:rsid w:val="0BBB1386"/>
    <w:rsid w:val="0C747945"/>
    <w:rsid w:val="0C7C445F"/>
    <w:rsid w:val="0C9673A4"/>
    <w:rsid w:val="0CCC36A3"/>
    <w:rsid w:val="0CCF40AC"/>
    <w:rsid w:val="0D054794"/>
    <w:rsid w:val="0D340BD6"/>
    <w:rsid w:val="0D6D115F"/>
    <w:rsid w:val="0DE0460B"/>
    <w:rsid w:val="0E01020D"/>
    <w:rsid w:val="0E0575EB"/>
    <w:rsid w:val="0E1C1702"/>
    <w:rsid w:val="0E6D7F21"/>
    <w:rsid w:val="0EE465FF"/>
    <w:rsid w:val="0EEE27CF"/>
    <w:rsid w:val="0EF30522"/>
    <w:rsid w:val="0EFA4A21"/>
    <w:rsid w:val="0F4D37BD"/>
    <w:rsid w:val="0F7F5E4D"/>
    <w:rsid w:val="0F80597A"/>
    <w:rsid w:val="0F9A7806"/>
    <w:rsid w:val="0F9B295A"/>
    <w:rsid w:val="0FB00DBE"/>
    <w:rsid w:val="0FCA2BC0"/>
    <w:rsid w:val="10263D71"/>
    <w:rsid w:val="10493324"/>
    <w:rsid w:val="107A5C96"/>
    <w:rsid w:val="10F8768F"/>
    <w:rsid w:val="113A4ABC"/>
    <w:rsid w:val="1164010A"/>
    <w:rsid w:val="11B962E7"/>
    <w:rsid w:val="11D43635"/>
    <w:rsid w:val="123B2412"/>
    <w:rsid w:val="1278537A"/>
    <w:rsid w:val="127A3322"/>
    <w:rsid w:val="127E2C9C"/>
    <w:rsid w:val="1287167C"/>
    <w:rsid w:val="12EA6220"/>
    <w:rsid w:val="12FE0F71"/>
    <w:rsid w:val="130A3C26"/>
    <w:rsid w:val="130B5FB3"/>
    <w:rsid w:val="132359BC"/>
    <w:rsid w:val="132F7B61"/>
    <w:rsid w:val="135D32DD"/>
    <w:rsid w:val="13795E5C"/>
    <w:rsid w:val="13917B23"/>
    <w:rsid w:val="13AA6A7F"/>
    <w:rsid w:val="13FD3E9B"/>
    <w:rsid w:val="14A74319"/>
    <w:rsid w:val="14AE1924"/>
    <w:rsid w:val="14B127AA"/>
    <w:rsid w:val="14E7366F"/>
    <w:rsid w:val="14F00FA7"/>
    <w:rsid w:val="152E5A11"/>
    <w:rsid w:val="16A661F3"/>
    <w:rsid w:val="16A72A3C"/>
    <w:rsid w:val="16AF7D05"/>
    <w:rsid w:val="17542838"/>
    <w:rsid w:val="176513A1"/>
    <w:rsid w:val="17D9179F"/>
    <w:rsid w:val="17F80B51"/>
    <w:rsid w:val="183A097E"/>
    <w:rsid w:val="184932E4"/>
    <w:rsid w:val="185D6B20"/>
    <w:rsid w:val="18AE6168"/>
    <w:rsid w:val="18C4111F"/>
    <w:rsid w:val="18D6560D"/>
    <w:rsid w:val="18DA6CE0"/>
    <w:rsid w:val="19111592"/>
    <w:rsid w:val="191B0AFD"/>
    <w:rsid w:val="19363721"/>
    <w:rsid w:val="196A155F"/>
    <w:rsid w:val="19AF04C9"/>
    <w:rsid w:val="1A2B7F2B"/>
    <w:rsid w:val="1A37065C"/>
    <w:rsid w:val="1A4779C8"/>
    <w:rsid w:val="1A8051B4"/>
    <w:rsid w:val="1A897E16"/>
    <w:rsid w:val="1A9F4E25"/>
    <w:rsid w:val="1AFC37DC"/>
    <w:rsid w:val="1B124824"/>
    <w:rsid w:val="1B127CBD"/>
    <w:rsid w:val="1B5C743B"/>
    <w:rsid w:val="1B77277A"/>
    <w:rsid w:val="1BA17825"/>
    <w:rsid w:val="1BC02B67"/>
    <w:rsid w:val="1C6612BF"/>
    <w:rsid w:val="1C6D4B3A"/>
    <w:rsid w:val="1C827CFC"/>
    <w:rsid w:val="1C907F5B"/>
    <w:rsid w:val="1D041F91"/>
    <w:rsid w:val="1D0B4664"/>
    <w:rsid w:val="1D0C09DF"/>
    <w:rsid w:val="1D187E9C"/>
    <w:rsid w:val="1D343549"/>
    <w:rsid w:val="1D361307"/>
    <w:rsid w:val="1D6458CE"/>
    <w:rsid w:val="1DB6024C"/>
    <w:rsid w:val="1E0530EE"/>
    <w:rsid w:val="1E63433B"/>
    <w:rsid w:val="1E7F3751"/>
    <w:rsid w:val="1EAB53C5"/>
    <w:rsid w:val="1EAD355A"/>
    <w:rsid w:val="1EFD5797"/>
    <w:rsid w:val="1EFD5EBD"/>
    <w:rsid w:val="1F252816"/>
    <w:rsid w:val="1F2F70B3"/>
    <w:rsid w:val="1F9A3711"/>
    <w:rsid w:val="202A107C"/>
    <w:rsid w:val="202D1BA0"/>
    <w:rsid w:val="204403CA"/>
    <w:rsid w:val="20541E26"/>
    <w:rsid w:val="20695170"/>
    <w:rsid w:val="207D1811"/>
    <w:rsid w:val="209D4681"/>
    <w:rsid w:val="20C93AE2"/>
    <w:rsid w:val="2134406D"/>
    <w:rsid w:val="21AC1B47"/>
    <w:rsid w:val="21FE1812"/>
    <w:rsid w:val="221D4E24"/>
    <w:rsid w:val="223C477E"/>
    <w:rsid w:val="2262683A"/>
    <w:rsid w:val="22750D86"/>
    <w:rsid w:val="2277752C"/>
    <w:rsid w:val="22A32F72"/>
    <w:rsid w:val="231368F1"/>
    <w:rsid w:val="231C4747"/>
    <w:rsid w:val="232368DA"/>
    <w:rsid w:val="23277CBC"/>
    <w:rsid w:val="235B5E5A"/>
    <w:rsid w:val="23615F40"/>
    <w:rsid w:val="23A30730"/>
    <w:rsid w:val="23BA1F13"/>
    <w:rsid w:val="23CF498F"/>
    <w:rsid w:val="23DC2E6A"/>
    <w:rsid w:val="23DE37EA"/>
    <w:rsid w:val="24134BCC"/>
    <w:rsid w:val="242C58C9"/>
    <w:rsid w:val="243C3DA1"/>
    <w:rsid w:val="243E5131"/>
    <w:rsid w:val="24421C8B"/>
    <w:rsid w:val="2444752A"/>
    <w:rsid w:val="244B25E0"/>
    <w:rsid w:val="24F60507"/>
    <w:rsid w:val="24FC6569"/>
    <w:rsid w:val="2558680D"/>
    <w:rsid w:val="25642675"/>
    <w:rsid w:val="257A34F5"/>
    <w:rsid w:val="257B6A75"/>
    <w:rsid w:val="2585243D"/>
    <w:rsid w:val="2589643F"/>
    <w:rsid w:val="25D91630"/>
    <w:rsid w:val="25DC6B80"/>
    <w:rsid w:val="25F64DF1"/>
    <w:rsid w:val="260E06A8"/>
    <w:rsid w:val="26114607"/>
    <w:rsid w:val="262335A6"/>
    <w:rsid w:val="26322A76"/>
    <w:rsid w:val="263411BB"/>
    <w:rsid w:val="26451702"/>
    <w:rsid w:val="26467F1E"/>
    <w:rsid w:val="26F650C9"/>
    <w:rsid w:val="26F8475F"/>
    <w:rsid w:val="27217790"/>
    <w:rsid w:val="274852D0"/>
    <w:rsid w:val="27801B7B"/>
    <w:rsid w:val="27C93B4F"/>
    <w:rsid w:val="27D3075C"/>
    <w:rsid w:val="27FFD52C"/>
    <w:rsid w:val="282372EE"/>
    <w:rsid w:val="283E67D4"/>
    <w:rsid w:val="288550C8"/>
    <w:rsid w:val="289E3E72"/>
    <w:rsid w:val="28BF2D06"/>
    <w:rsid w:val="2922354E"/>
    <w:rsid w:val="29233AA7"/>
    <w:rsid w:val="294D0126"/>
    <w:rsid w:val="295C7652"/>
    <w:rsid w:val="296A09DE"/>
    <w:rsid w:val="29A83977"/>
    <w:rsid w:val="29EC2718"/>
    <w:rsid w:val="29F33550"/>
    <w:rsid w:val="2A060B3B"/>
    <w:rsid w:val="2A4358F4"/>
    <w:rsid w:val="2A474E71"/>
    <w:rsid w:val="2A604EA8"/>
    <w:rsid w:val="2AA5400A"/>
    <w:rsid w:val="2AD32F8F"/>
    <w:rsid w:val="2AE377A7"/>
    <w:rsid w:val="2AF66267"/>
    <w:rsid w:val="2B314E81"/>
    <w:rsid w:val="2B340B44"/>
    <w:rsid w:val="2B4A4456"/>
    <w:rsid w:val="2B512719"/>
    <w:rsid w:val="2B5B3CD7"/>
    <w:rsid w:val="2C0B0A8B"/>
    <w:rsid w:val="2C1F2BF4"/>
    <w:rsid w:val="2C251792"/>
    <w:rsid w:val="2C983657"/>
    <w:rsid w:val="2CD27901"/>
    <w:rsid w:val="2CFB72F6"/>
    <w:rsid w:val="2D2F546B"/>
    <w:rsid w:val="2D93177B"/>
    <w:rsid w:val="2E9A7907"/>
    <w:rsid w:val="2EA93D8D"/>
    <w:rsid w:val="2F007B64"/>
    <w:rsid w:val="2F0D4312"/>
    <w:rsid w:val="2F562DD0"/>
    <w:rsid w:val="2F6D6BCB"/>
    <w:rsid w:val="2F9A266F"/>
    <w:rsid w:val="2FFF4815"/>
    <w:rsid w:val="302C0E72"/>
    <w:rsid w:val="302C73CA"/>
    <w:rsid w:val="3093134E"/>
    <w:rsid w:val="309B6D55"/>
    <w:rsid w:val="30D2010F"/>
    <w:rsid w:val="31051430"/>
    <w:rsid w:val="31084241"/>
    <w:rsid w:val="31500984"/>
    <w:rsid w:val="31512A33"/>
    <w:rsid w:val="3152713C"/>
    <w:rsid w:val="316324A4"/>
    <w:rsid w:val="31662188"/>
    <w:rsid w:val="318F7AB7"/>
    <w:rsid w:val="31AE1DA0"/>
    <w:rsid w:val="31D5471A"/>
    <w:rsid w:val="31E230D5"/>
    <w:rsid w:val="31F14856"/>
    <w:rsid w:val="31F71EEF"/>
    <w:rsid w:val="320F64C2"/>
    <w:rsid w:val="32150149"/>
    <w:rsid w:val="322C7CB4"/>
    <w:rsid w:val="32371598"/>
    <w:rsid w:val="32776097"/>
    <w:rsid w:val="32BB2CF5"/>
    <w:rsid w:val="32C72A44"/>
    <w:rsid w:val="32CB2D73"/>
    <w:rsid w:val="32E72D0F"/>
    <w:rsid w:val="32EE539F"/>
    <w:rsid w:val="335F22C3"/>
    <w:rsid w:val="33B619E8"/>
    <w:rsid w:val="33C00BE7"/>
    <w:rsid w:val="33DC2D20"/>
    <w:rsid w:val="34082633"/>
    <w:rsid w:val="340A48D2"/>
    <w:rsid w:val="343E33F3"/>
    <w:rsid w:val="34590AAC"/>
    <w:rsid w:val="35FFFF8C"/>
    <w:rsid w:val="3605710E"/>
    <w:rsid w:val="360B2F96"/>
    <w:rsid w:val="360F4E13"/>
    <w:rsid w:val="363A5F9A"/>
    <w:rsid w:val="367B6CB1"/>
    <w:rsid w:val="36A27847"/>
    <w:rsid w:val="36AE7610"/>
    <w:rsid w:val="36CB7C1F"/>
    <w:rsid w:val="36E908DD"/>
    <w:rsid w:val="36EA5301"/>
    <w:rsid w:val="37E9124B"/>
    <w:rsid w:val="38136C1F"/>
    <w:rsid w:val="389A417E"/>
    <w:rsid w:val="38C51318"/>
    <w:rsid w:val="38E9142F"/>
    <w:rsid w:val="38F77087"/>
    <w:rsid w:val="39060C4B"/>
    <w:rsid w:val="39076359"/>
    <w:rsid w:val="391C0DB2"/>
    <w:rsid w:val="391C6255"/>
    <w:rsid w:val="394D5050"/>
    <w:rsid w:val="39EE4D33"/>
    <w:rsid w:val="3A0B4177"/>
    <w:rsid w:val="3A6E5744"/>
    <w:rsid w:val="3B023A23"/>
    <w:rsid w:val="3B163AF9"/>
    <w:rsid w:val="3B176133"/>
    <w:rsid w:val="3B47325A"/>
    <w:rsid w:val="3B9E6238"/>
    <w:rsid w:val="3BA772E4"/>
    <w:rsid w:val="3C6372D4"/>
    <w:rsid w:val="3C7E0105"/>
    <w:rsid w:val="3C8F2361"/>
    <w:rsid w:val="3CA12BBC"/>
    <w:rsid w:val="3CA9026E"/>
    <w:rsid w:val="3D00702C"/>
    <w:rsid w:val="3D092370"/>
    <w:rsid w:val="3D095D17"/>
    <w:rsid w:val="3D967DEC"/>
    <w:rsid w:val="3D9C2E1D"/>
    <w:rsid w:val="3DA33CAA"/>
    <w:rsid w:val="3DB322B5"/>
    <w:rsid w:val="3DCC7238"/>
    <w:rsid w:val="3DDED25E"/>
    <w:rsid w:val="3DE75F2E"/>
    <w:rsid w:val="3DFC64B7"/>
    <w:rsid w:val="3E194075"/>
    <w:rsid w:val="3E1E2770"/>
    <w:rsid w:val="3E256231"/>
    <w:rsid w:val="3E63589F"/>
    <w:rsid w:val="3E836507"/>
    <w:rsid w:val="3E9F2E3B"/>
    <w:rsid w:val="3EADE2CF"/>
    <w:rsid w:val="3EB817D6"/>
    <w:rsid w:val="3EFF9774"/>
    <w:rsid w:val="3F150C14"/>
    <w:rsid w:val="3F55124F"/>
    <w:rsid w:val="3F5F1610"/>
    <w:rsid w:val="3F6D3F7F"/>
    <w:rsid w:val="3FB50084"/>
    <w:rsid w:val="3FC04BD1"/>
    <w:rsid w:val="3FFE1C1A"/>
    <w:rsid w:val="40115D34"/>
    <w:rsid w:val="40290856"/>
    <w:rsid w:val="407A3DD9"/>
    <w:rsid w:val="40865727"/>
    <w:rsid w:val="40936717"/>
    <w:rsid w:val="40F76E76"/>
    <w:rsid w:val="40FA7E97"/>
    <w:rsid w:val="412D1F6A"/>
    <w:rsid w:val="41DB1036"/>
    <w:rsid w:val="41EF648D"/>
    <w:rsid w:val="420C6B80"/>
    <w:rsid w:val="4211523D"/>
    <w:rsid w:val="423B2A17"/>
    <w:rsid w:val="423E4254"/>
    <w:rsid w:val="4262777A"/>
    <w:rsid w:val="426D1FF4"/>
    <w:rsid w:val="42A53A34"/>
    <w:rsid w:val="42C17AE8"/>
    <w:rsid w:val="430446AD"/>
    <w:rsid w:val="430D2D36"/>
    <w:rsid w:val="4337766D"/>
    <w:rsid w:val="437D1C93"/>
    <w:rsid w:val="43B80DFB"/>
    <w:rsid w:val="43F34D83"/>
    <w:rsid w:val="44140DE3"/>
    <w:rsid w:val="44461D84"/>
    <w:rsid w:val="44705FE5"/>
    <w:rsid w:val="44B06646"/>
    <w:rsid w:val="455B16A4"/>
    <w:rsid w:val="455D4DCA"/>
    <w:rsid w:val="4609479F"/>
    <w:rsid w:val="462230E0"/>
    <w:rsid w:val="4623579B"/>
    <w:rsid w:val="467B4983"/>
    <w:rsid w:val="46C3184A"/>
    <w:rsid w:val="46D0428D"/>
    <w:rsid w:val="46EA4CA4"/>
    <w:rsid w:val="46F95063"/>
    <w:rsid w:val="46FD15EC"/>
    <w:rsid w:val="471145A5"/>
    <w:rsid w:val="471A74C5"/>
    <w:rsid w:val="47621600"/>
    <w:rsid w:val="47691FE3"/>
    <w:rsid w:val="478C42D4"/>
    <w:rsid w:val="478D0F39"/>
    <w:rsid w:val="47956E4B"/>
    <w:rsid w:val="47BE1DEA"/>
    <w:rsid w:val="487F57AA"/>
    <w:rsid w:val="48CB04D2"/>
    <w:rsid w:val="48D6616A"/>
    <w:rsid w:val="491F5133"/>
    <w:rsid w:val="49435888"/>
    <w:rsid w:val="49F911E6"/>
    <w:rsid w:val="4A097D9C"/>
    <w:rsid w:val="4A1225EF"/>
    <w:rsid w:val="4A2002DA"/>
    <w:rsid w:val="4A486A7F"/>
    <w:rsid w:val="4A584E4C"/>
    <w:rsid w:val="4A5D6296"/>
    <w:rsid w:val="4A7D0395"/>
    <w:rsid w:val="4AAC0350"/>
    <w:rsid w:val="4AB3395C"/>
    <w:rsid w:val="4AB604FA"/>
    <w:rsid w:val="4ADA0DA8"/>
    <w:rsid w:val="4AF62CA4"/>
    <w:rsid w:val="4B132A4D"/>
    <w:rsid w:val="4B223A05"/>
    <w:rsid w:val="4B305CF6"/>
    <w:rsid w:val="4B763BB6"/>
    <w:rsid w:val="4B9E1689"/>
    <w:rsid w:val="4BCB178E"/>
    <w:rsid w:val="4BD648BD"/>
    <w:rsid w:val="4C026C7D"/>
    <w:rsid w:val="4C0320DA"/>
    <w:rsid w:val="4C336AA9"/>
    <w:rsid w:val="4C8F7773"/>
    <w:rsid w:val="4CA23D3D"/>
    <w:rsid w:val="4CA253C0"/>
    <w:rsid w:val="4CBB3612"/>
    <w:rsid w:val="4CC05A3B"/>
    <w:rsid w:val="4CC11218"/>
    <w:rsid w:val="4CC27C2B"/>
    <w:rsid w:val="4CC373DE"/>
    <w:rsid w:val="4D3A1C7E"/>
    <w:rsid w:val="4D5F23BA"/>
    <w:rsid w:val="4D8A566D"/>
    <w:rsid w:val="4DB119AB"/>
    <w:rsid w:val="4DB600A9"/>
    <w:rsid w:val="4E0706E5"/>
    <w:rsid w:val="4E990D34"/>
    <w:rsid w:val="4EA57CA0"/>
    <w:rsid w:val="4EC272BA"/>
    <w:rsid w:val="4EDC52E8"/>
    <w:rsid w:val="4F6965B4"/>
    <w:rsid w:val="4F7F1B71"/>
    <w:rsid w:val="4FAE64BA"/>
    <w:rsid w:val="4FD76272"/>
    <w:rsid w:val="4FF5394C"/>
    <w:rsid w:val="500B2BF2"/>
    <w:rsid w:val="50306A4D"/>
    <w:rsid w:val="503E2F88"/>
    <w:rsid w:val="504210FB"/>
    <w:rsid w:val="50951BC2"/>
    <w:rsid w:val="50B362DB"/>
    <w:rsid w:val="50B90FD6"/>
    <w:rsid w:val="50C165A7"/>
    <w:rsid w:val="50C54960"/>
    <w:rsid w:val="5116609F"/>
    <w:rsid w:val="512B022C"/>
    <w:rsid w:val="515B4455"/>
    <w:rsid w:val="51660C3A"/>
    <w:rsid w:val="51A462A2"/>
    <w:rsid w:val="51B91B50"/>
    <w:rsid w:val="51BB05CA"/>
    <w:rsid w:val="51CE363C"/>
    <w:rsid w:val="51F211A7"/>
    <w:rsid w:val="521772D9"/>
    <w:rsid w:val="522C2C97"/>
    <w:rsid w:val="524B7635"/>
    <w:rsid w:val="52532DDF"/>
    <w:rsid w:val="525C0E6E"/>
    <w:rsid w:val="52B5169B"/>
    <w:rsid w:val="52CF3737"/>
    <w:rsid w:val="52D83649"/>
    <w:rsid w:val="532A4FBA"/>
    <w:rsid w:val="532D7D5B"/>
    <w:rsid w:val="536731AF"/>
    <w:rsid w:val="538E5191"/>
    <w:rsid w:val="53BA2BB1"/>
    <w:rsid w:val="53C2256E"/>
    <w:rsid w:val="53C40D8B"/>
    <w:rsid w:val="53DE7180"/>
    <w:rsid w:val="540A6235"/>
    <w:rsid w:val="540E7E77"/>
    <w:rsid w:val="542E43DF"/>
    <w:rsid w:val="543B1C87"/>
    <w:rsid w:val="545D02C5"/>
    <w:rsid w:val="5473452F"/>
    <w:rsid w:val="547A45A3"/>
    <w:rsid w:val="54B82352"/>
    <w:rsid w:val="54BC3A14"/>
    <w:rsid w:val="54C745E5"/>
    <w:rsid w:val="54CB7E4D"/>
    <w:rsid w:val="54CF70C0"/>
    <w:rsid w:val="54E212BF"/>
    <w:rsid w:val="5555BAD6"/>
    <w:rsid w:val="55B36B6A"/>
    <w:rsid w:val="56183C11"/>
    <w:rsid w:val="56521151"/>
    <w:rsid w:val="565E1F2A"/>
    <w:rsid w:val="56707022"/>
    <w:rsid w:val="56DD4B1A"/>
    <w:rsid w:val="56F8CD46"/>
    <w:rsid w:val="57077B1F"/>
    <w:rsid w:val="572737D4"/>
    <w:rsid w:val="57690565"/>
    <w:rsid w:val="57C235A1"/>
    <w:rsid w:val="58281DAD"/>
    <w:rsid w:val="587D306A"/>
    <w:rsid w:val="588549D7"/>
    <w:rsid w:val="58921889"/>
    <w:rsid w:val="5911167A"/>
    <w:rsid w:val="599B33A9"/>
    <w:rsid w:val="59BE4571"/>
    <w:rsid w:val="5A0B3B41"/>
    <w:rsid w:val="5A13099C"/>
    <w:rsid w:val="5A9732B0"/>
    <w:rsid w:val="5ACC20B5"/>
    <w:rsid w:val="5AF01A03"/>
    <w:rsid w:val="5B0A4D50"/>
    <w:rsid w:val="5B186C70"/>
    <w:rsid w:val="5B1B48DD"/>
    <w:rsid w:val="5B314730"/>
    <w:rsid w:val="5B372851"/>
    <w:rsid w:val="5B7D5112"/>
    <w:rsid w:val="5BB86723"/>
    <w:rsid w:val="5C001835"/>
    <w:rsid w:val="5C446D8E"/>
    <w:rsid w:val="5C910E97"/>
    <w:rsid w:val="5CAE3A23"/>
    <w:rsid w:val="5CB04653"/>
    <w:rsid w:val="5D3B4D5A"/>
    <w:rsid w:val="5D4347A8"/>
    <w:rsid w:val="5D5626C5"/>
    <w:rsid w:val="5D78085E"/>
    <w:rsid w:val="5D823AF6"/>
    <w:rsid w:val="5DB03954"/>
    <w:rsid w:val="5DE47C24"/>
    <w:rsid w:val="5DEE492B"/>
    <w:rsid w:val="5E2971F1"/>
    <w:rsid w:val="5E8E726D"/>
    <w:rsid w:val="5EC97B98"/>
    <w:rsid w:val="5ED45B59"/>
    <w:rsid w:val="5F3A2BD0"/>
    <w:rsid w:val="5F62523D"/>
    <w:rsid w:val="5F687973"/>
    <w:rsid w:val="5FA3339F"/>
    <w:rsid w:val="5FCF3B55"/>
    <w:rsid w:val="5FFC5F36"/>
    <w:rsid w:val="60311A25"/>
    <w:rsid w:val="609D282A"/>
    <w:rsid w:val="60AE4206"/>
    <w:rsid w:val="61247B7E"/>
    <w:rsid w:val="61313EA5"/>
    <w:rsid w:val="613759C7"/>
    <w:rsid w:val="613A1F28"/>
    <w:rsid w:val="61512876"/>
    <w:rsid w:val="61740DD1"/>
    <w:rsid w:val="617F4EDF"/>
    <w:rsid w:val="618D7C5A"/>
    <w:rsid w:val="621D7E58"/>
    <w:rsid w:val="622C0A76"/>
    <w:rsid w:val="624E595E"/>
    <w:rsid w:val="62767AB0"/>
    <w:rsid w:val="62D169AA"/>
    <w:rsid w:val="63154BFB"/>
    <w:rsid w:val="63A60160"/>
    <w:rsid w:val="63D879C7"/>
    <w:rsid w:val="645C7AEC"/>
    <w:rsid w:val="645E06D1"/>
    <w:rsid w:val="649B7921"/>
    <w:rsid w:val="64C20872"/>
    <w:rsid w:val="64F44704"/>
    <w:rsid w:val="65034F39"/>
    <w:rsid w:val="6518764C"/>
    <w:rsid w:val="65190072"/>
    <w:rsid w:val="656929C2"/>
    <w:rsid w:val="65A50FEE"/>
    <w:rsid w:val="65BF757F"/>
    <w:rsid w:val="65DD0450"/>
    <w:rsid w:val="66097775"/>
    <w:rsid w:val="661E127B"/>
    <w:rsid w:val="66220A4F"/>
    <w:rsid w:val="66236A4E"/>
    <w:rsid w:val="664C5760"/>
    <w:rsid w:val="66D62AEE"/>
    <w:rsid w:val="67013D31"/>
    <w:rsid w:val="67133306"/>
    <w:rsid w:val="67306BE0"/>
    <w:rsid w:val="67315279"/>
    <w:rsid w:val="67365320"/>
    <w:rsid w:val="67401532"/>
    <w:rsid w:val="675B41BB"/>
    <w:rsid w:val="67644EC0"/>
    <w:rsid w:val="67777C7B"/>
    <w:rsid w:val="677E135E"/>
    <w:rsid w:val="679DAEA0"/>
    <w:rsid w:val="679F742C"/>
    <w:rsid w:val="67DD199C"/>
    <w:rsid w:val="67FFEA7F"/>
    <w:rsid w:val="680B50C0"/>
    <w:rsid w:val="682720AF"/>
    <w:rsid w:val="682D5A0F"/>
    <w:rsid w:val="6891387B"/>
    <w:rsid w:val="68BF48E5"/>
    <w:rsid w:val="68FB6770"/>
    <w:rsid w:val="6917528E"/>
    <w:rsid w:val="694879E0"/>
    <w:rsid w:val="699E24B0"/>
    <w:rsid w:val="69B72197"/>
    <w:rsid w:val="69B7556A"/>
    <w:rsid w:val="69C7798C"/>
    <w:rsid w:val="6A01443E"/>
    <w:rsid w:val="6A5167DD"/>
    <w:rsid w:val="6A5E2D0C"/>
    <w:rsid w:val="6AE93FAC"/>
    <w:rsid w:val="6B653C2E"/>
    <w:rsid w:val="6B807237"/>
    <w:rsid w:val="6B936B27"/>
    <w:rsid w:val="6BCB077C"/>
    <w:rsid w:val="6BD64C7A"/>
    <w:rsid w:val="6C491EE3"/>
    <w:rsid w:val="6C4A6068"/>
    <w:rsid w:val="6C505826"/>
    <w:rsid w:val="6C7712C0"/>
    <w:rsid w:val="6D204681"/>
    <w:rsid w:val="6DEF7A91"/>
    <w:rsid w:val="6E021D44"/>
    <w:rsid w:val="6E307A18"/>
    <w:rsid w:val="6E460A77"/>
    <w:rsid w:val="6E5219C4"/>
    <w:rsid w:val="6E580F00"/>
    <w:rsid w:val="6E6B7644"/>
    <w:rsid w:val="6E87670E"/>
    <w:rsid w:val="6EAB67A2"/>
    <w:rsid w:val="6EDF9F88"/>
    <w:rsid w:val="6F115710"/>
    <w:rsid w:val="6F1308F7"/>
    <w:rsid w:val="6F1A38B9"/>
    <w:rsid w:val="6F263E79"/>
    <w:rsid w:val="6F331E3C"/>
    <w:rsid w:val="6F5F7285"/>
    <w:rsid w:val="6F7217BD"/>
    <w:rsid w:val="6F7D591F"/>
    <w:rsid w:val="6FB03A73"/>
    <w:rsid w:val="6FDCA101"/>
    <w:rsid w:val="6FFF1137"/>
    <w:rsid w:val="701E049C"/>
    <w:rsid w:val="702F5818"/>
    <w:rsid w:val="7033678C"/>
    <w:rsid w:val="703F02DE"/>
    <w:rsid w:val="70744646"/>
    <w:rsid w:val="707E25A5"/>
    <w:rsid w:val="70AA6157"/>
    <w:rsid w:val="70BC2319"/>
    <w:rsid w:val="70CA74DD"/>
    <w:rsid w:val="70FD607B"/>
    <w:rsid w:val="710709BF"/>
    <w:rsid w:val="714C24C8"/>
    <w:rsid w:val="716C2F68"/>
    <w:rsid w:val="71722EF2"/>
    <w:rsid w:val="71A563EF"/>
    <w:rsid w:val="72155B60"/>
    <w:rsid w:val="72A71ACE"/>
    <w:rsid w:val="72CE2D6D"/>
    <w:rsid w:val="72D74C26"/>
    <w:rsid w:val="72DF2A7D"/>
    <w:rsid w:val="72EA06D5"/>
    <w:rsid w:val="72FE3491"/>
    <w:rsid w:val="733305D6"/>
    <w:rsid w:val="736D1A90"/>
    <w:rsid w:val="737531AF"/>
    <w:rsid w:val="737E0F0A"/>
    <w:rsid w:val="739470FD"/>
    <w:rsid w:val="73964026"/>
    <w:rsid w:val="73B473E1"/>
    <w:rsid w:val="73C55078"/>
    <w:rsid w:val="73CC4789"/>
    <w:rsid w:val="73CD5AA8"/>
    <w:rsid w:val="73F30E08"/>
    <w:rsid w:val="73F86107"/>
    <w:rsid w:val="74050083"/>
    <w:rsid w:val="74311DD7"/>
    <w:rsid w:val="74C55BED"/>
    <w:rsid w:val="74F673B8"/>
    <w:rsid w:val="75CE5ECE"/>
    <w:rsid w:val="75EB64FF"/>
    <w:rsid w:val="75FC58D2"/>
    <w:rsid w:val="75FE4AC0"/>
    <w:rsid w:val="760F7218"/>
    <w:rsid w:val="765D255D"/>
    <w:rsid w:val="766A32CC"/>
    <w:rsid w:val="766D4403"/>
    <w:rsid w:val="76AC6192"/>
    <w:rsid w:val="76C0223F"/>
    <w:rsid w:val="76CA76E5"/>
    <w:rsid w:val="76DB6D68"/>
    <w:rsid w:val="76F032FB"/>
    <w:rsid w:val="76F31483"/>
    <w:rsid w:val="76F73D2F"/>
    <w:rsid w:val="771C236C"/>
    <w:rsid w:val="77243CE4"/>
    <w:rsid w:val="772B6588"/>
    <w:rsid w:val="772D763A"/>
    <w:rsid w:val="77A7FA0A"/>
    <w:rsid w:val="77CF090B"/>
    <w:rsid w:val="77E2F0D6"/>
    <w:rsid w:val="77EA5CD6"/>
    <w:rsid w:val="77F62BBD"/>
    <w:rsid w:val="77FE79AE"/>
    <w:rsid w:val="78136CD8"/>
    <w:rsid w:val="783E021D"/>
    <w:rsid w:val="78814E39"/>
    <w:rsid w:val="78B05125"/>
    <w:rsid w:val="78DB143B"/>
    <w:rsid w:val="78FF5057"/>
    <w:rsid w:val="794E6373"/>
    <w:rsid w:val="79783DF7"/>
    <w:rsid w:val="79C5655C"/>
    <w:rsid w:val="79DC29FA"/>
    <w:rsid w:val="79F370AB"/>
    <w:rsid w:val="7A468985"/>
    <w:rsid w:val="7A562D6F"/>
    <w:rsid w:val="7A738A97"/>
    <w:rsid w:val="7A85061D"/>
    <w:rsid w:val="7A983E92"/>
    <w:rsid w:val="7ACF29CE"/>
    <w:rsid w:val="7ACF5982"/>
    <w:rsid w:val="7AFD615C"/>
    <w:rsid w:val="7B333E11"/>
    <w:rsid w:val="7B8B699F"/>
    <w:rsid w:val="7B8D5BFB"/>
    <w:rsid w:val="7BD77DBE"/>
    <w:rsid w:val="7BF78621"/>
    <w:rsid w:val="7BFF2097"/>
    <w:rsid w:val="7C2B2678"/>
    <w:rsid w:val="7C630813"/>
    <w:rsid w:val="7CA84EBE"/>
    <w:rsid w:val="7CBA27B2"/>
    <w:rsid w:val="7CC059C5"/>
    <w:rsid w:val="7CCE32B6"/>
    <w:rsid w:val="7D0822E1"/>
    <w:rsid w:val="7D091ACB"/>
    <w:rsid w:val="7D594663"/>
    <w:rsid w:val="7D6D53B9"/>
    <w:rsid w:val="7DAC6B23"/>
    <w:rsid w:val="7DBE0E54"/>
    <w:rsid w:val="7DC55BDA"/>
    <w:rsid w:val="7DC649DE"/>
    <w:rsid w:val="7DD72F4E"/>
    <w:rsid w:val="7E012734"/>
    <w:rsid w:val="7E165470"/>
    <w:rsid w:val="7E3776CB"/>
    <w:rsid w:val="7E5F6A92"/>
    <w:rsid w:val="7E8A101F"/>
    <w:rsid w:val="7EA12B80"/>
    <w:rsid w:val="7F0B6ABB"/>
    <w:rsid w:val="7F0D03A1"/>
    <w:rsid w:val="7F20023A"/>
    <w:rsid w:val="7F3D49D7"/>
    <w:rsid w:val="7F740676"/>
    <w:rsid w:val="7F8E7A30"/>
    <w:rsid w:val="7FBF6B26"/>
    <w:rsid w:val="7FD73C43"/>
    <w:rsid w:val="7FDC261A"/>
    <w:rsid w:val="7FDF2205"/>
    <w:rsid w:val="7FE00D50"/>
    <w:rsid w:val="7FE7D22C"/>
    <w:rsid w:val="7FEF5786"/>
    <w:rsid w:val="7FF82578"/>
    <w:rsid w:val="7FFD8066"/>
    <w:rsid w:val="A7B5EAC5"/>
    <w:rsid w:val="B7BF04C9"/>
    <w:rsid w:val="B7C79D62"/>
    <w:rsid w:val="B7FF4FFD"/>
    <w:rsid w:val="B7FF516A"/>
    <w:rsid w:val="BDF1B7A1"/>
    <w:rsid w:val="BEFD0621"/>
    <w:rsid w:val="BFBEC169"/>
    <w:rsid w:val="CEBFD4AD"/>
    <w:rsid w:val="CFEB8A27"/>
    <w:rsid w:val="DD6F781C"/>
    <w:rsid w:val="E25BD213"/>
    <w:rsid w:val="E4EB113B"/>
    <w:rsid w:val="EA7038D0"/>
    <w:rsid w:val="F73ACC70"/>
    <w:rsid w:val="F7793F86"/>
    <w:rsid w:val="F79C1E13"/>
    <w:rsid w:val="F7ED5A37"/>
    <w:rsid w:val="F7EF461E"/>
    <w:rsid w:val="FBD7E673"/>
    <w:rsid w:val="FD0DAC42"/>
    <w:rsid w:val="FD7D0148"/>
    <w:rsid w:val="FE6E1BCF"/>
    <w:rsid w:val="FFA786A4"/>
    <w:rsid w:val="FFE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szCs w:val="20"/>
    </w:rPr>
  </w:style>
  <w:style w:type="paragraph" w:styleId="4">
    <w:name w:val="heading 2"/>
    <w:basedOn w:val="1"/>
    <w:next w:val="1"/>
    <w:qFormat/>
    <w:uiPriority w:val="0"/>
    <w:pPr>
      <w:outlineLvl w:val="1"/>
    </w:pPr>
    <w:rPr>
      <w:b/>
      <w:bCs/>
    </w:rPr>
  </w:style>
  <w:style w:type="paragraph" w:styleId="5">
    <w:name w:val="heading 4"/>
    <w:basedOn w:val="1"/>
    <w:next w:val="1"/>
    <w:unhideWhenUsed/>
    <w:qFormat/>
    <w:uiPriority w:val="0"/>
    <w:pPr>
      <w:keepNext/>
      <w:keepLines/>
      <w:widowControl w:val="0"/>
      <w:spacing w:before="280" w:after="290" w:line="376" w:lineRule="auto"/>
      <w:jc w:val="both"/>
      <w:outlineLvl w:val="3"/>
    </w:pPr>
    <w:rPr>
      <w:rFonts w:ascii="Cambria" w:hAnsi="Cambria" w:eastAsia="宋体" w:cs="Times New Roman"/>
      <w:bCs/>
      <w:kern w:val="2"/>
      <w:sz w:val="21"/>
      <w:szCs w:val="28"/>
      <w:lang w:val="en-US" w:eastAsia="zh-CN" w:bidi="ar-SA"/>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ind w:firstLine="640" w:firstLineChars="200"/>
    </w:pPr>
    <w:rPr>
      <w:rFonts w:ascii="仿宋_GB2312" w:hAnsi="宋体" w:eastAsia="仿宋_GB2312"/>
      <w:kern w:val="0"/>
      <w:sz w:val="32"/>
    </w:rPr>
  </w:style>
  <w:style w:type="paragraph" w:styleId="6">
    <w:name w:val="Body Text"/>
    <w:basedOn w:val="1"/>
    <w:next w:val="1"/>
    <w:qFormat/>
    <w:uiPriority w:val="0"/>
    <w:pPr>
      <w:widowControl w:val="0"/>
      <w:jc w:val="center"/>
    </w:pPr>
    <w:rPr>
      <w:rFonts w:ascii="仿宋_GB2312" w:hAnsi="Times New Roman" w:eastAsia="仿宋_GB2312" w:cs="Times New Roman"/>
      <w:kern w:val="2"/>
      <w:sz w:val="44"/>
      <w:szCs w:val="20"/>
      <w:lang w:val="en-US" w:eastAsia="zh-CN" w:bidi="ar-SA"/>
    </w:rPr>
  </w:style>
  <w:style w:type="paragraph" w:styleId="7">
    <w:name w:val="toc 3"/>
    <w:basedOn w:val="1"/>
    <w:next w:val="1"/>
    <w:qFormat/>
    <w:uiPriority w:val="0"/>
    <w:pPr>
      <w:widowControl w:val="0"/>
      <w:spacing w:line="560" w:lineRule="exact"/>
      <w:ind w:left="420" w:right="-27" w:rightChars="-27" w:firstLine="200" w:firstLineChars="200"/>
      <w:jc w:val="both"/>
    </w:pPr>
    <w:rPr>
      <w:rFonts w:ascii="等线" w:hAnsi="等线" w:eastAsia="等线" w:cs="Times New Roman"/>
      <w:b/>
      <w:kern w:val="2"/>
      <w:sz w:val="30"/>
      <w:szCs w:val="30"/>
      <w:lang w:val="en-US" w:eastAsia="zh-CN" w:bidi="ar-SA"/>
    </w:rPr>
  </w:style>
  <w:style w:type="paragraph" w:styleId="8">
    <w:name w:val="Plain Text"/>
    <w:basedOn w:val="1"/>
    <w:next w:val="1"/>
    <w:qFormat/>
    <w:uiPriority w:val="0"/>
    <w:rPr>
      <w:rFonts w:ascii="宋体" w:hAnsi="Courier New" w:cs="Courier New"/>
      <w:szCs w:val="21"/>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index 9"/>
    <w:basedOn w:val="1"/>
    <w:next w:val="1"/>
    <w:qFormat/>
    <w:uiPriority w:val="0"/>
    <w:pPr>
      <w:ind w:left="3360" w:firstLine="420"/>
      <w:jc w:val="left"/>
    </w:pPr>
    <w:rPr>
      <w:szCs w:val="20"/>
    </w:rPr>
  </w:style>
  <w:style w:type="paragraph" w:styleId="12">
    <w:name w:val="Body Text 2"/>
    <w:qFormat/>
    <w:uiPriority w:val="0"/>
    <w:pPr>
      <w:widowControl w:val="0"/>
      <w:jc w:val="center"/>
    </w:pPr>
    <w:rPr>
      <w:rFonts w:ascii="Times New Roman" w:hAnsi="Times New Roman" w:eastAsia="新宋体" w:cs="Times New Roman"/>
      <w:b/>
      <w:kern w:val="2"/>
      <w:sz w:val="44"/>
      <w:szCs w:val="20"/>
      <w:lang w:val="en-US" w:eastAsia="zh-CN" w:bidi="ar-SA"/>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Body Text First Indent"/>
    <w:basedOn w:val="6"/>
    <w:qFormat/>
    <w:uiPriority w:val="0"/>
    <w:pPr>
      <w:ind w:firstLine="420" w:firstLineChars="100"/>
    </w:pPr>
    <w:rPr>
      <w:rFonts w:ascii="仿宋_GB2312" w:eastAsia="仿宋_GB2312"/>
      <w:sz w:val="32"/>
      <w:szCs w:val="32"/>
    </w:rPr>
  </w:style>
  <w:style w:type="table" w:styleId="1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basedOn w:val="18"/>
    <w:qFormat/>
    <w:uiPriority w:val="0"/>
    <w:rPr>
      <w:color w:val="0000FF"/>
      <w:u w:val="single"/>
    </w:rPr>
  </w:style>
  <w:style w:type="paragraph" w:customStyle="1" w:styleId="21">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22">
    <w:name w:val="正文-公1"/>
    <w:next w:val="1"/>
    <w:qFormat/>
    <w:uiPriority w:val="0"/>
    <w:pPr>
      <w:widowControl w:val="0"/>
      <w:ind w:firstLine="200" w:firstLineChars="200"/>
    </w:pPr>
    <w:rPr>
      <w:rFonts w:ascii="Times New Roman" w:hAnsi="Times New Roman" w:eastAsia="仿宋_GB2312" w:cs="Times New Roman"/>
      <w:kern w:val="2"/>
      <w:sz w:val="21"/>
      <w:szCs w:val="22"/>
      <w:lang w:val="en-US" w:eastAsia="zh-CN" w:bidi="ar-SA"/>
    </w:rPr>
  </w:style>
  <w:style w:type="paragraph" w:customStyle="1" w:styleId="23">
    <w:name w:val="目录 11"/>
    <w:next w:val="1"/>
    <w:qFormat/>
    <w:uiPriority w:val="0"/>
    <w:pPr>
      <w:wordWrap w:val="0"/>
      <w:jc w:val="both"/>
    </w:pPr>
    <w:rPr>
      <w:rFonts w:ascii="Calibri" w:hAnsi="Calibri" w:eastAsia="宋体" w:cs="Times New Roman"/>
      <w:sz w:val="21"/>
      <w:szCs w:val="22"/>
      <w:lang w:val="en-US" w:eastAsia="zh-CN" w:bidi="ar-SA"/>
    </w:rPr>
  </w:style>
  <w:style w:type="paragraph" w:customStyle="1" w:styleId="24">
    <w:name w:val="Body Text 21"/>
    <w:basedOn w:val="1"/>
    <w:qFormat/>
    <w:uiPriority w:val="99"/>
    <w:pPr>
      <w:spacing w:line="360" w:lineRule="auto"/>
      <w:ind w:firstLine="200" w:firstLineChars="200"/>
    </w:pPr>
  </w:style>
  <w:style w:type="character" w:customStyle="1" w:styleId="25">
    <w:name w:val="NormalCharacter"/>
    <w:qFormat/>
    <w:uiPriority w:val="0"/>
  </w:style>
  <w:style w:type="paragraph" w:customStyle="1" w:styleId="26">
    <w:name w:val="Body Text First Indent1"/>
    <w:basedOn w:val="6"/>
    <w:qFormat/>
    <w:uiPriority w:val="99"/>
    <w:pPr>
      <w:widowControl w:val="0"/>
      <w:ind w:firstLine="420"/>
      <w:jc w:val="center"/>
    </w:pPr>
    <w:rPr>
      <w:rFonts w:ascii="仿宋_GB2312" w:hAnsi="Calibri" w:eastAsia="仿宋_GB2312" w:cs="Times New Roman"/>
      <w:kern w:val="2"/>
      <w:sz w:val="44"/>
      <w:szCs w:val="20"/>
      <w:lang w:val="en-US" w:eastAsia="zh-CN" w:bidi="ar-SA"/>
    </w:rPr>
  </w:style>
  <w:style w:type="character" w:customStyle="1" w:styleId="27">
    <w:name w:val="unnamed2"/>
    <w:basedOn w:val="18"/>
    <w:qFormat/>
    <w:uiPriority w:val="0"/>
  </w:style>
  <w:style w:type="paragraph" w:customStyle="1" w:styleId="28">
    <w:name w:val="Default"/>
    <w:qFormat/>
    <w:uiPriority w:val="0"/>
    <w:pPr>
      <w:widowControl w:val="0"/>
      <w:autoSpaceDE w:val="0"/>
      <w:autoSpaceDN w:val="0"/>
      <w:adjustRightInd w:val="0"/>
    </w:pPr>
    <w:rPr>
      <w:rFonts w:ascii="方正小标宋_GBK" w:hAnsi="方正小标宋_GBK" w:eastAsia="宋体" w:cs="方正小标宋_GBK"/>
      <w:color w:val="000000"/>
      <w:sz w:val="24"/>
      <w:szCs w:val="24"/>
      <w:lang w:val="en-US" w:eastAsia="zh-CN" w:bidi="ar-SA"/>
    </w:rPr>
  </w:style>
  <w:style w:type="character" w:customStyle="1" w:styleId="29">
    <w:name w:val="fontstyle01"/>
    <w:basedOn w:val="18"/>
    <w:qFormat/>
    <w:uiPriority w:val="0"/>
    <w:rPr>
      <w:rFonts w:ascii="仿宋_GB2312" w:hAnsi="仿宋_GB2312" w:eastAsia="仿宋_GB2312" w:cs="仿宋_GB2312"/>
      <w:color w:val="000000"/>
      <w:sz w:val="32"/>
      <w:szCs w:val="32"/>
    </w:rPr>
  </w:style>
  <w:style w:type="character" w:customStyle="1" w:styleId="30">
    <w:name w:val="fontstyle11"/>
    <w:basedOn w:val="18"/>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2014-11-11T04:08:00Z</dcterms:created>
  <dc:creator>bf</dc:creator>
  <cp:lastModifiedBy>Administrator</cp:lastModifiedBy>
  <cp:lastPrinted>2023-03-02T03:30:00Z</cp:lastPrinted>
  <dcterms:modified xsi:type="dcterms:W3CDTF">2023-03-27T02:22:44Z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