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80" w:lineRule="exact"/>
        <w:textAlignment w:val="auto"/>
        <w:rPr>
          <w:rFonts w:hint="eastAsia" w:ascii="方正小标宋简体" w:hAnsi="小标宋" w:eastAsia="方正小标宋简体" w:cs="方正小标宋简体"/>
          <w:color w:val="FF0000"/>
          <w:w w:val="65"/>
          <w:sz w:val="90"/>
          <w:szCs w:val="90"/>
        </w:rPr>
      </w:pPr>
    </w:p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80" w:lineRule="exact"/>
        <w:textAlignment w:val="auto"/>
        <w:rPr>
          <w:rFonts w:hint="eastAsia" w:ascii="方正小标宋简体" w:hAnsi="小标宋" w:eastAsia="方正小标宋简体" w:cs="方正小标宋简体"/>
          <w:color w:val="FF0000"/>
          <w:w w:val="65"/>
          <w:sz w:val="90"/>
          <w:szCs w:val="90"/>
        </w:rPr>
      </w:pPr>
    </w:p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900" w:lineRule="exact"/>
        <w:textAlignment w:val="auto"/>
        <w:rPr>
          <w:rFonts w:ascii="方正小标宋简体" w:hAnsi="小标宋" w:eastAsia="方正小标宋简体"/>
          <w:color w:val="FF0000"/>
          <w:w w:val="65"/>
          <w:sz w:val="90"/>
          <w:szCs w:val="90"/>
        </w:rPr>
      </w:pPr>
      <w:r>
        <w:rPr>
          <w:rFonts w:hint="eastAsia" w:ascii="方正小标宋简体" w:hAnsi="小标宋" w:eastAsia="方正小标宋简体" w:cs="方正小标宋简体"/>
          <w:color w:val="FF0000"/>
          <w:w w:val="65"/>
          <w:sz w:val="90"/>
          <w:szCs w:val="90"/>
        </w:rPr>
        <w:t>北京市通州区人民政府办公室文件</w:t>
      </w:r>
    </w:p>
    <w:p>
      <w:pPr>
        <w:pStyle w:val="40"/>
        <w:keepNext w:val="0"/>
        <w:keepLines w:val="0"/>
        <w:pageBreakBefore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both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hanging="15"/>
        <w:jc w:val="center"/>
        <w:outlineLvl w:val="0"/>
        <w:rPr>
          <w:rFonts w:ascii="仿宋_GB2312" w:hAnsi="方正小标宋简体" w:eastAsia="仿宋_GB2312"/>
          <w:color w:val="000000"/>
          <w:sz w:val="32"/>
          <w:szCs w:val="32"/>
        </w:rPr>
      </w:pPr>
      <w:r>
        <w:rPr>
          <w:rFonts w:hint="eastAsia" w:ascii="仿宋_GB2312" w:hAnsi="方正小标宋简体" w:eastAsia="仿宋_GB2312" w:cs="仿宋_GB2312"/>
          <w:color w:val="000000"/>
          <w:sz w:val="32"/>
          <w:szCs w:val="32"/>
        </w:rPr>
        <w:t>通政办</w:t>
      </w:r>
      <w:r>
        <w:rPr>
          <w:rFonts w:hint="eastAsia" w:ascii="仿宋_GB2312" w:hAnsi="方正小标宋简体" w:eastAsia="仿宋_GB2312" w:cs="仿宋_GB2312"/>
          <w:color w:val="000000"/>
          <w:sz w:val="32"/>
          <w:szCs w:val="32"/>
          <w:lang w:eastAsia="zh-CN"/>
        </w:rPr>
        <w:t>发</w:t>
      </w:r>
      <w:r>
        <w:rPr>
          <w:rFonts w:hint="eastAsia" w:ascii="仿宋_GB2312" w:hAnsi="方正小标宋简体" w:eastAsia="仿宋_GB2312" w:cs="仿宋_GB2312"/>
          <w:color w:val="000000"/>
          <w:sz w:val="32"/>
          <w:szCs w:val="32"/>
        </w:rPr>
        <w:t>〔</w:t>
      </w:r>
      <w:r>
        <w:rPr>
          <w:rFonts w:ascii="仿宋_GB2312" w:hAnsi="方正小标宋简体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方正小标宋简体" w:eastAsia="仿宋_GB2312" w:cs="仿宋_GB2312"/>
          <w:color w:val="000000"/>
          <w:sz w:val="32"/>
          <w:szCs w:val="32"/>
        </w:rPr>
        <w:t>3〕</w:t>
      </w:r>
      <w:r>
        <w:rPr>
          <w:rFonts w:hint="eastAsia" w:ascii="仿宋_GB2312" w:hAnsi="方正小标宋简体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方正小标宋简体" w:eastAsia="仿宋_GB2312" w:cs="仿宋_GB2312"/>
          <w:color w:val="000000"/>
          <w:sz w:val="32"/>
          <w:szCs w:val="32"/>
        </w:rPr>
        <w:t>号</w:t>
      </w:r>
    </w:p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40" w:lineRule="exact"/>
        <w:jc w:val="both"/>
        <w:textAlignment w:val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600700" cy="635"/>
                <wp:effectExtent l="0" t="17145" r="0" b="2032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.6pt;height:0.05pt;width:441pt;z-index:251665408;mso-width-relative:page;mso-height-relative:page;" filled="f" stroked="t" coordsize="21600,21600" o:gfxdata="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CNb1OX0gAAAAQBAAAPAAAAAAAAAAEAIAAAADgAAABkcnMvZG93bnJldi54bWxQ&#10;SwECFAAUAAAACACHTuJAU9TXUucBAACpAwAADgAAAAAAAAABACAAAAA3AQAAZHJzL2Uyb0RvYy54&#10;bWxQSwUGAAAAAAYABgBZAQAAkAU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北京市通州区人民政府办公室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关于印发《北京城市副中心建设花园城市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实施方案》的通知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各街道办事处，各乡、镇人民政府，区政府各委、办、局，各区属机构：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经区政府同意，现将《北京城市副中心建设花园城市实施方案》印发给你们，请认真遵照执行。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_GB2312" w:hAnsi="楷体_GB2312" w:eastAsia="楷体_GB2312" w:cs="楷体_GB2312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楷体_GB2312" w:hAnsi="楷体_GB2312" w:eastAsia="楷体_GB2312" w:cs="楷体_GB2312"/>
          <w:sz w:val="32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28"/>
          <w:lang w:val="en-US" w:eastAsia="zh-CN"/>
        </w:rPr>
        <w:t xml:space="preserve">                         北京市通州区人民政府办公室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4838" w:firstLineChars="1512"/>
        <w:rPr>
          <w:rFonts w:hint="eastAsia" w:ascii="楷体_GB2312" w:hAnsi="楷体_GB2312" w:eastAsia="楷体_GB2312" w:cs="楷体_GB2312"/>
          <w:sz w:val="32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28"/>
          <w:lang w:val="en-US" w:eastAsia="zh-CN"/>
        </w:rPr>
        <w:t>2023年12月29日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北京城市副中心建设花园城市实施方案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1"/>
        <w:textAlignment w:val="auto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1"/>
        <w:textAlignment w:val="auto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sz w:val="32"/>
          <w:szCs w:val="32"/>
          <w:lang w:bidi="ar"/>
        </w:rPr>
        <w:t>北京作为大国首都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，应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着眼于新的历史时期首都发展的新要求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，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着眼于首都生态文明和“美丽中国”建设的超大城市实践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。花园城市是国际一流和谐宜居之都的本质要求。建设花园城市是落实党的二十大精神和习近平总书记“把北京建设得更美”重要指示精神的具体实践，是践行人与自然和谐共生现代化、建设美丽中国的北京方案。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花园城市的发展理念，是首都发展的阶段性的城市战略，是习近平总书记生态文明思想的重要组成部分。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1"/>
        <w:textAlignment w:val="auto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北京城市副中心作为北京新两翼的一翼、首个平原地区“国家森林城市”，生态环境良好，生态效益明显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文化底蕴丰厚，城市绿心、大运河森林公园、潮白河森林生态景观带等生态骨架基本成型，绿色城市、森林城市、海绵城市、智慧城市、人文城市、宜居城市建设成效显著，具备进一步打造“国际一流的和谐宜居之都”示范区的基础与特色优势。为深入践行习近平总书记在北京提出“一个城市的预期就是整个城市是一个大公园，老百姓走出来就像在自己家里的花园一样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城市建设新发展理念，积极回应总书记对北京市建设花园城市的殷切期许，构建蓝绿交织、清新明亮、水城共融的生态城市布局，助力国家绿色发展示范区建设，探索推进副中心花园城市建设，打造城市风貌与公园形态交织相融的美丽家园新路径，制定本实施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0"/>
        <w:rPr>
          <w:rFonts w:ascii="黑体" w:hAnsi="黑体" w:eastAsia="黑体" w:cs="Times New Roman"/>
          <w:kern w:val="44"/>
          <w:sz w:val="32"/>
          <w:szCs w:val="32"/>
        </w:rPr>
      </w:pPr>
      <w:r>
        <w:rPr>
          <w:rFonts w:hint="eastAsia" w:ascii="黑体" w:hAnsi="黑体" w:eastAsia="黑体" w:cs="Times New Roman"/>
          <w:kern w:val="44"/>
          <w:sz w:val="32"/>
          <w:szCs w:val="32"/>
        </w:rPr>
        <w:t>总体要求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0"/>
        <w:rPr>
          <w:rFonts w:ascii="楷体_GB2312" w:hAnsi="华文中宋" w:eastAsia="楷体_GB2312" w:cs="楷体_GB2312"/>
          <w:sz w:val="32"/>
          <w:szCs w:val="32"/>
        </w:rPr>
      </w:pPr>
      <w:r>
        <w:rPr>
          <w:rFonts w:hint="eastAsia" w:ascii="楷体_GB2312" w:hAnsi="华文中宋" w:eastAsia="楷体_GB2312" w:cs="楷体_GB2312"/>
          <w:sz w:val="32"/>
          <w:szCs w:val="32"/>
        </w:rPr>
        <w:t>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以习近平新时代中国特色社会主义思想为指导，全面贯彻党的二十大精神，完整、准确、全面贯彻新发展理念，突出首都“四个中心”核心功能，深入实施“三个北京”战略，坚持人民城市人民建、人民城市为人民，紧扣“七有”“五性”，加快构建新发展格局，将绿水青山就是金山银山理念贯穿城市发展全过程，充分彰显生态产品价值，推动生态文明与经济社会发展相得益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宋体" w:cs="Times New Roman"/>
          <w:szCs w:val="20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花园城市建设是以生态文明为引领，通过全社会参与、精细化治理，促进生产生活生态空间有机融合与城市绿色发展，实现“老百姓走出来就像是在自己家里的花园一样”的期望。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保持加强生态文明建设的战略定力，统筹落实副中心高质量发展要求</w:t>
      </w:r>
      <w:r>
        <w:rPr>
          <w:rFonts w:hint="eastAsia" w:ascii="仿宋_GB2312" w:hAnsi="Calibri" w:eastAsia="仿宋_GB2312" w:cs="Times New Roman"/>
          <w:sz w:val="32"/>
          <w:szCs w:val="32"/>
          <w:lang w:bidi="ar"/>
        </w:rPr>
        <w:t>，落实“+花园”“花园+”理念，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不断优化绿色空间布局，</w:t>
      </w:r>
      <w:r>
        <w:rPr>
          <w:rFonts w:hint="eastAsia" w:ascii="仿宋_GB2312" w:hAnsi="Times New Roman" w:eastAsia="仿宋_GB2312" w:cs="Times New Roman"/>
          <w:sz w:val="32"/>
          <w:szCs w:val="32"/>
          <w:lang w:bidi="ar"/>
        </w:rPr>
        <w:t>促进功能生态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有机融合，传承历史文化，构建分级分类的公园体系，建设便捷通达的绿道生态网络，提升城市多元化的服务功能，增强民众的精神生活获得感，实现高质量发展、高品质生活、高效能治理相结合，将整个副中心打造成一个山水人城和谐相融的副中心花园城市，让</w:t>
      </w:r>
      <w:r>
        <w:rPr>
          <w:rFonts w:hint="eastAsia" w:ascii="仿宋_GB2312" w:hAnsi="方正仿宋_GBK" w:eastAsia="仿宋_GB2312" w:cs="Times New Roman"/>
          <w:sz w:val="32"/>
          <w:szCs w:val="32"/>
        </w:rPr>
        <w:t>市民居住、工作、游憩、生活在一个大花园中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0"/>
        <w:rPr>
          <w:rFonts w:ascii="楷体_GB2312" w:hAnsi="华文中宋" w:eastAsia="楷体_GB2312" w:cs="楷体_GB2312"/>
          <w:sz w:val="32"/>
          <w:szCs w:val="32"/>
        </w:rPr>
      </w:pPr>
      <w:r>
        <w:rPr>
          <w:rFonts w:hint="eastAsia" w:ascii="楷体_GB2312" w:hAnsi="华文中宋" w:eastAsia="楷体_GB2312" w:cs="楷体_GB2312"/>
          <w:sz w:val="32"/>
          <w:szCs w:val="32"/>
        </w:rPr>
        <w:t>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坚持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人民至上、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服务群众。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聚焦人民群众需求，突出存量资源功能和质量的提升，合理安排生产生活生态空间，提升城市服务功能和城市韧性，创造宜业、宜居、宜乐、宜游的美好环境，让人民有更多获得感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坚持统筹协调，系统推进。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把城市作为有机生命体，强化总体统筹，协同推进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绿色城市、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森林城市、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海绵城市、智慧城市、人文城市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、宜居城市建设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打造副中心高质量发展的新特色、新亮点、新模式，综合助力世界一流和谐宜居之都建设。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坚持聚焦重点，创新思维。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弘扬生态文化，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重点通过生态空间格局构建、公园绿地提质增量、绿道网络全域串连、城市空间功能融入，量身定做副中心花园城市建设发展新模式，实现从“城市中建花园”到“花园中建城市”、从“空间建造”到“场景营造”的转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textAlignment w:val="auto"/>
        <w:outlineLvl w:val="1"/>
        <w:rPr>
          <w:rFonts w:ascii="Times New Roman" w:hAnsi="Times New Roman" w:eastAsia="宋体" w:cs="Times New Roman"/>
          <w:szCs w:val="2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坚持因地制宜，精准施策。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突出花园城市内涵，聚焦城市副中心建设用地选址、资金投入、后期运营中存在的难点堵点问题，破解用地指标、资金来源等瓶颈，构建符合副中心花园城市建设、可复制可推广的政策机制。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1"/>
        <w:outlineLvl w:val="1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坚持规划引领，试点先行。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统一规划花园城市建设布局，完善政策体系、技术标准，做到一张蓝图绘到底。探索示范区先试先行，“一区一特色”打造花园城市建设特色模式，不断积累经验，为全域推广提供借鉴。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1"/>
        <w:outlineLvl w:val="1"/>
        <w:rPr>
          <w:rFonts w:ascii="Times New Roman" w:hAnsi="Times New Roman" w:eastAsia="宋体" w:cs="Times New Roman"/>
          <w:szCs w:val="2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坚持绿色低碳，融合发展。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推动林地、绿地、湿地、水系等蓝绿空间与体育运动、休闲娱乐、文化旅游、科普教育等功能融合，提升生态资源价值，增强生态系统碳汇能力，推动形成绿色低碳的生产方式和生活方式。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坚持共建共享，社会参与。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发挥政府在花园城市建设、管理、保护、监督和投入等方面的主体作用，积极引导企业和市民参与花园城市建设，探索政府、企业、社会组织、市民四方参与建设运营的多元模式。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楷体_GB2312" w:hAnsi="华文中宋" w:eastAsia="楷体_GB2312" w:cs="楷体_GB2312"/>
          <w:sz w:val="32"/>
          <w:szCs w:val="32"/>
        </w:rPr>
      </w:pPr>
      <w:r>
        <w:rPr>
          <w:rFonts w:hint="eastAsia" w:ascii="楷体_GB2312" w:hAnsi="华文中宋" w:eastAsia="楷体_GB2312" w:cs="楷体_GB2312"/>
          <w:sz w:val="32"/>
          <w:szCs w:val="32"/>
        </w:rPr>
        <w:t>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到2025年，副中心花园城市示范区建设取得明显成效。城市空间形态持续优化，城市风貌与公园形态有机融合，绿网、绿楔、绿斑的城市网络逐渐形成，副中心全域公园体系日趋完善，居住区人均公园绿地500米服务半径覆盖率达到95%。副中心绿道骨架完成搭建，公园与绿道的联系全部打通，每万人拥有绿道长度达到2.3公里。河湖流域水环境持续改善，亲水空间陆续开放共享。公园综合服务功能大幅提升，体育、教育等专类公园类型日渐丰富。城市“金边银角”空间充分利用，存量、闲置资源与生态、体育、文化、消费等功能业态充分融合，城市空间形态基本形成。“推窗见绿景、出门进公园、随处可健身”的15分钟绿色生活圈覆盖率逐渐提高。智慧化管理和服务逐渐融入全域大型公园和街区中，智慧公园占比达到30%以上，宜居生活魅力充分彰显。林地资源充分利用，国际赛事、文化展览、科普教育宣传活动举办次数逐渐增加，花园城市生态价值实现转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pacing w:val="-6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到2035年，副中心花园城市全面建成，人、城、境高度和谐统一的花园城市形态完全显现，生态价值实现转化，城市风貌与公园形态交织相融的高品质绿色空间格局形成，城市、公园、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bidi="ar"/>
        </w:rPr>
        <w:t>社区、市民联动发展的方式加快实现，幸福美好生活水平全面提高。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center"/>
        <w:rPr>
          <w:rFonts w:ascii="仿宋_GB2312" w:hAnsi="仿宋_GB2312" w:eastAsia="仿宋_GB2312" w:cs="仿宋_GB2312"/>
          <w:b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szCs w:val="24"/>
          <w:lang w:bidi="ar"/>
        </w:rPr>
        <w:t>北京城市副中心花园城市建设指标体系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szCs w:val="24"/>
          <w:highlight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szCs w:val="24"/>
          <w:highlight w:val="none"/>
        </w:rPr>
        <w:t>初步拟定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szCs w:val="24"/>
          <w:highlight w:val="none"/>
          <w:lang w:eastAsia="zh-CN" w:bidi="ar"/>
        </w:rPr>
        <w:t>）</w:t>
      </w:r>
    </w:p>
    <w:tbl>
      <w:tblPr>
        <w:tblStyle w:val="20"/>
        <w:tblW w:w="4998" w:type="pct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655"/>
        <w:gridCol w:w="596"/>
        <w:gridCol w:w="2998"/>
        <w:gridCol w:w="1093"/>
        <w:gridCol w:w="971"/>
        <w:gridCol w:w="1024"/>
        <w:gridCol w:w="1092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tblHeader/>
          <w:jc w:val="center"/>
        </w:trPr>
        <w:tc>
          <w:tcPr>
            <w:tcW w:w="24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6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类型</w:t>
            </w:r>
          </w:p>
        </w:tc>
        <w:tc>
          <w:tcPr>
            <w:tcW w:w="33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领域</w:t>
            </w:r>
          </w:p>
        </w:tc>
        <w:tc>
          <w:tcPr>
            <w:tcW w:w="168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6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5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现状值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（2020）</w:t>
            </w:r>
          </w:p>
        </w:tc>
        <w:tc>
          <w:tcPr>
            <w:tcW w:w="57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目标值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2025）</w:t>
            </w:r>
          </w:p>
        </w:tc>
        <w:tc>
          <w:tcPr>
            <w:tcW w:w="61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目标值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（2035）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9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人居环境</w:t>
            </w:r>
          </w:p>
        </w:tc>
        <w:tc>
          <w:tcPr>
            <w:tcW w:w="336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全域公园</w:t>
            </w:r>
          </w:p>
        </w:tc>
        <w:tc>
          <w:tcPr>
            <w:tcW w:w="168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人均公园绿地面积</w:t>
            </w:r>
          </w:p>
        </w:tc>
        <w:tc>
          <w:tcPr>
            <w:tcW w:w="6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平方米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/人</w:t>
            </w:r>
          </w:p>
        </w:tc>
        <w:tc>
          <w:tcPr>
            <w:tcW w:w="5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18.06</w:t>
            </w:r>
          </w:p>
        </w:tc>
        <w:tc>
          <w:tcPr>
            <w:tcW w:w="57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1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30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69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8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每万人拥有综合公园指数</w:t>
            </w:r>
          </w:p>
        </w:tc>
        <w:tc>
          <w:tcPr>
            <w:tcW w:w="6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个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/每万人</w:t>
            </w:r>
          </w:p>
        </w:tc>
        <w:tc>
          <w:tcPr>
            <w:tcW w:w="5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57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07</w:t>
            </w:r>
          </w:p>
        </w:tc>
        <w:tc>
          <w:tcPr>
            <w:tcW w:w="61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0.1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69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8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人均专类公园面积</w:t>
            </w:r>
          </w:p>
        </w:tc>
        <w:tc>
          <w:tcPr>
            <w:tcW w:w="6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平方米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/人</w:t>
            </w:r>
          </w:p>
        </w:tc>
        <w:tc>
          <w:tcPr>
            <w:tcW w:w="5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57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1.5</w:t>
            </w:r>
          </w:p>
        </w:tc>
        <w:tc>
          <w:tcPr>
            <w:tcW w:w="61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69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8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人均体育场地面积</w:t>
            </w:r>
          </w:p>
        </w:tc>
        <w:tc>
          <w:tcPr>
            <w:tcW w:w="6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平方米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/人</w:t>
            </w:r>
          </w:p>
        </w:tc>
        <w:tc>
          <w:tcPr>
            <w:tcW w:w="5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1.82</w:t>
            </w:r>
          </w:p>
        </w:tc>
        <w:tc>
          <w:tcPr>
            <w:tcW w:w="57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2.4</w:t>
            </w:r>
          </w:p>
        </w:tc>
        <w:tc>
          <w:tcPr>
            <w:tcW w:w="61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69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8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人均公共文化设施建筑面积</w:t>
            </w:r>
          </w:p>
        </w:tc>
        <w:tc>
          <w:tcPr>
            <w:tcW w:w="6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平方米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/人</w:t>
            </w:r>
          </w:p>
        </w:tc>
        <w:tc>
          <w:tcPr>
            <w:tcW w:w="5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0.9</w:t>
            </w:r>
          </w:p>
        </w:tc>
        <w:tc>
          <w:tcPr>
            <w:tcW w:w="57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0.3</w:t>
            </w:r>
          </w:p>
        </w:tc>
        <w:tc>
          <w:tcPr>
            <w:tcW w:w="61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69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8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居住区人均公园绿地500米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服务半径覆盖率</w:t>
            </w:r>
          </w:p>
        </w:tc>
        <w:tc>
          <w:tcPr>
            <w:tcW w:w="6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％</w:t>
            </w:r>
          </w:p>
        </w:tc>
        <w:tc>
          <w:tcPr>
            <w:tcW w:w="5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84.72</w:t>
            </w:r>
          </w:p>
        </w:tc>
        <w:tc>
          <w:tcPr>
            <w:tcW w:w="57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61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9</w:t>
            </w:r>
            <w:r>
              <w:rPr>
                <w:rFonts w:ascii="仿宋_GB2312" w:hAnsi="Times New Roman" w:eastAsia="仿宋_GB2312" w:cs="Times New Roman"/>
                <w:color w:val="000000"/>
                <w:szCs w:val="21"/>
              </w:rPr>
              <w:t>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69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8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林荫路占道路比重</w:t>
            </w:r>
          </w:p>
        </w:tc>
        <w:tc>
          <w:tcPr>
            <w:tcW w:w="6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％</w:t>
            </w:r>
          </w:p>
        </w:tc>
        <w:tc>
          <w:tcPr>
            <w:tcW w:w="5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57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61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69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33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绿道网络</w:t>
            </w:r>
          </w:p>
        </w:tc>
        <w:tc>
          <w:tcPr>
            <w:tcW w:w="168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每万人拥有绿道长度</w:t>
            </w:r>
          </w:p>
        </w:tc>
        <w:tc>
          <w:tcPr>
            <w:tcW w:w="6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公里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/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万人</w:t>
            </w:r>
          </w:p>
        </w:tc>
        <w:tc>
          <w:tcPr>
            <w:tcW w:w="5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1.74</w:t>
            </w:r>
          </w:p>
        </w:tc>
        <w:tc>
          <w:tcPr>
            <w:tcW w:w="57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2.3</w:t>
            </w:r>
          </w:p>
        </w:tc>
        <w:tc>
          <w:tcPr>
            <w:tcW w:w="61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3.4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69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336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功能融合</w:t>
            </w:r>
          </w:p>
        </w:tc>
        <w:tc>
          <w:tcPr>
            <w:tcW w:w="168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231F4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31F40"/>
                <w:kern w:val="0"/>
                <w:szCs w:val="21"/>
                <w:lang w:bidi="ar"/>
              </w:rPr>
              <w:t>亲水岸线比例</w:t>
            </w:r>
          </w:p>
        </w:tc>
        <w:tc>
          <w:tcPr>
            <w:tcW w:w="6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％</w:t>
            </w:r>
          </w:p>
        </w:tc>
        <w:tc>
          <w:tcPr>
            <w:tcW w:w="5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57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231F4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61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231F4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Fonts w:hint="eastAsia" w:ascii="仿宋_GB2312" w:hAnsi="Times New Roman" w:eastAsia="仿宋_GB2312" w:cs="Times New Roman"/>
                <w:color w:val="231F40"/>
                <w:szCs w:val="21"/>
              </w:rPr>
              <w:t>85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69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8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公共建筑屋顶绿化率</w:t>
            </w:r>
          </w:p>
        </w:tc>
        <w:tc>
          <w:tcPr>
            <w:tcW w:w="6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％</w:t>
            </w:r>
          </w:p>
        </w:tc>
        <w:tc>
          <w:tcPr>
            <w:tcW w:w="5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57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61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69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33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智慧开放</w:t>
            </w:r>
          </w:p>
        </w:tc>
        <w:tc>
          <w:tcPr>
            <w:tcW w:w="168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智慧公园实现率</w:t>
            </w:r>
          </w:p>
        </w:tc>
        <w:tc>
          <w:tcPr>
            <w:tcW w:w="6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％</w:t>
            </w:r>
          </w:p>
        </w:tc>
        <w:tc>
          <w:tcPr>
            <w:tcW w:w="5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57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1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69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生活服务</w:t>
            </w:r>
          </w:p>
        </w:tc>
        <w:tc>
          <w:tcPr>
            <w:tcW w:w="336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绿道网络</w:t>
            </w:r>
          </w:p>
        </w:tc>
        <w:tc>
          <w:tcPr>
            <w:tcW w:w="168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公园绿道接通率</w:t>
            </w:r>
          </w:p>
        </w:tc>
        <w:tc>
          <w:tcPr>
            <w:tcW w:w="6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％</w:t>
            </w:r>
          </w:p>
        </w:tc>
        <w:tc>
          <w:tcPr>
            <w:tcW w:w="5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57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61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95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69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8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绿色出行比例</w:t>
            </w:r>
          </w:p>
        </w:tc>
        <w:tc>
          <w:tcPr>
            <w:tcW w:w="6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％</w:t>
            </w:r>
          </w:p>
        </w:tc>
        <w:tc>
          <w:tcPr>
            <w:tcW w:w="5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74.2</w:t>
            </w:r>
          </w:p>
        </w:tc>
        <w:tc>
          <w:tcPr>
            <w:tcW w:w="57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61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85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69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336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功能融合</w:t>
            </w:r>
          </w:p>
        </w:tc>
        <w:tc>
          <w:tcPr>
            <w:tcW w:w="168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一体化街区覆盖率</w:t>
            </w:r>
          </w:p>
        </w:tc>
        <w:tc>
          <w:tcPr>
            <w:tcW w:w="6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％</w:t>
            </w:r>
          </w:p>
        </w:tc>
        <w:tc>
          <w:tcPr>
            <w:tcW w:w="5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57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61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60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69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8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15分钟绿色生活圈覆盖率</w:t>
            </w:r>
          </w:p>
        </w:tc>
        <w:tc>
          <w:tcPr>
            <w:tcW w:w="6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％</w:t>
            </w:r>
          </w:p>
        </w:tc>
        <w:tc>
          <w:tcPr>
            <w:tcW w:w="5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57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61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69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33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智慧开放</w:t>
            </w:r>
          </w:p>
        </w:tc>
        <w:tc>
          <w:tcPr>
            <w:tcW w:w="168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公园绿地开放率</w:t>
            </w:r>
          </w:p>
        </w:tc>
        <w:tc>
          <w:tcPr>
            <w:tcW w:w="6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％</w:t>
            </w:r>
          </w:p>
        </w:tc>
        <w:tc>
          <w:tcPr>
            <w:tcW w:w="5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57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61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95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69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33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精神文明建设</w:t>
            </w:r>
          </w:p>
        </w:tc>
        <w:tc>
          <w:tcPr>
            <w:tcW w:w="168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承办国际会展、国际体育赛、国际知名度的文化节庆指数</w:t>
            </w:r>
          </w:p>
        </w:tc>
        <w:tc>
          <w:tcPr>
            <w:tcW w:w="6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％</w:t>
            </w:r>
          </w:p>
        </w:tc>
        <w:tc>
          <w:tcPr>
            <w:tcW w:w="5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57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61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≥1.1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69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生态环境</w:t>
            </w:r>
          </w:p>
        </w:tc>
        <w:tc>
          <w:tcPr>
            <w:tcW w:w="336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生态修复</w:t>
            </w:r>
          </w:p>
        </w:tc>
        <w:tc>
          <w:tcPr>
            <w:tcW w:w="168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绿化覆盖率</w:t>
            </w:r>
          </w:p>
        </w:tc>
        <w:tc>
          <w:tcPr>
            <w:tcW w:w="6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％</w:t>
            </w:r>
          </w:p>
        </w:tc>
        <w:tc>
          <w:tcPr>
            <w:tcW w:w="5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48.03</w:t>
            </w:r>
          </w:p>
        </w:tc>
        <w:tc>
          <w:tcPr>
            <w:tcW w:w="57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61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60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19</w:t>
            </w:r>
          </w:p>
        </w:tc>
        <w:tc>
          <w:tcPr>
            <w:tcW w:w="369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36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8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绿视率</w:t>
            </w:r>
          </w:p>
        </w:tc>
        <w:tc>
          <w:tcPr>
            <w:tcW w:w="6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％</w:t>
            </w:r>
          </w:p>
        </w:tc>
        <w:tc>
          <w:tcPr>
            <w:tcW w:w="5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57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30</w:t>
            </w:r>
          </w:p>
        </w:tc>
        <w:tc>
          <w:tcPr>
            <w:tcW w:w="61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369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8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湿地保护率</w:t>
            </w:r>
          </w:p>
        </w:tc>
        <w:tc>
          <w:tcPr>
            <w:tcW w:w="6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％</w:t>
            </w:r>
          </w:p>
        </w:tc>
        <w:tc>
          <w:tcPr>
            <w:tcW w:w="5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38.51</w:t>
            </w:r>
          </w:p>
        </w:tc>
        <w:tc>
          <w:tcPr>
            <w:tcW w:w="57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61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80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369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8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蓝绿空间占比</w:t>
            </w:r>
          </w:p>
        </w:tc>
        <w:tc>
          <w:tcPr>
            <w:tcW w:w="6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％</w:t>
            </w:r>
          </w:p>
        </w:tc>
        <w:tc>
          <w:tcPr>
            <w:tcW w:w="5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57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61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70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ascii="黑体" w:hAnsi="黑体" w:eastAsia="黑体" w:cs="Times New Roman"/>
          <w:kern w:val="44"/>
          <w:sz w:val="32"/>
          <w:szCs w:val="32"/>
        </w:rPr>
      </w:pPr>
      <w:r>
        <w:rPr>
          <w:rFonts w:hint="eastAsia" w:ascii="黑体" w:hAnsi="黑体" w:eastAsia="黑体" w:cs="Times New Roman"/>
          <w:kern w:val="44"/>
          <w:sz w:val="32"/>
          <w:szCs w:val="32"/>
        </w:rPr>
        <w:t>重点任务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0"/>
        <w:rPr>
          <w:rFonts w:ascii="楷体_GB2312" w:hAnsi="华文中宋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华文中宋" w:eastAsia="楷体_GB2312" w:cs="楷体_GB2312"/>
          <w:b w:val="0"/>
          <w:bCs w:val="0"/>
          <w:sz w:val="32"/>
          <w:szCs w:val="32"/>
        </w:rPr>
        <w:t>从“城市中的花园”到“花园中的城市”，分级分类推进公园体系建设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落实“花园+”理念，以居住人群为中心，建立分层、分级的公园体系，不断提高公园绿地500米服务半径覆盖率，满足公园的完备性、均等可达性、便捷到达性。建设全龄友好公园，形成可进入可参与的休闲休憩、运动设施、文化场景和绿色开敞空间，满足人民群众亲近自然、休闲游憩、运动健身等新需求，推动公园绿地开放共享，提升公园多元服务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outlineLvl w:val="2"/>
        <w:rPr>
          <w:rFonts w:ascii="仿宋_GB2312" w:hAnsi="仿宋_GB2312" w:eastAsia="仿宋_GB2312" w:cs="仿宋_GB2312"/>
          <w:b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持续完善花园城市建设顶层设计。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落实《北京城市副中心控制性详细规划（街区层面）（2016年—2035年）》及副中心绿地系统、绿道体系等各行业规划，厘清现状底图、描绘愿景蓝图、制定实施路线图，谋划花园城市工作路径。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组织开展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花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园城市建设基础调研与现状评估工作，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编制具有副中心特色的花园城市建设规划，形成架构清晰、指标设置合理、目标值设定科学、可操作性强、可实施可评估、能够引导副中心花园城市建设的指标体系，全面指导项目建设。</w:t>
      </w:r>
    </w:p>
    <w:p>
      <w:pPr>
        <w:pageBreakBefore w:val="0"/>
        <w:numPr>
          <w:ilvl w:val="0"/>
          <w:numId w:val="0"/>
        </w:numP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全面推进花园城市建设实践探索。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落实花园城市建设顶层设计，合理指导推进基层开展花园城市研究和建设工作。副中心各街道乡镇结合地区实际情况，探索制定具有指导性和可操作性的分步实施方案。梨园镇抓好花园城市发展战略规划落实，进一步做好系统性谋划工作，反复探索实践形成实施方案，逐步细化任务、落实项目、压实责任，打造“花园城市梨园样板”。</w:t>
      </w:r>
    </w:p>
    <w:p>
      <w:pPr>
        <w:pageBreakBefore w:val="0"/>
        <w:numPr>
          <w:ilvl w:val="0"/>
          <w:numId w:val="0"/>
        </w:numP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全力推动全域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bidi="ar"/>
        </w:rPr>
        <w:t>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园体系建设。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针对全区公园空间布局、功能提升进行深入研究，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打造</w:t>
      </w:r>
      <w:r>
        <w:rPr>
          <w:rFonts w:hint="eastAsia" w:ascii="仿宋_GB2312" w:hAnsi="Times New Roman" w:eastAsia="仿宋_GB2312" w:cs="Times New Roman"/>
          <w:sz w:val="32"/>
          <w:szCs w:val="32"/>
        </w:rPr>
        <w:t>城乡一体、级配均衡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、类型多样、功能丰富、景色宜人、文化凸显、业态融合的副中心全域公园体系。依托现状城市绿心森林公园、大运河森林公园等大型公园绿地的良好基底，丰富服务功能，形成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京承线、京哈线绿廊公园等一批完善副中心生态格局的大型综合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公园。按照“一园一主题、一园一风格、一园一故事”的原则，在通州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城区、行政办公区东部等区域合理规划，高水平建设一批儿童公园、健身公园、文化公园等不同主题的专类公园。以15分钟绿色生活圈为标准，利用老城社区、运河商务区、副中心行政办公区等区域内零星地块，建设富有特色文化符号和生活情趣的游园，提升公园绿地500米服务半径覆盖率，提高人居环境品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2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整体提升城市绿地景观水平。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结合城市更新实施全域增绿，在梨园镇、中仓街道、新华街道等中心城区开展拆违建绿、滨水增绿、拆墙透绿、设施补绿、立体植绿，全面提升城市开敞空间品质和绿化覆盖率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实现从绿化到彩化和美化的升级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。在老城区、运河商务区、行政办公区高水平建设林荫路网，实施道路行道树增量提质，推动林荫覆盖率大幅度提升，打造最美回家路，并有效缓解城市热岛效应。优化城市夜景照明，加强照明节能管理，利用灯光凸显城市绿心森林公园、通惠河、大运河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减河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沿线等公园、游园、绿道、河道景观，满足市民的夜游需求，促进夜间经济发展，提高市民的幸福感和获得感。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2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大幅提升公园综合服务功能。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bidi="ar"/>
        </w:rPr>
        <w:t>以各年龄群体的多层次需求为导向，重点考虑“一老一小”的游憩需求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，合理利用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bidi="ar"/>
        </w:rPr>
        <w:t>运动场景串联生态底色，丰富公园体育健身、运动休闲等多种功能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，整体推进全龄友好型公园建设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永顺体育休闲公园、梨园主题公园等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专类公园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，及漫春园、万春园等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社区级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公园为试点建设（改造）全龄友好公园，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bidi="ar"/>
        </w:rPr>
        <w:t>在公园草坪、林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bidi="ar"/>
        </w:rPr>
        <w:t>下空间以及空闲地等区域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，因地制宜设置服务设施、体育设施、无障碍设施与绿色空间有机融合，全方位提升不同人群的游园体验。创新突破公园现有功能，在城市绿心森林公园、东郊森林公园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大型公园中结合绿地和场地植入餐饮消费、文创消费、球类运动、主题乐园、帐篷营地、婚礼基地、自然科普等服务培育特色场景，提升公园的商业、体育、休闲、文化交往、教育类功能设施和场地配置水平，增强公园绿地体验感和参与性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ascii="楷体_GB2312" w:hAnsi="华文中宋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华文中宋" w:eastAsia="楷体_GB2312" w:cs="楷体_GB2312"/>
          <w:b w:val="0"/>
          <w:bCs w:val="0"/>
          <w:sz w:val="32"/>
          <w:szCs w:val="32"/>
        </w:rPr>
        <w:t>从“到花园去”到“在花园中”，建设便捷通达的绿道生态网络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以生态绿道连通城市“绿岛”，建设绿色步道、生态走廊将公园绿地串联起来，构建安全便捷、景观优美、智慧精细的绿道网络。突出各个公园及绿地之间的联通性，共同组成不可分割的有机体，实现城市绿地系统和城市空间结构的耦合协调，促进生态、生活功能有效融合，塑造花园化的城市风貌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outlineLvl w:val="2"/>
        <w:rPr>
          <w:rFonts w:ascii="仿宋_GB2312" w:hAnsi="仿宋_GB2312" w:eastAsia="仿宋_GB2312" w:cs="仿宋_GB2312"/>
          <w:b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推进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bidi="ar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市级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bidi="ar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区级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bidi="ar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社区级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bidi="ar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三级全域绿道网络体系规划建设。贯穿北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运河、通惠河、减河，串联大运河森林公园、城市绿心森林公园、减河公园等重要区域，在北运河、通惠河等重点河道沿线打造多条市级精品绿道，形成贯通副中心全域、串连各主干绿道的副中心主轴绿道，并结合周边绿地建设生态廊道保护生态栖息地。按照“建一条成一片”的原则，加快绿道结网成片、断点疏通，形成聚集效应、规模效应，推动减运沟、小中河、京哈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bidi="ar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京承铁路等连通主干绿道的区域级绿道、社区级绿道建设，配建完整连续的自行车道、跑步道和漫步道，形成完善的城市慢行系统和绿色交通体系，方便市民便捷进入，提升绿道获得感与体验感。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2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推动绿道与各功能场景连通。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充分发挥绿道网络连通性，串连西海子公园、三庙一塔、大运河、潞城全民健身中心等人群密集、居民使用需求度高的区域，打造高品质城市、滨水公共开放、蓝绿相融的空间系统，推动全市生态资源、公共资源高效融合衔接。重点推动台湖万亩游憩园、城市绿心森林公园等各类大型公园完全接入绿道并实现全域连通，强化社区和各级公园绿地的可达性，实现公园与公园、公园与社区、公园与小微绿地之间的广泛联系。提高绿道与轨道交通、公共交通的接驳效率，增加绿色出行比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2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提升绿道综合价值。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强化绿道的体育健身、文化体验、风景休闲、慢行通勤功能，加强北运河、运潮减河绿道沿线驿站、标识等设施的配套建设与改造。创新特色驿站概念，植入商业、消费、健身、休憩等功能，融入文化、科普等理念，举办文艺、赛事等活动，打造人文场景，不断升级绿道综合服务功能，实现生态场景、绿色消费场景、人文场景、生活场景渗透叠加。加强对重要节点、重要景观的创意设计，推动通惠河、北运河等多条精品绿道节点，打造网红“打卡地”，通过举办活动带动消费业态发展，实现生态价值创造性转化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ascii="楷体_GB2312" w:hAnsi="华文中宋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华文中宋" w:eastAsia="楷体_GB2312" w:cs="楷体_GB2312"/>
          <w:b w:val="0"/>
          <w:bCs w:val="0"/>
          <w:sz w:val="32"/>
          <w:szCs w:val="32"/>
        </w:rPr>
        <w:t>从“封闭园囿”到“花园场景”，提升城市多元化的服务功能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2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以公园为基底，构筑开放生态空间网络，结合城市空间推进“+花园”建设，实现城园融合。增强公园的公共性和开放性，全天候满足各类人群需要，形成无围墙、无隔离、无边界的公园。建设花园化新型城市片区，强化绿色空间与体育、文化、城市功能复合利用，融入现代化管理和智慧化服务，打造创新创意空间，推动创新发展、绿色服务和消费升级，提升城区活力和品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2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实施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+花园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智慧系统建设。加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强互感化、互知化、互动化体验，促进科学化、精细化、智慧化管理，构建“科技+趣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味+智能”的新时代智慧公园。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持续“减围栏、促联通”，探索建设“无界公园”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逐步推动公园全时段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空间开放，有序拆除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大运河森林公园、城市绿心森林公园、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东郊森林公园、龙旺庄公园等大中型公园围墙栏杆，在公园边界打造开放式无围栏花园式入口。提升现有公园智慧化管理水平，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公园智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慧运行管理中心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与智慧管理大数据平台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接入城市管理指挥平台，实现全天候全覆盖智能监测、实时动态反馈与高效管理，提供更加便利的停车及游览服务。以大运河森林公园、城市绿心森林公园、潮白河绿道等为试点，建设全球领先的智慧公园和智慧绿道示范项目，设置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智能导视系统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、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智能健身设施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、智慧科普设施、智慧互动设施，提供免费的wifi接入与充电服务，大幅提升市民游客体验感、互动感与便捷度。利用互联网平台推动树木认建认养、义务植树、分时预约、投资租赁、园内导览、交通服务、活动推介、在线支付等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1"/>
        <w:jc w:val="left"/>
        <w:textAlignment w:val="auto"/>
        <w:outlineLvl w:val="2"/>
        <w:rPr>
          <w:rFonts w:ascii="仿宋_GB2312" w:hAnsi="仿宋_GB2312" w:eastAsia="仿宋_GB2312" w:cs="仿宋_GB2312"/>
          <w:b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2.实施“+花园”城市空间改造。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花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园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城市建设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标准推动城市建设与更新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，实施新华路、故城东路等景观道路、商业街以及历史风貌街区改造，统筹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道路、路旁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、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建筑后退绿地空间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相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融合，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推进人行步道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骑行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绿道及临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街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建筑空间的一体化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花园式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场景设计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，聚焦道路设施、城市家具、建筑立面、沿街绿化、街景小品、招牌广告、景观灯光等要素进行优化，深化社会共建共享，实现消费业态提升。结合疏整促提升、老旧小区改造等行动，利用中仓街道、玉桥街道等老城区“金边银角”地块和闲散土地等公共空间，结合周边职住特点，均衡设置休闲游憩、康体运动、文化创意、特色消费等多功能叠加的生活化花园街区场景，优化公共服务设施供给，提升街区活力，壮大多元消费业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1"/>
        <w:jc w:val="left"/>
        <w:textAlignment w:val="auto"/>
        <w:outlineLvl w:val="2"/>
        <w:rPr>
          <w:rFonts w:ascii="仿宋_GB2312" w:hAnsi="仿宋_GB2312" w:eastAsia="仿宋_GB2312" w:cs="仿宋_GB2312"/>
          <w:b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3.实施“+花园”滨水空间改造。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以“五河”为主要抓手，在潮白河沿线、北运河张家湾段等区域，结合湿地景观修复重塑，实施河湖水系联通、水生态修复、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生态驳岸改造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，提升水质与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水岸线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生态性、亲水性。在注重保护水环境、调蓄洪涝基础上，结合周边居住与工作人群休闲娱乐、康体健身、适老亲子等需求，在潮白河、大运河、通惠河周边布局图书馆、美术馆、博物馆等各类文旅设施，增设相关公共服务设施，打造特色鲜明、功能复合、城水融合的景观长廊，建设具有城市客厅多功能的滨水空间，大幅提升亲水岸线比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jc w:val="left"/>
        <w:textAlignment w:val="auto"/>
        <w:outlineLvl w:val="2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4.实施“+花园”存量资源改造。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依托生态、人文等存量资源优势，完善城市服务功能，推动土地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发挥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最大效益，激发城市经济活力。全面推进北苑街道、梨园镇等人口密集的老城中心区花园式社区改造，完善社区居住、出行、服务、休闲功能，强化社区服务设施与绿化环境有机融合。结合绿色建筑、屋顶绿化、立体绿化等绿色理念，充分利用台湖、张家湾等区域存量老旧厂房资源，结合周边公共服务短板，建设体育、文化、科普教育类场地（馆），实现“腾笼换鸟”更新改造，形成低能耗的高效发展。利用副中心森林资源，重点推进潮白河沿线、环城公园游憩带区域的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低效林改造，营造健康稳定的“异龄、混交、复层”森林景观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，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提升全域森林质量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。创新发展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林下经济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，提升开放林地的休闲功能，融合森林康养、自然教育、林下休闲、森林产品，推动森林生态产品价值实现。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从“改变一座城”到“影响一城人”，增强民众的精神生活获得感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2"/>
        <w:outlineLvl w:val="2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bidi="ar"/>
        </w:rPr>
        <w:t>1.加强精神文明建设。以花园城市建设平台为载体，集合各类运动场地和设施，大力发展大众体育、专业体育项目，推进“花园+”体育建设；推动文化场所与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文化创意产业发展，营造专业化、特色化人文场景。利用五河交汇、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大运河森林公园、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城市绿心森林公园等具备良好生态基底的区域，筹划引入马拉松、自行车联赛等体育类的国际国内竞技赛事、通州古韵等文化主题的节庆活动，举办自贸商务等类型的国际大会与专业论坛，申办科技、文化旅游等主题的国际国内博览会、展览会，不断提升副中心在国内外的影响力与美誉度，持续推动生态价值的创造性转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/>
        <w:textAlignment w:val="auto"/>
        <w:outlineLvl w:val="2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2.开展科普教育宣传。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以大地艺术、小品设施等艺术形式为载体，将城市、绿色空间作为促进文化科普宣展的场所平台，推进“花园+”教育建设。探索在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东郊森林公园、宋庄文化公园、张家湾公园、大运河绿道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公园、绿道、城市功能场景引入科普宣传、体验、教育新形式，构建探索中心、教育秀场等新应用场景，围绕自然科普等特色主题活动开展先行示范。在社区公园和街角空间设置科普文化展示区，开展生态文明、绿色低碳生活、生物多样性保护等新发展理念宣教活动，不定期举办策展，实现寓教于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3.突出特色文化内涵。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推进“花园+”文化建设，挖掘大运河古文化、通州古城、三庙一塔等北京市和副中心城市特色与本土文化，体现现代科技与绿色文化，提升花园城市的人文气息，展现首都特色风貌与魅力。将场地记忆、城市文脉、传统文化融入城市绿色空间系统，在全域各级各类公园、绿道、城市空间节点设置运河、美食等文化品牌展示区，打造一系列展示副中心特色历史文化的网红打卡地。强化绿色理念引领城市建设，研究碳汇机制促进节能减排，在大、中型综合公园建设和改造中，将“零碳”理念融入公园中，改善空气质量，增强副中心碳汇功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ascii="黑体" w:hAnsi="黑体" w:eastAsia="黑体" w:cs="Times New Roman"/>
          <w:kern w:val="44"/>
          <w:sz w:val="32"/>
          <w:szCs w:val="32"/>
        </w:rPr>
      </w:pPr>
      <w:r>
        <w:rPr>
          <w:rFonts w:hint="eastAsia" w:ascii="黑体" w:hAnsi="黑体" w:eastAsia="黑体" w:cs="Times New Roman"/>
          <w:kern w:val="44"/>
          <w:sz w:val="32"/>
          <w:szCs w:val="32"/>
        </w:rPr>
        <w:t>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ascii="楷体_GB2312" w:hAnsi="华文中宋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华文中宋" w:eastAsia="楷体_GB2312" w:cs="楷体_GB2312"/>
          <w:b w:val="0"/>
          <w:bCs w:val="0"/>
          <w:sz w:val="32"/>
          <w:szCs w:val="32"/>
        </w:rPr>
        <w:t>加强组织领导，明确责任分工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2"/>
        <w:rPr>
          <w:rFonts w:ascii="Times New Roman" w:hAnsi="Times New Roman" w:eastAsia="宋体" w:cs="Times New Roman"/>
          <w:szCs w:val="20"/>
        </w:rPr>
      </w:pPr>
      <w:r>
        <w:rPr>
          <w:rFonts w:ascii="仿宋_GB2312" w:hAnsi="仿宋_GB2312" w:eastAsia="仿宋_GB2312" w:cs="仿宋_GB2312"/>
          <w:sz w:val="32"/>
          <w:szCs w:val="32"/>
          <w:lang w:bidi="ar"/>
        </w:rPr>
        <w:t>设立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城市副中心花园城市建设协同机制，由区发展改革委牵头，协同区财政、规自、园林、水务、交通、生态环境等部门合力推动副中心花园城市建设，形成明确的花园城市建设总体部署、工作任务、节点安排、工作协商与保障机制。强化责任主体，形成花园城市建设项目库，并做好项目储备及动态更新，落实建设运维责任主体与资金来源、制定政策法规保障与组织协调体系，适时评估工作进展情况，确保项目顺利落地和有序运营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ascii="楷体_GB2312" w:hAnsi="华文中宋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华文中宋" w:eastAsia="楷体_GB2312" w:cs="楷体_GB2312"/>
          <w:b w:val="0"/>
          <w:bCs w:val="0"/>
          <w:sz w:val="32"/>
          <w:szCs w:val="32"/>
        </w:rPr>
        <w:t>强化政策支撑，力促项目落地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2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深化土地利用政策，重点围绕扩大公园、绿道配套服务设施建筑不纳入城乡建设用地的总体配套指标，适度放宽配套建筑单体用地指标上限，探索公园、绿道配套建筑纳入临时用地和临时建筑使用范围，切实提升花园城市建设用地保障水平，确保配套服务设施配比合理。创新土地利用模式，开发混合用地规划及地上地下空间综合利用新模式，为绿道、公园周边区域配套多类型建设用地指标，增加配套服务功能多样性。合理配置有效资源，扩充林下经济不占用建设用地指标的业态、设施类型，大力发展林下经济，推动现有优质资源得到充分利用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ascii="楷体_GB2312" w:hAnsi="华文中宋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华文中宋" w:eastAsia="楷体_GB2312" w:cs="楷体_GB2312"/>
          <w:b w:val="0"/>
          <w:bCs w:val="0"/>
          <w:sz w:val="32"/>
          <w:szCs w:val="32"/>
        </w:rPr>
        <w:t>创新运营模式，激发公园活力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2"/>
        <w:rPr>
          <w:rFonts w:ascii="仿宋_GB2312" w:hAnsi="仿宋_GB2312" w:eastAsia="仿宋_GB2312" w:cs="仿宋_GB2312"/>
          <w:b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引入多元市场化经营主体，逐步扩大企业参与公园、绿道、城市功能场景运维管理，逐步减少各级政府为主体的管理数量，形成政府部门与企业共同管理的新运营模式。盘活现有公共服务资源，研究公园、绿道、城市空间中现有配套用房、厂房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经营餐饮服务、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自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然教育中心、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体育运动设施、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儿童主题游乐园、帐篷露营地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、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零售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商店、文创集市等场地临时性租赁经营服务设施优惠政策和运营管理办法，促进闲置资源转化为优质资产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适当推进存量林地改造公园制度研究，探索林地综合功能提升。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0"/>
        <w:rPr>
          <w:rFonts w:ascii="楷体_GB2312" w:hAnsi="华文中宋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华文中宋" w:eastAsia="楷体_GB2312" w:cs="楷体_GB2312"/>
          <w:b w:val="0"/>
          <w:bCs w:val="0"/>
          <w:sz w:val="32"/>
          <w:szCs w:val="32"/>
        </w:rPr>
        <w:t>强化资金保障，创新投融资机制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2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研究政府与社会联动，政府、企业、社会组织、市民四方共同参与的新型投融资渠道，强化项目策划，缓解财政资金压力。研究设立花园城市建设基金、保险、政府专项债券等融资模式，依托市属国企等大型平台，通过市场化投资—建设—运营—收益模式整体推动全域或片区花园城市建设。创建花园城市示范区建设机会清单，集中发布建设需求，在筹备、建设、运营全过程阶段提出招商引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公众参与的需求，通过设施租赁、联合运营、资源参股等方式，实现政企高效协同，互利共赢。探索建立自然资产账户，评估花园城市建设经济社会效益。量化评估绿化建设资源增汇减排成效，探索推进公园碳汇产品交易实现可行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2"/>
        <w:rPr>
          <w:rFonts w:ascii="楷体_GB2312" w:hAnsi="华文中宋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华文中宋" w:eastAsia="楷体_GB2312" w:cs="楷体_GB2312"/>
          <w:b w:val="0"/>
          <w:bCs w:val="0"/>
          <w:sz w:val="32"/>
          <w:szCs w:val="32"/>
        </w:rPr>
        <w:t>（五）鼓励市民参与，建立协同机制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2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探索居民自治、街道社区支持与补助，物业公司积极协同、群众广泛参与的工作机制。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鼓励市民参与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花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园城市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建设与维护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，通过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参与公园和绿道的前期规划、维护管理、植物栽植养护、绿色出行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等方式获取绿色点数，以兑换商品、折扣优惠等方式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获取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绿色低碳产品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，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让人民群众发展为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花园城市建设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的直接维护者和管理者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outlineLvl w:val="2"/>
        <w:rPr>
          <w:rFonts w:ascii="楷体_GB2312" w:hAnsi="华文中宋" w:eastAsia="楷体_GB2312" w:cs="楷体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华文中宋" w:eastAsia="楷体_GB2312" w:cs="楷体_GB2312"/>
          <w:b w:val="0"/>
          <w:bCs w:val="0"/>
          <w:sz w:val="32"/>
          <w:szCs w:val="32"/>
        </w:rPr>
        <w:t>（六）</w:t>
      </w:r>
      <w:r>
        <w:rPr>
          <w:rFonts w:hint="eastAsia" w:ascii="楷体_GB2312" w:hAnsi="华文中宋" w:eastAsia="楷体_GB2312" w:cs="楷体_GB2312"/>
          <w:b w:val="0"/>
          <w:bCs w:val="0"/>
          <w:color w:val="000000"/>
          <w:sz w:val="32"/>
          <w:szCs w:val="32"/>
          <w:shd w:val="clear" w:color="auto" w:fill="FFFFFF"/>
        </w:rPr>
        <w:t>提升治理效能，制定标准体系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ascii="仿宋_GB2312" w:hAnsi="仿宋_GB2312" w:eastAsia="仿宋_GB2312" w:cs="仿宋_GB2312"/>
          <w:sz w:val="32"/>
          <w:szCs w:val="32"/>
          <w:lang w:bidi="ar"/>
        </w:rPr>
        <w:t>从城市治理视角出发，强调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花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园城市建设从粗放式、宽泛化管理向科学化、精细化、智能化治理转变，从主体上补强多元共治基础、技术上推动数字科技赋能、能力上提升精细治理水平、理念上谋求安全高效可持续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、制度上制定标准化管理办法。通过优化管理、统筹运维，降低基础运维费用等方式，提高花园城市建成后的管理效率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。</w:t>
      </w:r>
    </w:p>
    <w:p>
      <w:pPr>
        <w:pStyle w:val="11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</w:p>
    <w:p>
      <w:pPr>
        <w:pStyle w:val="11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</w:p>
    <w:p>
      <w:pPr>
        <w:pStyle w:val="11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adjustRightInd/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8pt;height:0pt;width:441pt;z-index:251659264;mso-width-relative:page;mso-height-relative:page;" filled="f" stroked="t" coordsize="21600,21600" o:gfxdata="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LH3ZAjSAAAABgEAAA8AAAAAAAAAAQAgAAAAOAAAAGRycy9kb3ducmV2LnhtbFBLAQIUABQAAAAI&#10;AIdO4kDv1CyJ3QEAAJkDAAAOAAAAAAAAAAEAIAAAADc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  抄送：区委各部、委、办，区人大办公室，区政协办公室，区法院，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adjustRightInd/>
        <w:spacing w:line="600" w:lineRule="exact"/>
        <w:ind w:firstLine="1078" w:firstLineChars="38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区检察院，区各人民团体。</w:t>
      </w:r>
    </w:p>
    <w:p>
      <w:pPr>
        <w:keepNext w:val="0"/>
        <w:keepLines w:val="0"/>
        <w:pageBreakBefore w:val="0"/>
        <w:widowControl w:val="0"/>
        <w:tabs>
          <w:tab w:val="left" w:pos="315"/>
          <w:tab w:val="left" w:pos="525"/>
        </w:tabs>
        <w:kinsoku/>
        <w:wordWrap/>
        <w:overflowPunct/>
        <w:bidi w:val="0"/>
        <w:adjustRightInd/>
        <w:spacing w:line="600" w:lineRule="exact"/>
        <w:ind w:firstLine="315" w:firstLineChars="150"/>
        <w:rPr>
          <w:rFonts w:hint="eastAsia"/>
          <w:lang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388620</wp:posOffset>
                </wp:positionV>
                <wp:extent cx="56007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6pt;height:0pt;width:441pt;z-index:251661312;mso-width-relative:page;mso-height-relative:page;" filled="f" stroked="t" coordsize="21600,21600" o:gfxdata="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BDh7y20wAAAAYBAAAPAAAAAAAAAAEAIAAAADgAAABkcnMvZG93bnJldi54bWxQSwECFAAUAAAA&#10;CACHTuJAOcQj090BAACZAwAADgAAAAAAAAABACAAAAA4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6007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15pt;height:0pt;width:441pt;z-index:251660288;mso-width-relative:page;mso-height-relative:page;" filled="f" stroked="t" coordsize="21600,21600" o:gfxdata="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KZHo99IAAAAEAQAADwAAAAAAAAABACAAAAA4AAAAZHJzL2Rvd25yZXYueG1sUEsBAhQAFAAAAAgA&#10;h07iQKBuOPDcAQAAmQMAAA4AAAAAAAAAAQAgAAAANw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北京市通州区人民政府办公室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2023年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29</w:t>
      </w:r>
      <w:r>
        <w:rPr>
          <w:rFonts w:hint="eastAsia" w:ascii="仿宋_GB2312" w:eastAsia="仿宋_GB2312"/>
          <w:sz w:val="28"/>
          <w:szCs w:val="28"/>
        </w:rPr>
        <w:t xml:space="preserve">日印发  </w:t>
      </w:r>
    </w:p>
    <w:sectPr>
      <w:footerReference r:id="rId3" w:type="default"/>
      <w:footerReference r:id="rId4" w:type="even"/>
      <w:pgSz w:w="11906" w:h="16838"/>
      <w:pgMar w:top="1701" w:right="1474" w:bottom="1701" w:left="1587" w:header="851" w:footer="1446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BA"/>
    <w:family w:val="swiss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altName w:val="宋体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4804410</wp:posOffset>
              </wp:positionH>
              <wp:positionV relativeFrom="paragraph">
                <wp:posOffset>13970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3pt;margin-top:1.1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Aghhy81gAAAAoBAAAPAAAAAAAAAAEAIAAAADgAAABkcnMvZG93bnJldi54bWxQ&#10;SwECFAAUAAAACACHTuJAUwRDjBwCAAApBAAADgAAAAAAAAABACAAAAA7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3D6DCB"/>
    <w:multiLevelType w:val="singleLevel"/>
    <w:tmpl w:val="953D6DC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B8B3C3B"/>
    <w:multiLevelType w:val="singleLevel"/>
    <w:tmpl w:val="DB8B3C3B"/>
    <w:lvl w:ilvl="0" w:tentative="0">
      <w:start w:val="1"/>
      <w:numFmt w:val="chineseCounting"/>
      <w:suff w:val="nothing"/>
      <w:lvlText w:val="（%1）"/>
      <w:lvlJc w:val="left"/>
      <w:rPr>
        <w:rFonts w:hint="eastAsia"/>
        <w:sz w:val="32"/>
        <w:szCs w:val="32"/>
      </w:rPr>
    </w:lvl>
  </w:abstractNum>
  <w:abstractNum w:abstractNumId="2">
    <w:nsid w:val="5FBA550C"/>
    <w:multiLevelType w:val="singleLevel"/>
    <w:tmpl w:val="5FBA550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0E669BC"/>
    <w:multiLevelType w:val="singleLevel"/>
    <w:tmpl w:val="70E669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kN2Y5MmNjYzljNTJmNGVlOWJlMTkzZDQ1NDU4MDAifQ=="/>
  </w:docVars>
  <w:rsids>
    <w:rsidRoot w:val="00332A82"/>
    <w:rsid w:val="00007A21"/>
    <w:rsid w:val="00012345"/>
    <w:rsid w:val="000166B2"/>
    <w:rsid w:val="00020F39"/>
    <w:rsid w:val="000351ED"/>
    <w:rsid w:val="000416BE"/>
    <w:rsid w:val="0004474B"/>
    <w:rsid w:val="00046CF8"/>
    <w:rsid w:val="00046E20"/>
    <w:rsid w:val="00054ECA"/>
    <w:rsid w:val="00056280"/>
    <w:rsid w:val="00067B78"/>
    <w:rsid w:val="00067FAF"/>
    <w:rsid w:val="00070D44"/>
    <w:rsid w:val="0007547E"/>
    <w:rsid w:val="00083411"/>
    <w:rsid w:val="0008545D"/>
    <w:rsid w:val="000A10C1"/>
    <w:rsid w:val="000A14A5"/>
    <w:rsid w:val="000A1871"/>
    <w:rsid w:val="000A2476"/>
    <w:rsid w:val="000A55E3"/>
    <w:rsid w:val="000A62CE"/>
    <w:rsid w:val="000A77DA"/>
    <w:rsid w:val="000B253E"/>
    <w:rsid w:val="000B32E1"/>
    <w:rsid w:val="000B66A2"/>
    <w:rsid w:val="000B7689"/>
    <w:rsid w:val="000C107A"/>
    <w:rsid w:val="000C57E5"/>
    <w:rsid w:val="000D128E"/>
    <w:rsid w:val="000D256B"/>
    <w:rsid w:val="000D516A"/>
    <w:rsid w:val="000E7725"/>
    <w:rsid w:val="000F290B"/>
    <w:rsid w:val="00105D65"/>
    <w:rsid w:val="00107D73"/>
    <w:rsid w:val="001106DF"/>
    <w:rsid w:val="0011168E"/>
    <w:rsid w:val="0012343C"/>
    <w:rsid w:val="0012352C"/>
    <w:rsid w:val="001303C7"/>
    <w:rsid w:val="00131887"/>
    <w:rsid w:val="00134FCA"/>
    <w:rsid w:val="0013692A"/>
    <w:rsid w:val="00136B43"/>
    <w:rsid w:val="001428AD"/>
    <w:rsid w:val="00146297"/>
    <w:rsid w:val="00153E61"/>
    <w:rsid w:val="00155F3E"/>
    <w:rsid w:val="00166896"/>
    <w:rsid w:val="00167765"/>
    <w:rsid w:val="001772D1"/>
    <w:rsid w:val="001859E1"/>
    <w:rsid w:val="00190AE2"/>
    <w:rsid w:val="00192D3E"/>
    <w:rsid w:val="001934B2"/>
    <w:rsid w:val="001950A5"/>
    <w:rsid w:val="00196679"/>
    <w:rsid w:val="001A002C"/>
    <w:rsid w:val="001A02B5"/>
    <w:rsid w:val="001A249D"/>
    <w:rsid w:val="001A2940"/>
    <w:rsid w:val="001A3A4D"/>
    <w:rsid w:val="001A3D3C"/>
    <w:rsid w:val="001A4138"/>
    <w:rsid w:val="001A6E16"/>
    <w:rsid w:val="001C04E8"/>
    <w:rsid w:val="001C23AE"/>
    <w:rsid w:val="001D185A"/>
    <w:rsid w:val="001D379D"/>
    <w:rsid w:val="001D45CC"/>
    <w:rsid w:val="001D7789"/>
    <w:rsid w:val="001D7F4B"/>
    <w:rsid w:val="001E3AD8"/>
    <w:rsid w:val="001E425D"/>
    <w:rsid w:val="001F6F77"/>
    <w:rsid w:val="00207672"/>
    <w:rsid w:val="00220EE1"/>
    <w:rsid w:val="002212F1"/>
    <w:rsid w:val="0022149A"/>
    <w:rsid w:val="00221D12"/>
    <w:rsid w:val="00227AD4"/>
    <w:rsid w:val="00232913"/>
    <w:rsid w:val="002330BB"/>
    <w:rsid w:val="00240A64"/>
    <w:rsid w:val="00242352"/>
    <w:rsid w:val="00243769"/>
    <w:rsid w:val="002455C0"/>
    <w:rsid w:val="00250B2E"/>
    <w:rsid w:val="002519AB"/>
    <w:rsid w:val="00253A6E"/>
    <w:rsid w:val="00255D6F"/>
    <w:rsid w:val="00256817"/>
    <w:rsid w:val="00271668"/>
    <w:rsid w:val="00271FEF"/>
    <w:rsid w:val="00273AED"/>
    <w:rsid w:val="0027732C"/>
    <w:rsid w:val="00293546"/>
    <w:rsid w:val="00295254"/>
    <w:rsid w:val="0029627D"/>
    <w:rsid w:val="0029693D"/>
    <w:rsid w:val="00297D41"/>
    <w:rsid w:val="002B246A"/>
    <w:rsid w:val="002B349B"/>
    <w:rsid w:val="002B62B7"/>
    <w:rsid w:val="002B795D"/>
    <w:rsid w:val="002C5CA1"/>
    <w:rsid w:val="002C6F7E"/>
    <w:rsid w:val="002C73D8"/>
    <w:rsid w:val="002D15B2"/>
    <w:rsid w:val="002D21FD"/>
    <w:rsid w:val="002D2C3F"/>
    <w:rsid w:val="002E5660"/>
    <w:rsid w:val="002E5C1F"/>
    <w:rsid w:val="002F35B7"/>
    <w:rsid w:val="00300849"/>
    <w:rsid w:val="00305908"/>
    <w:rsid w:val="00310AF3"/>
    <w:rsid w:val="003144DD"/>
    <w:rsid w:val="00322B68"/>
    <w:rsid w:val="003235BE"/>
    <w:rsid w:val="00323E98"/>
    <w:rsid w:val="00324422"/>
    <w:rsid w:val="00324971"/>
    <w:rsid w:val="00325289"/>
    <w:rsid w:val="00325903"/>
    <w:rsid w:val="003311F7"/>
    <w:rsid w:val="003316D9"/>
    <w:rsid w:val="00332898"/>
    <w:rsid w:val="00332A82"/>
    <w:rsid w:val="00342BC4"/>
    <w:rsid w:val="00343271"/>
    <w:rsid w:val="0034621A"/>
    <w:rsid w:val="0034645E"/>
    <w:rsid w:val="0035064C"/>
    <w:rsid w:val="00352EAB"/>
    <w:rsid w:val="00353593"/>
    <w:rsid w:val="00353CC3"/>
    <w:rsid w:val="003608CE"/>
    <w:rsid w:val="0036219C"/>
    <w:rsid w:val="00371321"/>
    <w:rsid w:val="00371CE5"/>
    <w:rsid w:val="00381099"/>
    <w:rsid w:val="003A2BC8"/>
    <w:rsid w:val="003A5E7D"/>
    <w:rsid w:val="003A649A"/>
    <w:rsid w:val="003A751B"/>
    <w:rsid w:val="003B1E5E"/>
    <w:rsid w:val="003B41AB"/>
    <w:rsid w:val="003B4326"/>
    <w:rsid w:val="003C199B"/>
    <w:rsid w:val="003C1E60"/>
    <w:rsid w:val="003C508C"/>
    <w:rsid w:val="003D1184"/>
    <w:rsid w:val="003E07B6"/>
    <w:rsid w:val="003E4CA1"/>
    <w:rsid w:val="003E5366"/>
    <w:rsid w:val="003E5B10"/>
    <w:rsid w:val="003F2975"/>
    <w:rsid w:val="003F3C4F"/>
    <w:rsid w:val="003F5425"/>
    <w:rsid w:val="003F550E"/>
    <w:rsid w:val="003F7D12"/>
    <w:rsid w:val="0040023D"/>
    <w:rsid w:val="00402848"/>
    <w:rsid w:val="004040A7"/>
    <w:rsid w:val="00406866"/>
    <w:rsid w:val="00411912"/>
    <w:rsid w:val="004200F7"/>
    <w:rsid w:val="00421F93"/>
    <w:rsid w:val="00427B60"/>
    <w:rsid w:val="00433A71"/>
    <w:rsid w:val="00434904"/>
    <w:rsid w:val="004453E3"/>
    <w:rsid w:val="00447E38"/>
    <w:rsid w:val="0045305A"/>
    <w:rsid w:val="00456076"/>
    <w:rsid w:val="00457170"/>
    <w:rsid w:val="004636D2"/>
    <w:rsid w:val="00467DCD"/>
    <w:rsid w:val="00473F0E"/>
    <w:rsid w:val="00474478"/>
    <w:rsid w:val="00475A8C"/>
    <w:rsid w:val="004836AF"/>
    <w:rsid w:val="00491A09"/>
    <w:rsid w:val="00491F1D"/>
    <w:rsid w:val="004942D7"/>
    <w:rsid w:val="0049588D"/>
    <w:rsid w:val="0049593F"/>
    <w:rsid w:val="00497E7C"/>
    <w:rsid w:val="004A02A5"/>
    <w:rsid w:val="004A4C0F"/>
    <w:rsid w:val="004A6D35"/>
    <w:rsid w:val="004B0BB2"/>
    <w:rsid w:val="004B1A83"/>
    <w:rsid w:val="004B369E"/>
    <w:rsid w:val="004B3831"/>
    <w:rsid w:val="004B5CEE"/>
    <w:rsid w:val="004B6CCB"/>
    <w:rsid w:val="004C2BF9"/>
    <w:rsid w:val="004C3E09"/>
    <w:rsid w:val="004D0D59"/>
    <w:rsid w:val="004D47F0"/>
    <w:rsid w:val="004D5BDE"/>
    <w:rsid w:val="004E2F7C"/>
    <w:rsid w:val="004E3DA8"/>
    <w:rsid w:val="004F4569"/>
    <w:rsid w:val="004F4B06"/>
    <w:rsid w:val="004F7DB0"/>
    <w:rsid w:val="005015B9"/>
    <w:rsid w:val="0051130A"/>
    <w:rsid w:val="00515921"/>
    <w:rsid w:val="005178AE"/>
    <w:rsid w:val="005246B0"/>
    <w:rsid w:val="00535203"/>
    <w:rsid w:val="005377F6"/>
    <w:rsid w:val="00541B9F"/>
    <w:rsid w:val="00546CCA"/>
    <w:rsid w:val="00554F22"/>
    <w:rsid w:val="00556B16"/>
    <w:rsid w:val="00557922"/>
    <w:rsid w:val="00560525"/>
    <w:rsid w:val="00566D71"/>
    <w:rsid w:val="00570524"/>
    <w:rsid w:val="00572C04"/>
    <w:rsid w:val="005733FC"/>
    <w:rsid w:val="00576325"/>
    <w:rsid w:val="005831D1"/>
    <w:rsid w:val="00583B5A"/>
    <w:rsid w:val="005907B1"/>
    <w:rsid w:val="00596300"/>
    <w:rsid w:val="005975CE"/>
    <w:rsid w:val="005A23F1"/>
    <w:rsid w:val="005A269B"/>
    <w:rsid w:val="005A3843"/>
    <w:rsid w:val="005A3AED"/>
    <w:rsid w:val="005A722A"/>
    <w:rsid w:val="005A7848"/>
    <w:rsid w:val="005B49A8"/>
    <w:rsid w:val="005B6680"/>
    <w:rsid w:val="005B68DE"/>
    <w:rsid w:val="005C68B9"/>
    <w:rsid w:val="005C714F"/>
    <w:rsid w:val="005D133B"/>
    <w:rsid w:val="005D269D"/>
    <w:rsid w:val="005E425D"/>
    <w:rsid w:val="005E5910"/>
    <w:rsid w:val="005E6021"/>
    <w:rsid w:val="00601321"/>
    <w:rsid w:val="00602022"/>
    <w:rsid w:val="00605B8E"/>
    <w:rsid w:val="00607550"/>
    <w:rsid w:val="00615984"/>
    <w:rsid w:val="00616F6B"/>
    <w:rsid w:val="006205EB"/>
    <w:rsid w:val="006245CE"/>
    <w:rsid w:val="00624BC5"/>
    <w:rsid w:val="00630FB2"/>
    <w:rsid w:val="0063663A"/>
    <w:rsid w:val="00650DA3"/>
    <w:rsid w:val="0066412C"/>
    <w:rsid w:val="006703E1"/>
    <w:rsid w:val="006815AA"/>
    <w:rsid w:val="00683102"/>
    <w:rsid w:val="00684371"/>
    <w:rsid w:val="00685507"/>
    <w:rsid w:val="006856E6"/>
    <w:rsid w:val="00694A48"/>
    <w:rsid w:val="00694E60"/>
    <w:rsid w:val="006A0224"/>
    <w:rsid w:val="006A1875"/>
    <w:rsid w:val="006A7A5E"/>
    <w:rsid w:val="006B09D2"/>
    <w:rsid w:val="006C0ADA"/>
    <w:rsid w:val="006C442A"/>
    <w:rsid w:val="006D23D0"/>
    <w:rsid w:val="006D265F"/>
    <w:rsid w:val="006D2B76"/>
    <w:rsid w:val="006D7CD2"/>
    <w:rsid w:val="006E1F8F"/>
    <w:rsid w:val="006E3B14"/>
    <w:rsid w:val="006E40D1"/>
    <w:rsid w:val="006E66CF"/>
    <w:rsid w:val="006F12BF"/>
    <w:rsid w:val="006F675B"/>
    <w:rsid w:val="00702A42"/>
    <w:rsid w:val="00703E4E"/>
    <w:rsid w:val="00704161"/>
    <w:rsid w:val="007071C0"/>
    <w:rsid w:val="00712361"/>
    <w:rsid w:val="00713647"/>
    <w:rsid w:val="00716694"/>
    <w:rsid w:val="0071695A"/>
    <w:rsid w:val="00720777"/>
    <w:rsid w:val="0072326E"/>
    <w:rsid w:val="0072370F"/>
    <w:rsid w:val="00723C04"/>
    <w:rsid w:val="00727E63"/>
    <w:rsid w:val="00736B13"/>
    <w:rsid w:val="00741A57"/>
    <w:rsid w:val="007435D5"/>
    <w:rsid w:val="00746CBE"/>
    <w:rsid w:val="00747BD1"/>
    <w:rsid w:val="00750175"/>
    <w:rsid w:val="00752DEB"/>
    <w:rsid w:val="0075583F"/>
    <w:rsid w:val="00757314"/>
    <w:rsid w:val="00757A87"/>
    <w:rsid w:val="007607B3"/>
    <w:rsid w:val="007617CB"/>
    <w:rsid w:val="007635E5"/>
    <w:rsid w:val="007663D6"/>
    <w:rsid w:val="00771107"/>
    <w:rsid w:val="007713AB"/>
    <w:rsid w:val="00772329"/>
    <w:rsid w:val="00773F86"/>
    <w:rsid w:val="00776494"/>
    <w:rsid w:val="007863EC"/>
    <w:rsid w:val="00786463"/>
    <w:rsid w:val="00793A8F"/>
    <w:rsid w:val="007B0431"/>
    <w:rsid w:val="007B1D83"/>
    <w:rsid w:val="007B495B"/>
    <w:rsid w:val="007B5357"/>
    <w:rsid w:val="007B6972"/>
    <w:rsid w:val="007B6DD6"/>
    <w:rsid w:val="007C5DBC"/>
    <w:rsid w:val="007C5F35"/>
    <w:rsid w:val="007C6625"/>
    <w:rsid w:val="007D2E8D"/>
    <w:rsid w:val="007D31A4"/>
    <w:rsid w:val="007D3E55"/>
    <w:rsid w:val="007D4530"/>
    <w:rsid w:val="007D5B20"/>
    <w:rsid w:val="007E1F0E"/>
    <w:rsid w:val="007E6D9C"/>
    <w:rsid w:val="007E75EE"/>
    <w:rsid w:val="007E7C3C"/>
    <w:rsid w:val="007E7C46"/>
    <w:rsid w:val="007F721A"/>
    <w:rsid w:val="0081073E"/>
    <w:rsid w:val="008118F6"/>
    <w:rsid w:val="008169E9"/>
    <w:rsid w:val="008212FE"/>
    <w:rsid w:val="008240BE"/>
    <w:rsid w:val="00830361"/>
    <w:rsid w:val="00830C68"/>
    <w:rsid w:val="00831144"/>
    <w:rsid w:val="00833CCE"/>
    <w:rsid w:val="008423D1"/>
    <w:rsid w:val="00850707"/>
    <w:rsid w:val="00854627"/>
    <w:rsid w:val="00855234"/>
    <w:rsid w:val="0085702F"/>
    <w:rsid w:val="00857BD1"/>
    <w:rsid w:val="00862727"/>
    <w:rsid w:val="00867514"/>
    <w:rsid w:val="0087545C"/>
    <w:rsid w:val="0087656A"/>
    <w:rsid w:val="00884DE2"/>
    <w:rsid w:val="008864D5"/>
    <w:rsid w:val="008877D2"/>
    <w:rsid w:val="00890CC6"/>
    <w:rsid w:val="008A005A"/>
    <w:rsid w:val="008A28CE"/>
    <w:rsid w:val="008A6E17"/>
    <w:rsid w:val="008B051B"/>
    <w:rsid w:val="008B0A85"/>
    <w:rsid w:val="008B2886"/>
    <w:rsid w:val="008B39F2"/>
    <w:rsid w:val="008C4397"/>
    <w:rsid w:val="008D06F7"/>
    <w:rsid w:val="008D4D5C"/>
    <w:rsid w:val="008D513A"/>
    <w:rsid w:val="008D52CD"/>
    <w:rsid w:val="008D6C1B"/>
    <w:rsid w:val="008E4865"/>
    <w:rsid w:val="008E78D4"/>
    <w:rsid w:val="008F34AE"/>
    <w:rsid w:val="008F3BDF"/>
    <w:rsid w:val="008F4565"/>
    <w:rsid w:val="008F67B6"/>
    <w:rsid w:val="00901AB2"/>
    <w:rsid w:val="009032D3"/>
    <w:rsid w:val="0090356B"/>
    <w:rsid w:val="00912D4B"/>
    <w:rsid w:val="009150A5"/>
    <w:rsid w:val="00915A22"/>
    <w:rsid w:val="009168BC"/>
    <w:rsid w:val="0092047E"/>
    <w:rsid w:val="00921EC8"/>
    <w:rsid w:val="00940752"/>
    <w:rsid w:val="00944E27"/>
    <w:rsid w:val="00950681"/>
    <w:rsid w:val="00950686"/>
    <w:rsid w:val="00951746"/>
    <w:rsid w:val="00951AA5"/>
    <w:rsid w:val="00953D31"/>
    <w:rsid w:val="0095482F"/>
    <w:rsid w:val="00954D11"/>
    <w:rsid w:val="0095538E"/>
    <w:rsid w:val="00965B87"/>
    <w:rsid w:val="00973FB9"/>
    <w:rsid w:val="00974CE7"/>
    <w:rsid w:val="00980027"/>
    <w:rsid w:val="00980B26"/>
    <w:rsid w:val="00982F35"/>
    <w:rsid w:val="00992CF4"/>
    <w:rsid w:val="00994250"/>
    <w:rsid w:val="009945DC"/>
    <w:rsid w:val="00995FA8"/>
    <w:rsid w:val="009A137F"/>
    <w:rsid w:val="009A3289"/>
    <w:rsid w:val="009A6E07"/>
    <w:rsid w:val="009A7BB0"/>
    <w:rsid w:val="009B310F"/>
    <w:rsid w:val="009B4124"/>
    <w:rsid w:val="009B66BA"/>
    <w:rsid w:val="009C702C"/>
    <w:rsid w:val="009D175F"/>
    <w:rsid w:val="009D6E68"/>
    <w:rsid w:val="009D7890"/>
    <w:rsid w:val="009E12AC"/>
    <w:rsid w:val="009E74FA"/>
    <w:rsid w:val="009E7F43"/>
    <w:rsid w:val="009F1594"/>
    <w:rsid w:val="00A109E4"/>
    <w:rsid w:val="00A14CD2"/>
    <w:rsid w:val="00A15CAD"/>
    <w:rsid w:val="00A1647F"/>
    <w:rsid w:val="00A17AD0"/>
    <w:rsid w:val="00A23633"/>
    <w:rsid w:val="00A25003"/>
    <w:rsid w:val="00A2525B"/>
    <w:rsid w:val="00A309FB"/>
    <w:rsid w:val="00A33788"/>
    <w:rsid w:val="00A34BF7"/>
    <w:rsid w:val="00A44D76"/>
    <w:rsid w:val="00A47E37"/>
    <w:rsid w:val="00A556AD"/>
    <w:rsid w:val="00A567C1"/>
    <w:rsid w:val="00A72955"/>
    <w:rsid w:val="00A75D6D"/>
    <w:rsid w:val="00A92655"/>
    <w:rsid w:val="00A9467D"/>
    <w:rsid w:val="00A967D6"/>
    <w:rsid w:val="00A97212"/>
    <w:rsid w:val="00A974B1"/>
    <w:rsid w:val="00AA1607"/>
    <w:rsid w:val="00AA2F3C"/>
    <w:rsid w:val="00AA3E17"/>
    <w:rsid w:val="00AA4F02"/>
    <w:rsid w:val="00AA54E5"/>
    <w:rsid w:val="00AA7F98"/>
    <w:rsid w:val="00AB7D25"/>
    <w:rsid w:val="00AC1532"/>
    <w:rsid w:val="00AC1DDA"/>
    <w:rsid w:val="00AC4FBF"/>
    <w:rsid w:val="00AD39C0"/>
    <w:rsid w:val="00AD3EAA"/>
    <w:rsid w:val="00AE06A4"/>
    <w:rsid w:val="00AE0B9E"/>
    <w:rsid w:val="00AE3140"/>
    <w:rsid w:val="00AF0F69"/>
    <w:rsid w:val="00AF29E8"/>
    <w:rsid w:val="00B03954"/>
    <w:rsid w:val="00B04AC3"/>
    <w:rsid w:val="00B100D7"/>
    <w:rsid w:val="00B14774"/>
    <w:rsid w:val="00B22DB3"/>
    <w:rsid w:val="00B3073E"/>
    <w:rsid w:val="00B4115E"/>
    <w:rsid w:val="00B42515"/>
    <w:rsid w:val="00B472D8"/>
    <w:rsid w:val="00B53B0D"/>
    <w:rsid w:val="00B55F1E"/>
    <w:rsid w:val="00B610E9"/>
    <w:rsid w:val="00B626E3"/>
    <w:rsid w:val="00B67AFC"/>
    <w:rsid w:val="00B71295"/>
    <w:rsid w:val="00B718D9"/>
    <w:rsid w:val="00B72538"/>
    <w:rsid w:val="00B73217"/>
    <w:rsid w:val="00B7405E"/>
    <w:rsid w:val="00B775AA"/>
    <w:rsid w:val="00B853E6"/>
    <w:rsid w:val="00B8632E"/>
    <w:rsid w:val="00B91DFB"/>
    <w:rsid w:val="00B94D00"/>
    <w:rsid w:val="00BA016A"/>
    <w:rsid w:val="00BA5696"/>
    <w:rsid w:val="00BA77E4"/>
    <w:rsid w:val="00BC1C28"/>
    <w:rsid w:val="00BD396F"/>
    <w:rsid w:val="00BD500D"/>
    <w:rsid w:val="00BD535C"/>
    <w:rsid w:val="00BD6A7B"/>
    <w:rsid w:val="00BE002D"/>
    <w:rsid w:val="00BE110A"/>
    <w:rsid w:val="00BE29E1"/>
    <w:rsid w:val="00BE4C84"/>
    <w:rsid w:val="00BE7C77"/>
    <w:rsid w:val="00BF66EA"/>
    <w:rsid w:val="00C026E0"/>
    <w:rsid w:val="00C03997"/>
    <w:rsid w:val="00C111FE"/>
    <w:rsid w:val="00C1429B"/>
    <w:rsid w:val="00C16030"/>
    <w:rsid w:val="00C17BFD"/>
    <w:rsid w:val="00C20A43"/>
    <w:rsid w:val="00C2240D"/>
    <w:rsid w:val="00C2250C"/>
    <w:rsid w:val="00C23A76"/>
    <w:rsid w:val="00C250B9"/>
    <w:rsid w:val="00C26CC3"/>
    <w:rsid w:val="00C315F5"/>
    <w:rsid w:val="00C353EE"/>
    <w:rsid w:val="00C42282"/>
    <w:rsid w:val="00C4633D"/>
    <w:rsid w:val="00C6084E"/>
    <w:rsid w:val="00C61A40"/>
    <w:rsid w:val="00C62E34"/>
    <w:rsid w:val="00C6769A"/>
    <w:rsid w:val="00C70395"/>
    <w:rsid w:val="00C7406E"/>
    <w:rsid w:val="00C80C21"/>
    <w:rsid w:val="00C83CFB"/>
    <w:rsid w:val="00C848D6"/>
    <w:rsid w:val="00C86DD6"/>
    <w:rsid w:val="00C949B3"/>
    <w:rsid w:val="00C960E5"/>
    <w:rsid w:val="00C9652C"/>
    <w:rsid w:val="00C97C8D"/>
    <w:rsid w:val="00CA1DE4"/>
    <w:rsid w:val="00CA6EA1"/>
    <w:rsid w:val="00CB42F3"/>
    <w:rsid w:val="00CB5A2E"/>
    <w:rsid w:val="00CC207E"/>
    <w:rsid w:val="00CC3759"/>
    <w:rsid w:val="00CC49B5"/>
    <w:rsid w:val="00CC7834"/>
    <w:rsid w:val="00CD0AC0"/>
    <w:rsid w:val="00CD3643"/>
    <w:rsid w:val="00CD3E2C"/>
    <w:rsid w:val="00CD4AB5"/>
    <w:rsid w:val="00CD6D76"/>
    <w:rsid w:val="00CE2576"/>
    <w:rsid w:val="00CF248D"/>
    <w:rsid w:val="00D01EB6"/>
    <w:rsid w:val="00D07BE6"/>
    <w:rsid w:val="00D16B09"/>
    <w:rsid w:val="00D1746F"/>
    <w:rsid w:val="00D25B2F"/>
    <w:rsid w:val="00D31E5E"/>
    <w:rsid w:val="00D352C6"/>
    <w:rsid w:val="00D41007"/>
    <w:rsid w:val="00D45726"/>
    <w:rsid w:val="00D46ECC"/>
    <w:rsid w:val="00D470AD"/>
    <w:rsid w:val="00D50A5C"/>
    <w:rsid w:val="00D51C55"/>
    <w:rsid w:val="00D568F7"/>
    <w:rsid w:val="00D56F03"/>
    <w:rsid w:val="00D578A1"/>
    <w:rsid w:val="00D65641"/>
    <w:rsid w:val="00D75B94"/>
    <w:rsid w:val="00D80C1F"/>
    <w:rsid w:val="00D814F0"/>
    <w:rsid w:val="00D9113C"/>
    <w:rsid w:val="00D9586B"/>
    <w:rsid w:val="00D96174"/>
    <w:rsid w:val="00D9643C"/>
    <w:rsid w:val="00DA7D30"/>
    <w:rsid w:val="00DB2A52"/>
    <w:rsid w:val="00DB556B"/>
    <w:rsid w:val="00DB6CA0"/>
    <w:rsid w:val="00DC1064"/>
    <w:rsid w:val="00DC136E"/>
    <w:rsid w:val="00DC6E54"/>
    <w:rsid w:val="00DC79C3"/>
    <w:rsid w:val="00DD3AA4"/>
    <w:rsid w:val="00DD481B"/>
    <w:rsid w:val="00DD6DF7"/>
    <w:rsid w:val="00DE2962"/>
    <w:rsid w:val="00DE7A5B"/>
    <w:rsid w:val="00DE7F72"/>
    <w:rsid w:val="00DF2EEC"/>
    <w:rsid w:val="00DF39F7"/>
    <w:rsid w:val="00DF4273"/>
    <w:rsid w:val="00DF4E5D"/>
    <w:rsid w:val="00E06096"/>
    <w:rsid w:val="00E128C1"/>
    <w:rsid w:val="00E12908"/>
    <w:rsid w:val="00E14025"/>
    <w:rsid w:val="00E14D39"/>
    <w:rsid w:val="00E211A8"/>
    <w:rsid w:val="00E22961"/>
    <w:rsid w:val="00E23094"/>
    <w:rsid w:val="00E2362D"/>
    <w:rsid w:val="00E3134C"/>
    <w:rsid w:val="00E323E7"/>
    <w:rsid w:val="00E3694C"/>
    <w:rsid w:val="00E41F59"/>
    <w:rsid w:val="00E42B36"/>
    <w:rsid w:val="00E44CEA"/>
    <w:rsid w:val="00E62424"/>
    <w:rsid w:val="00E6673B"/>
    <w:rsid w:val="00E76BDF"/>
    <w:rsid w:val="00E81C70"/>
    <w:rsid w:val="00E82A8C"/>
    <w:rsid w:val="00E83F88"/>
    <w:rsid w:val="00E85F50"/>
    <w:rsid w:val="00EA0C02"/>
    <w:rsid w:val="00EA41DA"/>
    <w:rsid w:val="00EB3295"/>
    <w:rsid w:val="00EB5B4C"/>
    <w:rsid w:val="00EB6E4C"/>
    <w:rsid w:val="00EC42E4"/>
    <w:rsid w:val="00EC5DCE"/>
    <w:rsid w:val="00ED01AF"/>
    <w:rsid w:val="00ED01CD"/>
    <w:rsid w:val="00ED2DE5"/>
    <w:rsid w:val="00ED33AC"/>
    <w:rsid w:val="00EE019B"/>
    <w:rsid w:val="00EE0CCC"/>
    <w:rsid w:val="00EE24E3"/>
    <w:rsid w:val="00EE405C"/>
    <w:rsid w:val="00EE45C8"/>
    <w:rsid w:val="00EE5ACE"/>
    <w:rsid w:val="00EE6075"/>
    <w:rsid w:val="00EF070E"/>
    <w:rsid w:val="00EF256C"/>
    <w:rsid w:val="00EF2CF7"/>
    <w:rsid w:val="00F0255A"/>
    <w:rsid w:val="00F02869"/>
    <w:rsid w:val="00F04D3F"/>
    <w:rsid w:val="00F05AEA"/>
    <w:rsid w:val="00F06AE6"/>
    <w:rsid w:val="00F22DF9"/>
    <w:rsid w:val="00F25F3F"/>
    <w:rsid w:val="00F40B86"/>
    <w:rsid w:val="00F44F9C"/>
    <w:rsid w:val="00F51800"/>
    <w:rsid w:val="00F54E87"/>
    <w:rsid w:val="00F55259"/>
    <w:rsid w:val="00F6539F"/>
    <w:rsid w:val="00F70E7E"/>
    <w:rsid w:val="00F73F4A"/>
    <w:rsid w:val="00F745BD"/>
    <w:rsid w:val="00F74C05"/>
    <w:rsid w:val="00F91513"/>
    <w:rsid w:val="00F92777"/>
    <w:rsid w:val="00F945F0"/>
    <w:rsid w:val="00FA3355"/>
    <w:rsid w:val="00FA640F"/>
    <w:rsid w:val="00FC0413"/>
    <w:rsid w:val="00FC4AC1"/>
    <w:rsid w:val="00FC7E55"/>
    <w:rsid w:val="00FD2AFA"/>
    <w:rsid w:val="00FE350A"/>
    <w:rsid w:val="00FE4C33"/>
    <w:rsid w:val="01494BC1"/>
    <w:rsid w:val="014E6BA1"/>
    <w:rsid w:val="0206769A"/>
    <w:rsid w:val="023F7715"/>
    <w:rsid w:val="02782DE9"/>
    <w:rsid w:val="02DE344B"/>
    <w:rsid w:val="0342200B"/>
    <w:rsid w:val="039D3872"/>
    <w:rsid w:val="05580AEE"/>
    <w:rsid w:val="059D782E"/>
    <w:rsid w:val="06A41207"/>
    <w:rsid w:val="077FB430"/>
    <w:rsid w:val="07AB5E98"/>
    <w:rsid w:val="0A961875"/>
    <w:rsid w:val="0B0460F9"/>
    <w:rsid w:val="0B416D6D"/>
    <w:rsid w:val="0B750923"/>
    <w:rsid w:val="0C743125"/>
    <w:rsid w:val="0CB25440"/>
    <w:rsid w:val="0D102A6E"/>
    <w:rsid w:val="0D36519E"/>
    <w:rsid w:val="0D7278F8"/>
    <w:rsid w:val="0D8340BA"/>
    <w:rsid w:val="0EEA0F53"/>
    <w:rsid w:val="0F32164C"/>
    <w:rsid w:val="0FF33E32"/>
    <w:rsid w:val="103746DA"/>
    <w:rsid w:val="104E7729"/>
    <w:rsid w:val="108737F0"/>
    <w:rsid w:val="11505D87"/>
    <w:rsid w:val="11FC011F"/>
    <w:rsid w:val="11FD1750"/>
    <w:rsid w:val="12010108"/>
    <w:rsid w:val="128F7FFB"/>
    <w:rsid w:val="12F27D72"/>
    <w:rsid w:val="138221A7"/>
    <w:rsid w:val="13F58674"/>
    <w:rsid w:val="13F72E37"/>
    <w:rsid w:val="157302D6"/>
    <w:rsid w:val="165B2C0C"/>
    <w:rsid w:val="16735785"/>
    <w:rsid w:val="18F93C54"/>
    <w:rsid w:val="19060A11"/>
    <w:rsid w:val="19124495"/>
    <w:rsid w:val="19D6742E"/>
    <w:rsid w:val="1AD559B1"/>
    <w:rsid w:val="1C0E5505"/>
    <w:rsid w:val="1D0661A2"/>
    <w:rsid w:val="1D224366"/>
    <w:rsid w:val="1D5B4A00"/>
    <w:rsid w:val="1DF04B97"/>
    <w:rsid w:val="1E83563E"/>
    <w:rsid w:val="1EA51077"/>
    <w:rsid w:val="1EDD6BB0"/>
    <w:rsid w:val="1EEE679A"/>
    <w:rsid w:val="1F4E1D98"/>
    <w:rsid w:val="202D2A84"/>
    <w:rsid w:val="24A2704A"/>
    <w:rsid w:val="24A90E0A"/>
    <w:rsid w:val="25A1616B"/>
    <w:rsid w:val="266C5473"/>
    <w:rsid w:val="26CD31B1"/>
    <w:rsid w:val="26E4645C"/>
    <w:rsid w:val="273243A3"/>
    <w:rsid w:val="274F16E8"/>
    <w:rsid w:val="27840A28"/>
    <w:rsid w:val="27E91EA9"/>
    <w:rsid w:val="28EB2B09"/>
    <w:rsid w:val="28ED2F16"/>
    <w:rsid w:val="29161B11"/>
    <w:rsid w:val="295A69C6"/>
    <w:rsid w:val="29E63BBA"/>
    <w:rsid w:val="2A242CEF"/>
    <w:rsid w:val="2A527F52"/>
    <w:rsid w:val="2ACA1A9A"/>
    <w:rsid w:val="2B5051B5"/>
    <w:rsid w:val="2C302A07"/>
    <w:rsid w:val="2C8FDF2B"/>
    <w:rsid w:val="2D1058DD"/>
    <w:rsid w:val="2E043C40"/>
    <w:rsid w:val="2E1E1E0F"/>
    <w:rsid w:val="2EA14F40"/>
    <w:rsid w:val="2FA20CA6"/>
    <w:rsid w:val="303E2836"/>
    <w:rsid w:val="30B81C3C"/>
    <w:rsid w:val="312730CA"/>
    <w:rsid w:val="31326F49"/>
    <w:rsid w:val="31DF78DE"/>
    <w:rsid w:val="329B0E19"/>
    <w:rsid w:val="3347299E"/>
    <w:rsid w:val="33D766E0"/>
    <w:rsid w:val="34726007"/>
    <w:rsid w:val="35EA6BEC"/>
    <w:rsid w:val="36A2201A"/>
    <w:rsid w:val="36D214DF"/>
    <w:rsid w:val="37716131"/>
    <w:rsid w:val="377CF420"/>
    <w:rsid w:val="381D7BDE"/>
    <w:rsid w:val="38426AA2"/>
    <w:rsid w:val="386D524F"/>
    <w:rsid w:val="3910673A"/>
    <w:rsid w:val="39223553"/>
    <w:rsid w:val="3A126719"/>
    <w:rsid w:val="3A3E0A25"/>
    <w:rsid w:val="3A6E5CA4"/>
    <w:rsid w:val="3A717748"/>
    <w:rsid w:val="3B1C3193"/>
    <w:rsid w:val="3BD1333B"/>
    <w:rsid w:val="3BF981AD"/>
    <w:rsid w:val="3CAC2244"/>
    <w:rsid w:val="3CAD532D"/>
    <w:rsid w:val="3CD76F0F"/>
    <w:rsid w:val="3D2708C9"/>
    <w:rsid w:val="3D3F9449"/>
    <w:rsid w:val="3DA43295"/>
    <w:rsid w:val="3DD64F0E"/>
    <w:rsid w:val="3EC50449"/>
    <w:rsid w:val="3EE013D5"/>
    <w:rsid w:val="3EF618CF"/>
    <w:rsid w:val="3FED72D4"/>
    <w:rsid w:val="40BC08F6"/>
    <w:rsid w:val="40C31C84"/>
    <w:rsid w:val="40DC09B8"/>
    <w:rsid w:val="40FE400D"/>
    <w:rsid w:val="4227790F"/>
    <w:rsid w:val="424A0642"/>
    <w:rsid w:val="42ED0A21"/>
    <w:rsid w:val="43077D6C"/>
    <w:rsid w:val="43495AB3"/>
    <w:rsid w:val="436C14DF"/>
    <w:rsid w:val="437C611B"/>
    <w:rsid w:val="43F732C8"/>
    <w:rsid w:val="44430AE4"/>
    <w:rsid w:val="44765389"/>
    <w:rsid w:val="456B19BA"/>
    <w:rsid w:val="45E6584F"/>
    <w:rsid w:val="46360B47"/>
    <w:rsid w:val="4666595F"/>
    <w:rsid w:val="46BC2FC1"/>
    <w:rsid w:val="46D7095A"/>
    <w:rsid w:val="47ED6F5A"/>
    <w:rsid w:val="48107F08"/>
    <w:rsid w:val="485828FA"/>
    <w:rsid w:val="48C640D8"/>
    <w:rsid w:val="49051B24"/>
    <w:rsid w:val="498E7762"/>
    <w:rsid w:val="4ABA5649"/>
    <w:rsid w:val="4B304092"/>
    <w:rsid w:val="4BCC60C5"/>
    <w:rsid w:val="4C5E3A2A"/>
    <w:rsid w:val="4DAD4AFD"/>
    <w:rsid w:val="4DC26726"/>
    <w:rsid w:val="4E8A177B"/>
    <w:rsid w:val="50C87D70"/>
    <w:rsid w:val="51DF0D68"/>
    <w:rsid w:val="51ED4DB3"/>
    <w:rsid w:val="52EA6BF8"/>
    <w:rsid w:val="53B768FB"/>
    <w:rsid w:val="54B45845"/>
    <w:rsid w:val="54C362E1"/>
    <w:rsid w:val="54C909A5"/>
    <w:rsid w:val="55417E04"/>
    <w:rsid w:val="55A44880"/>
    <w:rsid w:val="55FB10AA"/>
    <w:rsid w:val="562C61B4"/>
    <w:rsid w:val="5630145F"/>
    <w:rsid w:val="563D431A"/>
    <w:rsid w:val="566C374A"/>
    <w:rsid w:val="56CD15F3"/>
    <w:rsid w:val="57065B16"/>
    <w:rsid w:val="579FAC73"/>
    <w:rsid w:val="57C6306D"/>
    <w:rsid w:val="57CA0E3D"/>
    <w:rsid w:val="58462614"/>
    <w:rsid w:val="587E125D"/>
    <w:rsid w:val="58A15A24"/>
    <w:rsid w:val="5A476E96"/>
    <w:rsid w:val="5A5E0053"/>
    <w:rsid w:val="5A7F126A"/>
    <w:rsid w:val="5BF46D3E"/>
    <w:rsid w:val="5D845EA0"/>
    <w:rsid w:val="5E9C0E43"/>
    <w:rsid w:val="5EE94349"/>
    <w:rsid w:val="5F4A4272"/>
    <w:rsid w:val="5FF72BA8"/>
    <w:rsid w:val="5FF98307"/>
    <w:rsid w:val="606611C5"/>
    <w:rsid w:val="606B6434"/>
    <w:rsid w:val="60C211B9"/>
    <w:rsid w:val="60C3219B"/>
    <w:rsid w:val="619A037B"/>
    <w:rsid w:val="62B6559F"/>
    <w:rsid w:val="630C7A4D"/>
    <w:rsid w:val="63972ABF"/>
    <w:rsid w:val="641F6EA8"/>
    <w:rsid w:val="6465455B"/>
    <w:rsid w:val="64AA6040"/>
    <w:rsid w:val="64EE40D7"/>
    <w:rsid w:val="65DD6A95"/>
    <w:rsid w:val="66532BAE"/>
    <w:rsid w:val="67D46CC2"/>
    <w:rsid w:val="68245C9B"/>
    <w:rsid w:val="697D1CA1"/>
    <w:rsid w:val="69EC1061"/>
    <w:rsid w:val="69FB7399"/>
    <w:rsid w:val="6A1A02B8"/>
    <w:rsid w:val="6A69700F"/>
    <w:rsid w:val="6B480E55"/>
    <w:rsid w:val="6BF8701A"/>
    <w:rsid w:val="6C843D44"/>
    <w:rsid w:val="6D461A66"/>
    <w:rsid w:val="6DF79335"/>
    <w:rsid w:val="6E5A37E5"/>
    <w:rsid w:val="6F625DA5"/>
    <w:rsid w:val="6FF6502C"/>
    <w:rsid w:val="70A24F9D"/>
    <w:rsid w:val="70F1234B"/>
    <w:rsid w:val="717644B5"/>
    <w:rsid w:val="72170F4D"/>
    <w:rsid w:val="722A12B4"/>
    <w:rsid w:val="724F7A1F"/>
    <w:rsid w:val="732D2897"/>
    <w:rsid w:val="734305AA"/>
    <w:rsid w:val="73801189"/>
    <w:rsid w:val="7447614D"/>
    <w:rsid w:val="74D2388A"/>
    <w:rsid w:val="75447291"/>
    <w:rsid w:val="757F3133"/>
    <w:rsid w:val="75B778F8"/>
    <w:rsid w:val="75FC8505"/>
    <w:rsid w:val="76DA5057"/>
    <w:rsid w:val="77DF7185"/>
    <w:rsid w:val="7A317865"/>
    <w:rsid w:val="7A4C6562"/>
    <w:rsid w:val="7B1769F3"/>
    <w:rsid w:val="7B1F3DF0"/>
    <w:rsid w:val="7B403E6C"/>
    <w:rsid w:val="7B680AF7"/>
    <w:rsid w:val="7BD302C6"/>
    <w:rsid w:val="7BEF0ABF"/>
    <w:rsid w:val="7C811B09"/>
    <w:rsid w:val="7E6FAA27"/>
    <w:rsid w:val="7EEB71C4"/>
    <w:rsid w:val="7F6E5F24"/>
    <w:rsid w:val="7F7564D7"/>
    <w:rsid w:val="7F7C7A90"/>
    <w:rsid w:val="7F7FFE50"/>
    <w:rsid w:val="7FABF3F6"/>
    <w:rsid w:val="7FBBF153"/>
    <w:rsid w:val="7FF464A1"/>
    <w:rsid w:val="8B936500"/>
    <w:rsid w:val="9C8F8098"/>
    <w:rsid w:val="C593C6F3"/>
    <w:rsid w:val="CFEE59D6"/>
    <w:rsid w:val="DDFDF2F3"/>
    <w:rsid w:val="DFF74451"/>
    <w:rsid w:val="EA964C1F"/>
    <w:rsid w:val="EB6BF8C3"/>
    <w:rsid w:val="EF5B594E"/>
    <w:rsid w:val="F3FBFDAD"/>
    <w:rsid w:val="FAEA6420"/>
    <w:rsid w:val="FB7F2C2F"/>
    <w:rsid w:val="FDB67CD6"/>
    <w:rsid w:val="FDC37A56"/>
    <w:rsid w:val="FDF3DACA"/>
    <w:rsid w:val="FDFEFE25"/>
    <w:rsid w:val="FF5F0281"/>
    <w:rsid w:val="FFBF9F77"/>
    <w:rsid w:val="FFEED0DC"/>
    <w:rsid w:val="FFFEC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next w:val="1"/>
    <w:qFormat/>
    <w:uiPriority w:val="0"/>
    <w:pPr>
      <w:keepNext/>
      <w:keepLines/>
      <w:widowControl w:val="0"/>
      <w:spacing w:before="260" w:after="260" w:line="412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heading 3"/>
    <w:basedOn w:val="1"/>
    <w:next w:val="1"/>
    <w:link w:val="37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6">
    <w:name w:val="annotation text"/>
    <w:basedOn w:val="1"/>
    <w:link w:val="29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adjustRightInd w:val="0"/>
      <w:snapToGrid w:val="0"/>
      <w:spacing w:line="264" w:lineRule="auto"/>
    </w:pPr>
    <w:rPr>
      <w:rFonts w:ascii="Times New Roman" w:hAnsi="Times New Roman" w:cs="Times New Roman"/>
      <w:bCs/>
    </w:rPr>
  </w:style>
  <w:style w:type="paragraph" w:customStyle="1" w:styleId="8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9">
    <w:name w:val="Body Text Indent"/>
    <w:basedOn w:val="1"/>
    <w:next w:val="10"/>
    <w:link w:val="36"/>
    <w:semiHidden/>
    <w:unhideWhenUsed/>
    <w:qFormat/>
    <w:uiPriority w:val="99"/>
    <w:pPr>
      <w:spacing w:after="120"/>
      <w:ind w:left="420"/>
    </w:pPr>
  </w:style>
  <w:style w:type="paragraph" w:styleId="10">
    <w:name w:val="Body Text First Indent 2"/>
    <w:basedOn w:val="9"/>
    <w:next w:val="1"/>
    <w:unhideWhenUsed/>
    <w:qFormat/>
    <w:uiPriority w:val="99"/>
    <w:pPr>
      <w:ind w:firstLine="420" w:firstLineChars="200"/>
    </w:pPr>
  </w:style>
  <w:style w:type="paragraph" w:styleId="11">
    <w:name w:val="toc 3"/>
    <w:basedOn w:val="1"/>
    <w:next w:val="1"/>
    <w:qFormat/>
    <w:uiPriority w:val="0"/>
    <w:pPr>
      <w:ind w:left="840" w:leftChars="400"/>
    </w:pPr>
  </w:style>
  <w:style w:type="paragraph" w:styleId="12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unhideWhenUsed/>
    <w:qFormat/>
    <w:uiPriority w:val="99"/>
    <w:pPr>
      <w:snapToGrid w:val="0"/>
    </w:pPr>
    <w:rPr>
      <w:rFonts w:ascii="Calibri Light" w:hAnsi="Calibri Light" w:eastAsia="宋体" w:cs="Times New Roman"/>
    </w:rPr>
  </w:style>
  <w:style w:type="paragraph" w:styleId="14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footnote text"/>
    <w:basedOn w:val="1"/>
    <w:next w:val="10"/>
    <w:qFormat/>
    <w:uiPriority w:val="0"/>
    <w:pPr>
      <w:snapToGrid w:val="0"/>
      <w:jc w:val="left"/>
    </w:pPr>
    <w:rPr>
      <w:rFonts w:ascii="Calibri" w:hAnsi="Calibri" w:eastAsia="宋体"/>
      <w:sz w:val="18"/>
      <w:szCs w:val="24"/>
    </w:rPr>
  </w:style>
  <w:style w:type="paragraph" w:styleId="16">
    <w:name w:val="Body Text 2"/>
    <w:basedOn w:val="1"/>
    <w:unhideWhenUsed/>
    <w:qFormat/>
    <w:uiPriority w:val="0"/>
    <w:pPr>
      <w:spacing w:line="360" w:lineRule="auto"/>
      <w:ind w:firstLine="200" w:firstLineChars="200"/>
    </w:pPr>
    <w:rPr>
      <w:rFonts w:eastAsia="楷体_GB2312"/>
      <w:sz w:val="32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annotation subject"/>
    <w:basedOn w:val="6"/>
    <w:next w:val="6"/>
    <w:link w:val="30"/>
    <w:semiHidden/>
    <w:unhideWhenUsed/>
    <w:qFormat/>
    <w:uiPriority w:val="99"/>
    <w:rPr>
      <w:b/>
      <w:bCs/>
    </w:rPr>
  </w:style>
  <w:style w:type="paragraph" w:styleId="19">
    <w:name w:val="Body Text First Indent"/>
    <w:basedOn w:val="7"/>
    <w:qFormat/>
    <w:uiPriority w:val="0"/>
    <w:pPr>
      <w:spacing w:beforeAutospacing="1" w:after="100" w:afterAutospacing="1"/>
      <w:ind w:left="1548" w:firstLine="420" w:firstLineChars="100"/>
    </w:pPr>
    <w:rPr>
      <w:kern w:val="0"/>
      <w:sz w:val="20"/>
      <w:szCs w:val="20"/>
    </w:rPr>
  </w:style>
  <w:style w:type="table" w:styleId="21">
    <w:name w:val="Table Grid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Emphasis"/>
    <w:basedOn w:val="22"/>
    <w:qFormat/>
    <w:uiPriority w:val="20"/>
    <w:rPr>
      <w:i/>
    </w:rPr>
  </w:style>
  <w:style w:type="character" w:styleId="25">
    <w:name w:val="annotation reference"/>
    <w:basedOn w:val="22"/>
    <w:qFormat/>
    <w:uiPriority w:val="0"/>
    <w:rPr>
      <w:sz w:val="21"/>
      <w:szCs w:val="21"/>
    </w:rPr>
  </w:style>
  <w:style w:type="paragraph" w:customStyle="1" w:styleId="26">
    <w:name w:val="BodyText"/>
    <w:basedOn w:val="1"/>
    <w:next w:val="1"/>
    <w:qFormat/>
    <w:uiPriority w:val="0"/>
    <w:rPr>
      <w:sz w:val="32"/>
      <w:szCs w:val="32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9">
    <w:name w:val="批注文字 字符"/>
    <w:basedOn w:val="22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0">
    <w:name w:val="批注主题 字符"/>
    <w:basedOn w:val="29"/>
    <w:link w:val="1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31">
    <w:name w:val="页眉 字符"/>
    <w:basedOn w:val="22"/>
    <w:link w:val="1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2">
    <w:name w:val="页脚 字符"/>
    <w:basedOn w:val="22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3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character" w:customStyle="1" w:styleId="36">
    <w:name w:val="正文文本缩进 字符"/>
    <w:basedOn w:val="22"/>
    <w:link w:val="9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7">
    <w:name w:val="标题 3 字符"/>
    <w:link w:val="5"/>
    <w:qFormat/>
    <w:uiPriority w:val="0"/>
    <w:rPr>
      <w:b/>
      <w:sz w:val="32"/>
    </w:rPr>
  </w:style>
  <w:style w:type="character" w:customStyle="1" w:styleId="38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9">
    <w:name w:val="font11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paragraph" w:customStyle="1" w:styleId="40">
    <w:name w:val="通政办发"/>
    <w:basedOn w:val="1"/>
    <w:qFormat/>
    <w:uiPriority w:val="0"/>
    <w:pPr>
      <w:snapToGrid w:val="0"/>
      <w:spacing w:line="600" w:lineRule="exact"/>
      <w:jc w:val="center"/>
    </w:pPr>
    <w:rPr>
      <w:rFonts w:ascii="仿宋_GB2312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8776</Words>
  <Characters>8930</Characters>
  <Lines>24</Lines>
  <Paragraphs>6</Paragraphs>
  <TotalTime>7</TotalTime>
  <ScaleCrop>false</ScaleCrop>
  <LinksUpToDate>false</LinksUpToDate>
  <CharactersWithSpaces>8968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2023-09-28T04:10:00Z</dcterms:created>
  <dc:creator>wq</dc:creator>
  <cp:lastModifiedBy>user</cp:lastModifiedBy>
  <cp:lastPrinted>2023-12-20T22:35:00Z</cp:lastPrinted>
  <dcterms:modified xsi:type="dcterms:W3CDTF">2023-12-29T17:21:35Z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D0B27D26D55A467CAE7E760B9BC19193</vt:lpwstr>
  </property>
</Properties>
</file>