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ind w:right="0" w:rightChars="0"/>
        <w:jc w:val="center"/>
        <w:textAlignment w:val="auto"/>
        <w:rPr>
          <w:rFonts w:ascii="方正小标宋简体" w:hAnsi="仿宋_GB2312" w:eastAsia="方正小标宋简体"/>
          <w:sz w:val="44"/>
          <w:szCs w:val="44"/>
        </w:rPr>
      </w:pPr>
      <w:bookmarkStart w:id="76" w:name="_GoBack"/>
      <w:r>
        <w:rPr>
          <w:rFonts w:hint="eastAsia" w:ascii="方正小标宋简体" w:hAnsi="仿宋_GB2312" w:eastAsia="方正小标宋简体"/>
          <w:b w:val="0"/>
          <w:bCs w:val="0"/>
          <w:sz w:val="44"/>
          <w:szCs w:val="44"/>
        </w:rPr>
        <w:t>关于《北京城市副中心（通州区）“十五五”时期应急管理和城市安全韧性协同提升规划</w:t>
      </w:r>
      <w:r>
        <w:rPr>
          <w:rFonts w:hint="eastAsia" w:ascii="方正小标宋简体" w:hAnsi="仿宋_GB2312" w:eastAsia="方正小标宋简体"/>
          <w:b w:val="0"/>
          <w:bCs w:val="0"/>
          <w:sz w:val="44"/>
          <w:szCs w:val="44"/>
          <w:lang w:eastAsia="zh-CN"/>
        </w:rPr>
        <w:t>（</w:t>
      </w:r>
      <w:r>
        <w:rPr>
          <w:rFonts w:hint="eastAsia" w:ascii="方正小标宋简体" w:hAnsi="仿宋_GB2312" w:eastAsia="方正小标宋简体"/>
          <w:b w:val="0"/>
          <w:bCs w:val="0"/>
          <w:sz w:val="44"/>
          <w:szCs w:val="44"/>
          <w:lang w:val="en-US" w:eastAsia="zh-CN"/>
        </w:rPr>
        <w:t>征求意见稿</w:t>
      </w:r>
      <w:r>
        <w:rPr>
          <w:rFonts w:hint="eastAsia" w:ascii="方正小标宋简体" w:hAnsi="仿宋_GB2312" w:eastAsia="方正小标宋简体"/>
          <w:b w:val="0"/>
          <w:bCs w:val="0"/>
          <w:sz w:val="44"/>
          <w:szCs w:val="44"/>
          <w:lang w:eastAsia="zh-CN"/>
        </w:rPr>
        <w:t>）</w:t>
      </w:r>
      <w:r>
        <w:rPr>
          <w:rFonts w:hint="eastAsia" w:ascii="方正小标宋简体" w:hAnsi="仿宋_GB2312" w:eastAsia="方正小标宋简体"/>
          <w:b w:val="0"/>
          <w:bCs w:val="0"/>
          <w:sz w:val="44"/>
          <w:szCs w:val="44"/>
        </w:rPr>
        <w:t>》的起草说</w:t>
      </w:r>
      <w:r>
        <w:rPr>
          <w:rFonts w:hint="eastAsia" w:ascii="方正小标宋简体" w:hAnsi="仿宋_GB2312" w:eastAsia="方正小标宋简体"/>
          <w:sz w:val="44"/>
          <w:szCs w:val="44"/>
        </w:rPr>
        <w:t>明</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rPr>
          <w:rFonts w:ascii="黑体" w:hAnsi="黑体" w:eastAsia="黑体" w:cs="黑体"/>
          <w:sz w:val="32"/>
          <w:szCs w:val="32"/>
        </w:rPr>
      </w:pPr>
      <w:bookmarkStart w:id="0" w:name="_Toc29612"/>
      <w:bookmarkStart w:id="1" w:name="_Toc1786436564"/>
      <w:bookmarkStart w:id="2" w:name="_Toc27801"/>
      <w:bookmarkStart w:id="3" w:name="_Toc7205"/>
      <w:bookmarkStart w:id="4" w:name="_Toc26571"/>
      <w:bookmarkStart w:id="5" w:name="_Toc12590"/>
      <w:bookmarkStart w:id="6" w:name="_Toc19062"/>
      <w:bookmarkStart w:id="7" w:name="_Toc2818"/>
      <w:bookmarkStart w:id="8" w:name="_Toc4633"/>
      <w:bookmarkStart w:id="9" w:name="_Toc2119186901"/>
      <w:bookmarkStart w:id="10" w:name="_Toc336567400"/>
      <w:bookmarkStart w:id="11" w:name="_Toc8625"/>
      <w:bookmarkStart w:id="12" w:name="_Toc1252345155"/>
      <w:bookmarkStart w:id="13" w:name="_Toc11600"/>
      <w:bookmarkStart w:id="14" w:name="_Toc92818517"/>
      <w:bookmarkStart w:id="15" w:name="_Toc7701"/>
      <w:bookmarkStart w:id="16" w:name="_Toc13501"/>
      <w:bookmarkStart w:id="17" w:name="_Toc21093"/>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outlineLvl w:val="1"/>
        <w:rPr>
          <w:rFonts w:ascii="黑体" w:hAnsi="黑体" w:eastAsia="黑体" w:cs="黑体"/>
          <w:color w:val="000000"/>
          <w:sz w:val="32"/>
          <w:szCs w:val="32"/>
        </w:rPr>
      </w:pPr>
      <w:r>
        <w:rPr>
          <w:rFonts w:hint="eastAsia" w:ascii="黑体" w:hAnsi="黑体" w:eastAsia="黑体" w:cs="黑体"/>
          <w:sz w:val="32"/>
          <w:szCs w:val="32"/>
        </w:rPr>
        <w:t>一、规划背景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北京落实首都城市战略定位、建设国际一流的和谐宜居之都的攻坚时期，也是《北京城市副中心控制性详细规划（街区层面）（2016年-2035年）》批复实施后的关键时期，是城市副中心框架内涵深化、主导功能稳固提升、现代产业体系加快构建、区域高质量协同发展、城市品质全面跃升的重要时期。编制实施好“十五五”规划，对将城市副中心打造为中国式现代化进程中的城市发展样板具有重要基础性、引领性作用。</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《北京城市副中心（通州区）“十五五”时期应急管理和城市安全韧性协同提升规划》（以下简称“本规划”）作为《北京城市副中心（通州区）国民经济和社会发展第十五个五年规划纲要》在</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领域的延伸与细化落地文件，</w:t>
      </w:r>
      <w:r>
        <w:rPr>
          <w:rFonts w:hint="eastAsia" w:ascii="仿宋_GB2312" w:hAnsi="仿宋_GB2312" w:eastAsia="仿宋_GB2312" w:cs="仿宋_GB2312"/>
          <w:sz w:val="32"/>
          <w:szCs w:val="32"/>
          <w:lang w:val="en-US" w:eastAsia="zh-CN"/>
        </w:rPr>
        <w:t>是“十五五”期间应急管理和城市安全韧性提升的</w:t>
      </w:r>
      <w:r>
        <w:rPr>
          <w:rFonts w:hint="eastAsia" w:ascii="仿宋_GB2312" w:hAnsi="仿宋_GB2312" w:eastAsia="仿宋_GB2312" w:cs="仿宋_GB2312"/>
          <w:sz w:val="32"/>
          <w:szCs w:val="32"/>
        </w:rPr>
        <w:t>重要指导文件和行动纲领，</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形成与</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副中心相适应的城市安全发展体系，全面构建共建共治共享格局具有重要现实意义。</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outlineLvl w:val="1"/>
        <w:rPr>
          <w:rFonts w:hint="eastAsia" w:ascii="黑体" w:hAnsi="黑体" w:eastAsia="黑体" w:cs="黑体"/>
          <w:sz w:val="32"/>
          <w:szCs w:val="32"/>
        </w:rPr>
      </w:pPr>
      <w:bookmarkStart w:id="18" w:name="_Toc18803"/>
      <w:bookmarkStart w:id="19" w:name="_Toc927687497"/>
      <w:bookmarkStart w:id="20" w:name="_Toc22964"/>
      <w:bookmarkStart w:id="21" w:name="_Toc92073748"/>
      <w:bookmarkStart w:id="22" w:name="_Toc2595"/>
      <w:bookmarkStart w:id="23" w:name="_Toc18515"/>
      <w:bookmarkStart w:id="24" w:name="_Toc677795838"/>
      <w:bookmarkStart w:id="25" w:name="_Toc28033"/>
      <w:bookmarkStart w:id="26" w:name="_Toc19453"/>
      <w:bookmarkStart w:id="27" w:name="_Toc2847"/>
      <w:bookmarkStart w:id="28" w:name="_Toc630345629"/>
      <w:bookmarkStart w:id="29" w:name="_Toc18876"/>
      <w:bookmarkStart w:id="30" w:name="_Toc216365602"/>
      <w:bookmarkStart w:id="31" w:name="_Toc5491"/>
      <w:bookmarkStart w:id="32" w:name="_Toc32018"/>
      <w:bookmarkStart w:id="33" w:name="_Toc11516"/>
      <w:bookmarkStart w:id="34" w:name="_Toc19060"/>
      <w:bookmarkStart w:id="35" w:name="_Toc12125"/>
      <w:r>
        <w:rPr>
          <w:rFonts w:hint="eastAsia" w:ascii="黑体" w:hAnsi="黑体" w:eastAsia="黑体" w:cs="黑体"/>
          <w:sz w:val="32"/>
          <w:szCs w:val="32"/>
        </w:rPr>
        <w:t>二、规划依据</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坚持以习近平新时代中国特色社会主义思想为指导，</w:t>
      </w:r>
      <w:r>
        <w:rPr>
          <w:rFonts w:hint="eastAsia" w:ascii="仿宋_GB2312" w:hAnsi="仿宋_GB2312" w:eastAsia="仿宋_GB2312" w:cs="仿宋_GB2312"/>
          <w:sz w:val="32"/>
          <w:szCs w:val="32"/>
          <w:lang w:val="en-US"/>
        </w:rPr>
        <w:t>全面贯彻党的二十大和二十届历次全会精神，深入落实习近平总书记对北京重要讲话及对北京城市副中心重要指示批示精神，认真执行中共北京市委十三届历次全会决策部署。严格遵循党中央、国务院关于北京城市副中心控制性详细规划的批复要求，落实《中华人民共和国突发事件应对法》《中华人民共和国安全生产法》《北京市国民经济和社会发展第十五个五年规划纲要》《北京城市副中心（通州区）国民经济和社会发展第十五个五年规划纲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北京市韧性城市空间专项规划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2022年-2035年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等文件规定</w:t>
      </w:r>
      <w:r>
        <w:rPr>
          <w:rFonts w:hint="eastAsia" w:ascii="仿宋_GB2312" w:hAnsi="仿宋_GB2312" w:eastAsia="仿宋_GB2312" w:cs="仿宋_GB2312"/>
          <w:sz w:val="32"/>
          <w:szCs w:val="32"/>
          <w:lang w:val="en-US" w:eastAsia="zh-CN"/>
        </w:rPr>
        <w:t>以及京津冀及通武廊跨区域应急联动协议等</w:t>
      </w:r>
      <w:r>
        <w:rPr>
          <w:rFonts w:hint="eastAsia" w:ascii="仿宋_GB2312" w:hAnsi="仿宋_GB2312" w:eastAsia="仿宋_GB2312" w:cs="仿宋_GB2312"/>
          <w:sz w:val="32"/>
          <w:szCs w:val="32"/>
          <w:lang w:val="en-US"/>
        </w:rPr>
        <w:t>，特编制本规划。</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outlineLvl w:val="1"/>
        <w:rPr>
          <w:rFonts w:hint="eastAsia" w:ascii="黑体" w:hAnsi="黑体" w:eastAsia="黑体" w:cs="黑体"/>
          <w:sz w:val="32"/>
          <w:szCs w:val="32"/>
        </w:rPr>
      </w:pPr>
      <w:bookmarkStart w:id="36" w:name="_Toc912484859"/>
      <w:bookmarkStart w:id="37" w:name="_Toc21184"/>
      <w:bookmarkStart w:id="38" w:name="_Toc20452"/>
      <w:bookmarkStart w:id="39" w:name="_Toc23683"/>
      <w:bookmarkStart w:id="40" w:name="_Toc188156461"/>
      <w:bookmarkStart w:id="41" w:name="_Toc25122"/>
      <w:bookmarkStart w:id="42" w:name="_Toc1998"/>
      <w:bookmarkStart w:id="43" w:name="_Toc1845"/>
      <w:bookmarkStart w:id="44" w:name="_Toc16296"/>
      <w:bookmarkStart w:id="45" w:name="_Toc1924059339"/>
      <w:bookmarkStart w:id="46" w:name="_Toc19455"/>
      <w:bookmarkStart w:id="47" w:name="_Toc2380"/>
      <w:bookmarkStart w:id="48" w:name="_Toc766858443"/>
      <w:bookmarkStart w:id="49" w:name="_Toc1461385578"/>
      <w:bookmarkStart w:id="50" w:name="_Toc18931"/>
      <w:bookmarkStart w:id="51" w:name="_Toc22680"/>
      <w:bookmarkStart w:id="52" w:name="_Toc9519"/>
      <w:bookmarkStart w:id="53" w:name="_Toc2750"/>
      <w:r>
        <w:rPr>
          <w:rFonts w:hint="eastAsia" w:ascii="黑体" w:hAnsi="黑体" w:eastAsia="黑体" w:cs="黑体"/>
          <w:sz w:val="32"/>
          <w:szCs w:val="32"/>
        </w:rPr>
        <w:t>三、规划目的与意义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编制本规划是立足北京城市副中心功能定位，</w:t>
      </w:r>
      <w:r>
        <w:rPr>
          <w:rFonts w:hint="eastAsia" w:ascii="仿宋_GB2312" w:hAnsi="仿宋_GB2312" w:eastAsia="仿宋_GB2312" w:cs="仿宋_GB2312"/>
          <w:sz w:val="32"/>
          <w:szCs w:val="32"/>
          <w:lang w:val="en-US" w:eastAsia="zh-CN"/>
        </w:rPr>
        <w:t>是全面提升北京城市副中心韧性的重要举措。规划贯彻总体国家安全观，统筹发展和安全，以推进治理模式向事前预防转型为主线，实现</w:t>
      </w:r>
      <w:r>
        <w:rPr>
          <w:rFonts w:hint="eastAsia" w:ascii="仿宋_GB2312" w:hAnsi="仿宋_GB2312" w:eastAsia="仿宋_GB2312" w:cs="仿宋_GB2312"/>
          <w:sz w:val="32"/>
          <w:szCs w:val="32"/>
        </w:rPr>
        <w:t>重大安全风险</w:t>
      </w:r>
      <w:r>
        <w:rPr>
          <w:rFonts w:hint="eastAsia" w:ascii="仿宋_GB2312" w:hAnsi="仿宋_GB2312" w:eastAsia="仿宋_GB2312" w:cs="仿宋_GB2312"/>
          <w:sz w:val="32"/>
          <w:szCs w:val="32"/>
          <w:lang w:val="en-US" w:eastAsia="zh-CN"/>
        </w:rPr>
        <w:t>及灾害事故的</w:t>
      </w:r>
      <w:r>
        <w:rPr>
          <w:rFonts w:hint="eastAsia" w:ascii="仿宋_GB2312" w:hAnsi="仿宋_GB2312" w:eastAsia="仿宋_GB2312" w:cs="仿宋_GB2312"/>
          <w:sz w:val="32"/>
          <w:szCs w:val="32"/>
        </w:rPr>
        <w:t>智能化、精细化识别、研判、监测、预警、管控</w:t>
      </w:r>
      <w:r>
        <w:rPr>
          <w:rFonts w:hint="eastAsia" w:ascii="仿宋_GB2312" w:hAnsi="仿宋_GB2312" w:eastAsia="仿宋_GB2312" w:cs="仿宋_GB2312"/>
          <w:sz w:val="32"/>
          <w:szCs w:val="32"/>
          <w:lang w:val="en-US" w:eastAsia="zh-CN"/>
        </w:rPr>
        <w:t>和应急处置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规划以提升灾害事故</w:t>
      </w:r>
      <w:r>
        <w:rPr>
          <w:rFonts w:hint="eastAsia" w:ascii="仿宋_GB2312" w:hAnsi="仿宋_GB2312" w:eastAsia="仿宋_GB2312" w:cs="仿宋_GB2312"/>
          <w:sz w:val="32"/>
          <w:szCs w:val="32"/>
        </w:rPr>
        <w:t>应急响应、应急处置与救援、应急指挥协调、应急物资保障、城市生命线韧性、基层应急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社会动员能力</w:t>
      </w:r>
      <w:r>
        <w:rPr>
          <w:rFonts w:hint="eastAsia" w:ascii="仿宋_GB2312" w:hAnsi="仿宋_GB2312" w:eastAsia="仿宋_GB2312" w:cs="仿宋_GB2312"/>
          <w:sz w:val="32"/>
          <w:szCs w:val="32"/>
          <w:lang w:val="en-US" w:eastAsia="zh-CN"/>
        </w:rPr>
        <w:t>为目标，</w:t>
      </w:r>
      <w:r>
        <w:rPr>
          <w:rFonts w:hint="eastAsia" w:ascii="仿宋_GB2312" w:hAnsi="仿宋_GB2312" w:eastAsia="仿宋_GB2312" w:cs="仿宋_GB2312"/>
          <w:sz w:val="32"/>
          <w:szCs w:val="32"/>
        </w:rPr>
        <w:t>基本形成与</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副中心相适应的城市安全发展体系，</w:t>
      </w:r>
      <w:r>
        <w:rPr>
          <w:rFonts w:hint="eastAsia" w:ascii="仿宋_GB2312" w:hAnsi="仿宋_GB2312" w:eastAsia="仿宋_GB2312" w:cs="仿宋_GB2312"/>
          <w:sz w:val="32"/>
          <w:szCs w:val="32"/>
          <w:lang w:val="en-US" w:eastAsia="zh-CN"/>
        </w:rPr>
        <w:t>推动提升重大安全风险防范化解和大灾巨灾综合防御与韧性强健能力。</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outlineLvl w:val="1"/>
        <w:rPr>
          <w:bCs/>
          <w:kern w:val="0"/>
        </w:rPr>
      </w:pPr>
      <w:r>
        <w:rPr>
          <w:rFonts w:hint="eastAsia" w:ascii="黑体" w:hAnsi="黑体" w:eastAsia="黑体" w:cs="黑体"/>
          <w:sz w:val="32"/>
          <w:szCs w:val="32"/>
        </w:rPr>
        <w:t>四、规划内容</w:t>
      </w:r>
      <w:bookmarkStart w:id="54" w:name="_Toc1540485854"/>
      <w:bookmarkStart w:id="55" w:name="_Toc10168"/>
      <w:bookmarkStart w:id="56" w:name="_Toc16406"/>
      <w:bookmarkStart w:id="57" w:name="_Toc31877"/>
      <w:bookmarkStart w:id="58" w:name="_Toc3630"/>
      <w:bookmarkStart w:id="59" w:name="_Toc27343"/>
      <w:bookmarkStart w:id="60" w:name="_Toc736938707"/>
      <w:bookmarkStart w:id="61" w:name="_Toc24298"/>
      <w:bookmarkStart w:id="62" w:name="_Toc1443245785"/>
      <w:bookmarkStart w:id="63" w:name="_Toc23423"/>
      <w:bookmarkStart w:id="64" w:name="_Toc952301986"/>
      <w:bookmarkStart w:id="65" w:name="_Toc8437"/>
      <w:bookmarkStart w:id="66" w:name="_Toc21149"/>
      <w:bookmarkStart w:id="67" w:name="_Toc1182601132"/>
      <w:bookmarkStart w:id="68" w:name="_Toc22009"/>
      <w:bookmarkStart w:id="69" w:name="_Toc14548"/>
      <w:bookmarkStart w:id="70" w:name="_Toc10021"/>
      <w:bookmarkStart w:id="71" w:name="_Toc14358"/>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规划文本整体结构分为四大部分：</w:t>
      </w:r>
    </w:p>
    <w:p>
      <w:pPr>
        <w:keepNext w:val="0"/>
        <w:keepLines w:val="0"/>
        <w:pageBreakBefore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
          <w:bCs/>
          <w:sz w:val="32"/>
          <w:szCs w:val="32"/>
        </w:rPr>
        <w:t>第一部分：</w:t>
      </w:r>
      <w:r>
        <w:rPr>
          <w:rFonts w:hint="eastAsia" w:ascii="仿宋_GB2312" w:hAnsi="仿宋_GB2312" w:eastAsia="仿宋_GB2312" w:cs="仿宋_GB2312"/>
          <w:b/>
          <w:bCs/>
          <w:snapToGrid w:val="0"/>
          <w:color w:val="auto"/>
          <w:spacing w:val="0"/>
          <w:w w:val="100"/>
          <w:kern w:val="0"/>
          <w:sz w:val="32"/>
          <w:szCs w:val="32"/>
          <w:highlight w:val="none"/>
          <w:lang w:val="en-US" w:eastAsia="zh-CN" w:bidi="ar-SA"/>
        </w:rPr>
        <w:t>发展成就与机遇挑战</w:t>
      </w:r>
      <w:r>
        <w:rPr>
          <w:rFonts w:hint="eastAsia" w:ascii="仿宋_GB2312" w:eastAsia="仿宋_GB2312"/>
          <w:b/>
          <w:bCs/>
          <w:sz w:val="32"/>
          <w:szCs w:val="32"/>
        </w:rPr>
        <w:t>。</w:t>
      </w:r>
      <w:r>
        <w:rPr>
          <w:rFonts w:hint="eastAsia" w:ascii="仿宋_GB2312" w:hAnsi="仿宋_GB2312" w:eastAsia="仿宋_GB2312" w:cs="仿宋_GB2312"/>
          <w:snapToGrid w:val="0"/>
          <w:color w:val="auto"/>
          <w:spacing w:val="0"/>
          <w:w w:val="100"/>
          <w:kern w:val="0"/>
          <w:sz w:val="32"/>
          <w:szCs w:val="32"/>
          <w:highlight w:val="none"/>
          <w:lang w:val="en-US" w:eastAsia="zh-CN" w:bidi="ar-SA"/>
        </w:rPr>
        <w:t>系统总结分析了“十四五”</w:t>
      </w:r>
      <w:r>
        <w:rPr>
          <w:rFonts w:hint="eastAsia" w:ascii="仿宋_GB2312" w:hAnsi="仿宋_GB2312" w:eastAsia="仿宋_GB2312" w:cs="仿宋_GB2312"/>
          <w:sz w:val="32"/>
          <w:szCs w:val="32"/>
          <w:lang w:val="en-US" w:eastAsia="zh-CN"/>
        </w:rPr>
        <w:t>时期的工作成效，分析了“十五五”时期应急管理和城市安全韧性提升领域面临的</w:t>
      </w:r>
      <w:r>
        <w:rPr>
          <w:rFonts w:hint="eastAsia" w:ascii="仿宋_GB2312" w:hAnsi="仿宋_GB2312" w:eastAsia="仿宋_GB2312" w:cs="仿宋_GB2312"/>
          <w:sz w:val="32"/>
          <w:szCs w:val="32"/>
        </w:rPr>
        <w:t>新形势、新要求</w:t>
      </w:r>
      <w:r>
        <w:rPr>
          <w:rFonts w:hint="eastAsia" w:ascii="仿宋_GB2312" w:hAnsi="仿宋_GB2312" w:eastAsia="仿宋_GB2312" w:cs="仿宋_GB2312"/>
          <w:sz w:val="32"/>
          <w:szCs w:val="32"/>
          <w:lang w:val="en-US" w:eastAsia="zh-CN"/>
        </w:rPr>
        <w:t>和新机遇。</w:t>
      </w:r>
    </w:p>
    <w:p>
      <w:pPr>
        <w:pStyle w:val="2"/>
        <w:keepNext w:val="0"/>
        <w:keepLines w:val="0"/>
        <w:pageBreakBefore w:val="0"/>
        <w:kinsoku/>
        <w:wordWrap/>
        <w:overflowPunct/>
        <w:topLinePunct w:val="0"/>
        <w:autoSpaceDE/>
        <w:autoSpaceDN/>
        <w:bidi w:val="0"/>
        <w:adjustRightInd/>
        <w:snapToGrid/>
        <w:spacing w:after="0" w:line="560" w:lineRule="exact"/>
        <w:ind w:right="0" w:rightChars="0" w:firstLine="642" w:firstLineChars="200"/>
        <w:textAlignment w:val="auto"/>
        <w:rPr>
          <w:rFonts w:hint="eastAsia"/>
          <w:highlight w:val="none"/>
          <w:lang w:val="en-US" w:eastAsia="zh-CN"/>
        </w:rPr>
      </w:pPr>
      <w:r>
        <w:rPr>
          <w:rFonts w:hint="eastAsia" w:ascii="仿宋_GB2312" w:hAnsi="仿宋_GB2312" w:eastAsia="仿宋_GB2312" w:cs="仿宋_GB2312"/>
          <w:b/>
          <w:bCs/>
          <w:snapToGrid w:val="0"/>
          <w:color w:val="auto"/>
          <w:spacing w:val="0"/>
          <w:w w:val="100"/>
          <w:kern w:val="0"/>
          <w:sz w:val="32"/>
          <w:szCs w:val="32"/>
          <w:highlight w:val="none"/>
          <w:lang w:val="en-US" w:eastAsia="zh-CN" w:bidi="ar-SA"/>
        </w:rPr>
        <w:t>第二部分：指导思想、基本原则和主要目标。</w:t>
      </w:r>
      <w:r>
        <w:rPr>
          <w:rFonts w:hint="eastAsia" w:ascii="仿宋_GB2312" w:hAnsi="仿宋_GB2312" w:eastAsia="仿宋_GB2312" w:cs="仿宋_GB2312"/>
          <w:b w:val="0"/>
          <w:bCs w:val="0"/>
          <w:snapToGrid w:val="0"/>
          <w:color w:val="auto"/>
          <w:spacing w:val="0"/>
          <w:w w:val="100"/>
          <w:kern w:val="0"/>
          <w:sz w:val="32"/>
          <w:szCs w:val="32"/>
          <w:highlight w:val="none"/>
          <w:lang w:val="en-US" w:eastAsia="zh-CN" w:bidi="ar-SA"/>
        </w:rPr>
        <w:t>明确了未来发展方向，推动形成与城市副中心功能定位相适应的城市安全发展体系，实现依法应急、科学应急、智慧应急水平全面提升，共建共治共享格局更加完善。</w:t>
      </w:r>
    </w:p>
    <w:p>
      <w:pPr>
        <w:pStyle w:val="2"/>
        <w:keepNext w:val="0"/>
        <w:keepLines w:val="0"/>
        <w:pageBreakBefore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napToGrid w:val="0"/>
          <w:color w:val="auto"/>
          <w:spacing w:val="0"/>
          <w:w w:val="100"/>
          <w:kern w:val="0"/>
          <w:sz w:val="32"/>
          <w:szCs w:val="32"/>
          <w:highlight w:val="none"/>
          <w:lang w:val="en-US" w:eastAsia="zh-CN" w:bidi="ar-SA"/>
        </w:rPr>
        <w:t>第三部分：主要任务。</w:t>
      </w:r>
      <w:r>
        <w:rPr>
          <w:rFonts w:hint="eastAsia" w:ascii="仿宋_GB2312" w:hAnsi="仿宋_GB2312" w:eastAsia="仿宋_GB2312" w:cs="仿宋_GB2312"/>
          <w:b w:val="0"/>
          <w:bCs w:val="0"/>
          <w:snapToGrid w:val="0"/>
          <w:color w:val="auto"/>
          <w:spacing w:val="0"/>
          <w:w w:val="100"/>
          <w:kern w:val="0"/>
          <w:sz w:val="32"/>
          <w:szCs w:val="32"/>
          <w:highlight w:val="none"/>
          <w:lang w:val="en-US" w:eastAsia="zh-CN" w:bidi="ar-SA"/>
        </w:rPr>
        <w:t>基于“十五五”期间的新形势和发展</w:t>
      </w:r>
      <w:r>
        <w:rPr>
          <w:rFonts w:hint="eastAsia" w:ascii="仿宋_GB2312" w:hAnsi="仿宋_GB2312" w:eastAsia="仿宋_GB2312" w:cs="仿宋_GB2312"/>
          <w:kern w:val="2"/>
          <w:sz w:val="32"/>
          <w:szCs w:val="32"/>
          <w:lang w:val="en-US" w:eastAsia="zh-CN" w:bidi="ar-SA"/>
        </w:rPr>
        <w:t>目标，确定“十五五”期间重点任务包括以下7大方面：</w:t>
      </w:r>
    </w:p>
    <w:p>
      <w:pPr>
        <w:keepNext w:val="0"/>
        <w:keepLines w:val="0"/>
        <w:pageBreakBefore w:val="0"/>
        <w:widowControl/>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sz w:val="32"/>
          <w:szCs w:val="32"/>
          <w:lang w:val="en-US" w:eastAsia="zh-CN"/>
        </w:rPr>
      </w:pPr>
      <w:bookmarkStart w:id="72" w:name="OLE_LINK41"/>
      <w:r>
        <w:rPr>
          <w:rFonts w:hint="eastAsia" w:ascii="Times New Roman" w:hAnsi="Times New Roman" w:eastAsia="仿宋_GB2312" w:cs="Times New Roman"/>
          <w:b/>
          <w:bCs/>
          <w:sz w:val="32"/>
          <w:szCs w:val="28"/>
          <w:lang w:val="en-US" w:eastAsia="zh-CN"/>
        </w:rPr>
        <w:t>健全组织指挥体系，强化韧性安全责任。</w:t>
      </w:r>
      <w:bookmarkEnd w:id="72"/>
      <w:r>
        <w:rPr>
          <w:rFonts w:hint="eastAsia" w:ascii="仿宋_GB2312" w:hAnsi="仿宋_GB2312" w:eastAsia="仿宋_GB2312" w:cs="仿宋_GB2312"/>
          <w:sz w:val="32"/>
          <w:szCs w:val="32"/>
        </w:rPr>
        <w:t>建立党委、政府统</w:t>
      </w:r>
      <w:r>
        <w:rPr>
          <w:rFonts w:hint="eastAsia" w:ascii="仿宋_GB2312" w:hAnsi="仿宋_GB2312" w:eastAsia="仿宋_GB2312" w:cs="仿宋_GB2312"/>
          <w:sz w:val="32"/>
          <w:szCs w:val="32"/>
          <w:lang w:val="en-US" w:eastAsia="zh-CN"/>
        </w:rPr>
        <w:t>一领导，条块结合、属地管理为主的“大安全、大应急、大减灾”应急管理指挥体系。完善城市副中心运行安全形势分析制度。完善京津冀应急联动机制，常态化开展信息共享和联合会商，推动京津冀协同联动提质增效。</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Times New Roman" w:hAnsi="Times New Roman" w:eastAsia="仿宋_GB2312" w:cs="Times New Roman"/>
          <w:sz w:val="32"/>
          <w:szCs w:val="28"/>
        </w:rPr>
      </w:pPr>
      <w:r>
        <w:rPr>
          <w:rFonts w:hint="eastAsia" w:ascii="Times New Roman" w:hAnsi="Times New Roman" w:eastAsia="仿宋_GB2312" w:cs="Times New Roman"/>
          <w:b/>
          <w:bCs/>
          <w:sz w:val="32"/>
          <w:szCs w:val="28"/>
          <w:lang w:val="en-US" w:eastAsia="zh-CN"/>
        </w:rPr>
        <w:t>加强源头管控，健全安全生产治理体系。</w:t>
      </w:r>
      <w:r>
        <w:rPr>
          <w:rFonts w:hint="eastAsia" w:ascii="仿宋_GB2312" w:hAnsi="仿宋_GB2312" w:eastAsia="仿宋_GB2312" w:cs="仿宋_GB2312"/>
          <w:kern w:val="2"/>
          <w:sz w:val="32"/>
          <w:szCs w:val="32"/>
          <w:lang w:val="en-US" w:eastAsia="zh-CN" w:bidi="ar-SA"/>
        </w:rPr>
        <w:t>探索建立企业安全生产全面责任制度。健全安全隐患排查治理体系，摸排系统性的重大安全风险，完善重大事故隐患动态清零机制。建立边界清晰、条块结合、权责一致的安全监管责任体系。加大综合监管力度，规范应急管理行政执法行为，提升监管工作规范公正文明水平。</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bCs/>
          <w:sz w:val="32"/>
          <w:szCs w:val="28"/>
          <w:lang w:val="en-US" w:eastAsia="zh-CN"/>
        </w:rPr>
        <w:t>突出关口前移，构建全域覆盖的抗灾韧性体系。</w:t>
      </w:r>
      <w:r>
        <w:rPr>
          <w:rFonts w:hint="eastAsia" w:ascii="仿宋_GB2312" w:hAnsi="仿宋_GB2312" w:eastAsia="仿宋_GB2312" w:cs="仿宋_GB2312"/>
          <w:kern w:val="2"/>
          <w:sz w:val="32"/>
          <w:szCs w:val="32"/>
          <w:lang w:val="en-US" w:eastAsia="zh-CN" w:bidi="ar-SA"/>
        </w:rPr>
        <w:t>持续开展全区常态灾害风险调查和隐患排查，统筹推进通州防洪内涝治理。优化森防管理机制，健全预警值守与乡镇防控体系，强化森防队伍实战训练与专业人才培育，全面夯实基层森林防火实效。提升城市防震抗震能力，排查鉴定重点公共建筑抗震性能，从严管控工程抗震设防，深化地震风险评估成果应用。</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bCs/>
          <w:sz w:val="32"/>
          <w:szCs w:val="28"/>
          <w:lang w:val="en-US" w:eastAsia="zh-CN"/>
        </w:rPr>
        <w:t>持续固强补弱，全面提升综合应急处置能力。</w:t>
      </w:r>
      <w:r>
        <w:rPr>
          <w:rFonts w:hint="eastAsia" w:ascii="仿宋_GB2312" w:hAnsi="仿宋_GB2312" w:eastAsia="仿宋_GB2312" w:cs="仿宋_GB2312"/>
          <w:kern w:val="2"/>
          <w:sz w:val="32"/>
          <w:szCs w:val="32"/>
          <w:lang w:val="en-US" w:eastAsia="zh-CN" w:bidi="ar-SA"/>
        </w:rPr>
        <w:t>统筹推进应急救援队伍规范化建设，培育社会应急志愿服务队伍，健全多方协同救援联动机制。开展实战演练、巨灾情景研究，搭建数字智能预案平台。健全应急物资储备调配体系，升级应急通信保障。健全分层救助预案，依托保险机制分散灾害风险。</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bookmarkStart w:id="73" w:name="OLE_LINK19"/>
      <w:bookmarkStart w:id="74" w:name="OLE_LINK18"/>
      <w:r>
        <w:rPr>
          <w:rFonts w:hint="eastAsia" w:ascii="Times New Roman" w:hAnsi="Times New Roman" w:eastAsia="仿宋_GB2312" w:cs="Times New Roman"/>
          <w:b/>
          <w:bCs/>
          <w:sz w:val="32"/>
          <w:szCs w:val="28"/>
          <w:lang w:val="en-US" w:eastAsia="zh-CN"/>
        </w:rPr>
        <w:t>深化智慧赋能应用，构建智慧应急决策支撑体系</w:t>
      </w:r>
      <w:bookmarkEnd w:id="73"/>
      <w:bookmarkEnd w:id="74"/>
      <w:r>
        <w:rPr>
          <w:rFonts w:hint="eastAsia" w:ascii="Times New Roman" w:hAnsi="Times New Roman" w:eastAsia="仿宋_GB2312" w:cs="Times New Roman"/>
          <w:b/>
          <w:bCs/>
          <w:sz w:val="32"/>
          <w:szCs w:val="28"/>
          <w:lang w:val="en-US" w:eastAsia="zh-CN"/>
        </w:rPr>
        <w:t>。</w:t>
      </w:r>
      <w:r>
        <w:rPr>
          <w:rFonts w:hint="eastAsia" w:ascii="仿宋_GB2312" w:hAnsi="仿宋_GB2312" w:eastAsia="仿宋_GB2312" w:cs="仿宋_GB2312"/>
          <w:kern w:val="2"/>
          <w:sz w:val="32"/>
          <w:szCs w:val="32"/>
          <w:lang w:val="en-US" w:eastAsia="zh-CN" w:bidi="ar-SA"/>
        </w:rPr>
        <w:t>运用AI大模型提升风险智能预警，打通多部门数据共享，强化智能感知技术，拓宽预警发布渠道。完善城市副中心应急指挥调度救援平台，整合资源搭建应急指挥一张图，深化智能技术落地，以信息化赋能应急指挥、救援处置与复盘治理。</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bCs/>
          <w:sz w:val="32"/>
          <w:szCs w:val="28"/>
          <w:lang w:val="en-US" w:eastAsia="zh-CN"/>
        </w:rPr>
        <w:t>夯实基层基础，营造共建共治共享的安全社会协同生态。</w:t>
      </w:r>
      <w:r>
        <w:rPr>
          <w:rFonts w:hint="eastAsia" w:ascii="仿宋_GB2312" w:hAnsi="仿宋_GB2312" w:eastAsia="仿宋_GB2312" w:cs="仿宋_GB2312"/>
          <w:kern w:val="2"/>
          <w:sz w:val="32"/>
          <w:szCs w:val="32"/>
          <w:lang w:val="en-US" w:eastAsia="zh-CN" w:bidi="ar-SA"/>
        </w:rPr>
        <w:t>创新基层应急举措，标准化建设村居避灾站点，持续筑牢基层应急防控根基。运用数字技术赋能基层应急体系，延伸风险监测预警网络，完善多元主体协同参与机制。深化应急安全宣传“五进”工作，搭建全媒体宣传矩阵，提升全民自救互救素养。</w:t>
      </w:r>
      <w:bookmarkStart w:id="75" w:name="_Toc22277"/>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textAlignment w:val="auto"/>
        <w:rPr>
          <w:rFonts w:hint="eastAsia" w:ascii="Times New Roman" w:hAnsi="Times New Roman" w:eastAsia="仿宋_GB2312" w:cs="Times New Roman"/>
          <w:sz w:val="32"/>
          <w:szCs w:val="28"/>
          <w:lang w:val="en-US" w:eastAsia="zh-CN"/>
        </w:rPr>
      </w:pPr>
      <w:r>
        <w:rPr>
          <w:rFonts w:hint="eastAsia" w:ascii="Times New Roman" w:hAnsi="Times New Roman" w:eastAsia="仿宋_GB2312" w:cs="Times New Roman"/>
          <w:b/>
          <w:bCs/>
          <w:sz w:val="32"/>
          <w:szCs w:val="28"/>
          <w:lang w:val="en-US" w:eastAsia="zh-CN"/>
        </w:rPr>
        <w:t>构建安全韧性全体系，提升重大灾害综合防御能力</w:t>
      </w:r>
      <w:bookmarkEnd w:id="75"/>
      <w:r>
        <w:rPr>
          <w:rFonts w:hint="eastAsia" w:ascii="Times New Roman" w:hAnsi="Times New Roman" w:eastAsia="仿宋_GB2312" w:cs="Times New Roman"/>
          <w:b/>
          <w:bCs/>
          <w:sz w:val="32"/>
          <w:szCs w:val="28"/>
          <w:lang w:val="en-US" w:eastAsia="zh-CN"/>
        </w:rPr>
        <w:t>。</w:t>
      </w:r>
      <w:r>
        <w:rPr>
          <w:rFonts w:hint="eastAsia" w:ascii="Times New Roman" w:hAnsi="Times New Roman" w:eastAsia="仿宋_GB2312" w:cs="Times New Roman"/>
          <w:sz w:val="32"/>
          <w:szCs w:val="28"/>
          <w:lang w:val="en-US" w:eastAsia="zh-CN"/>
        </w:rPr>
        <w:t>推进实施城市副中心韧性提升行动计划，搭建三级韧性空间体系，增强基层自主防灾应对能力。</w:t>
      </w:r>
      <w:r>
        <w:rPr>
          <w:rFonts w:hint="eastAsia" w:ascii="仿宋_GB2312" w:hAnsi="仿宋_GB2312" w:eastAsia="仿宋_GB2312" w:cs="仿宋_GB2312"/>
          <w:kern w:val="2"/>
          <w:sz w:val="32"/>
          <w:szCs w:val="32"/>
          <w:lang w:val="en-US" w:eastAsia="zh-CN" w:bidi="ar-SA"/>
        </w:rPr>
        <w:t>升级地下管廊与关键民生系统，加固薄弱设施，增强极端灾害保障能力。摸排社区风险和应急资源，常态化演练培训，以科技赋能筑牢基层社区安全防线。</w:t>
      </w:r>
    </w:p>
    <w:p>
      <w:pPr>
        <w:keepNext w:val="0"/>
        <w:keepLines w:val="0"/>
        <w:pageBreakBefore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sz w:val="32"/>
          <w:szCs w:val="32"/>
        </w:rPr>
      </w:pPr>
      <w:r>
        <w:rPr>
          <w:rFonts w:hint="eastAsia" w:ascii="仿宋_GB2312" w:eastAsia="仿宋_GB2312"/>
          <w:b/>
          <w:bCs/>
          <w:sz w:val="32"/>
          <w:szCs w:val="32"/>
        </w:rPr>
        <w:t>第四部分：</w:t>
      </w:r>
      <w:r>
        <w:rPr>
          <w:rFonts w:hint="eastAsia" w:ascii="仿宋_GB2312" w:eastAsia="仿宋_GB2312"/>
          <w:b/>
          <w:bCs/>
          <w:sz w:val="32"/>
          <w:szCs w:val="32"/>
          <w:lang w:val="en-US" w:eastAsia="zh-CN"/>
        </w:rPr>
        <w:t>保障措施</w:t>
      </w:r>
      <w:r>
        <w:rPr>
          <w:rFonts w:hint="eastAsia" w:ascii="仿宋_GB2312" w:eastAsia="仿宋_GB2312"/>
          <w:b/>
          <w:bCs/>
          <w:sz w:val="32"/>
          <w:szCs w:val="32"/>
        </w:rPr>
        <w:t>。</w:t>
      </w:r>
      <w:r>
        <w:rPr>
          <w:rFonts w:hint="eastAsia" w:ascii="仿宋_GB2312" w:hAnsi="仿宋_GB2312" w:eastAsia="仿宋_GB2312" w:cs="仿宋_GB2312"/>
          <w:sz w:val="32"/>
          <w:szCs w:val="32"/>
        </w:rPr>
        <w:t>从组织、</w:t>
      </w:r>
      <w:r>
        <w:rPr>
          <w:rFonts w:hint="eastAsia" w:ascii="仿宋_GB2312" w:hAnsi="仿宋_GB2312" w:eastAsia="仿宋_GB2312" w:cs="仿宋_GB2312"/>
          <w:sz w:val="32"/>
          <w:szCs w:val="32"/>
          <w:lang w:val="en-US" w:eastAsia="zh-CN"/>
        </w:rPr>
        <w:t>法律、资金、人才、科技</w:t>
      </w:r>
      <w:r>
        <w:rPr>
          <w:rFonts w:hint="eastAsia" w:ascii="仿宋_GB2312" w:hAnsi="仿宋_GB2312" w:eastAsia="仿宋_GB2312" w:cs="仿宋_GB2312"/>
          <w:sz w:val="32"/>
          <w:szCs w:val="32"/>
        </w:rPr>
        <w:t>、监测评估等方面，提出规划实施的保障机制，确保规划各项任务落到实处。</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outlineLvl w:val="1"/>
        <w:rPr>
          <w:rFonts w:ascii="黑体" w:hAnsi="黑体" w:eastAsia="黑体" w:cs="黑体"/>
          <w:sz w:val="32"/>
          <w:szCs w:val="32"/>
        </w:rPr>
      </w:pPr>
      <w:r>
        <w:rPr>
          <w:rFonts w:hint="eastAsia" w:ascii="黑体" w:hAnsi="黑体" w:eastAsia="黑体" w:cs="黑体"/>
          <w:sz w:val="32"/>
          <w:szCs w:val="32"/>
        </w:rPr>
        <w:t>五、规划</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hint="eastAsia" w:ascii="黑体" w:hAnsi="黑体" w:eastAsia="黑体" w:cs="黑体"/>
          <w:sz w:val="32"/>
          <w:szCs w:val="32"/>
        </w:rPr>
        <w:t>水平年及范围</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本规划的现状水平年为2025年，规划水平年为2030年。规划范围为通州区全域（不含亦庄通州部分）。</w:t>
      </w: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kinsoku/>
        <w:overflowPunct/>
        <w:topLinePunct w:val="0"/>
        <w:autoSpaceDE/>
        <w:autoSpaceDN/>
        <w:bidi w:val="0"/>
        <w:adjustRightInd/>
        <w:snapToGrid/>
        <w:spacing w:line="560" w:lineRule="exact"/>
        <w:ind w:right="0" w:rightChars="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北京市通州区</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p>
    <w:p>
      <w:pPr>
        <w:keepNext w:val="0"/>
        <w:keepLines w:val="0"/>
        <w:pageBreakBefore w:val="0"/>
        <w:kinsoku/>
        <w:wordWrap w:val="0"/>
        <w:overflowPunct/>
        <w:topLinePunct w:val="0"/>
        <w:autoSpaceDE/>
        <w:autoSpaceDN/>
        <w:bidi w:val="0"/>
        <w:adjustRightInd/>
        <w:snapToGrid/>
        <w:spacing w:line="560" w:lineRule="exact"/>
        <w:ind w:right="0" w:rightChars="0" w:firstLine="640" w:firstLineChars="200"/>
        <w:jc w:val="right"/>
        <w:textAlignment w:val="auto"/>
      </w:pPr>
      <w:r>
        <w:rPr>
          <w:rFonts w:hint="eastAsia" w:ascii="仿宋_GB2312" w:hAnsi="仿宋_GB2312" w:eastAsia="仿宋_GB2312"/>
          <w:sz w:val="32"/>
          <w:szCs w:val="32"/>
        </w:rPr>
        <w:t xml:space="preserve"> 2026年</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 xml:space="preserve">日  </w:t>
      </w:r>
    </w:p>
    <w:bookmarkEnd w:id="76"/>
    <w:sectPr>
      <w:footerReference r:id="rId5" w:type="default"/>
      <w:pgSz w:w="11906" w:h="16838"/>
      <w:pgMar w:top="2098" w:right="1474" w:bottom="1984" w:left="1587" w:header="851" w:footer="1417"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52888"/>
    <w:multiLevelType w:val="multilevel"/>
    <w:tmpl w:val="F7252888"/>
    <w:lvl w:ilvl="0" w:tentative="0">
      <w:start w:val="1"/>
      <w:numFmt w:val="decimal"/>
      <w:suff w:val="space"/>
      <w:lvlText w:val="%1"/>
      <w:lvlJc w:val="left"/>
      <w:pPr>
        <w:ind w:left="425" w:hanging="425"/>
      </w:pPr>
      <w:rPr>
        <w:rFonts w:hint="default" w:ascii="Times New Roman" w:hAnsi="Times New Roman"/>
        <w:b/>
        <w:i w:val="0"/>
      </w:rPr>
    </w:lvl>
    <w:lvl w:ilvl="1" w:tentative="0">
      <w:start w:val="1"/>
      <w:numFmt w:val="decimal"/>
      <w:pStyle w:val="4"/>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567"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E617F4"/>
    <w:rsid w:val="000662C4"/>
    <w:rsid w:val="00271EE8"/>
    <w:rsid w:val="002D58B5"/>
    <w:rsid w:val="003C1138"/>
    <w:rsid w:val="00646EBD"/>
    <w:rsid w:val="006F2B7C"/>
    <w:rsid w:val="0082698D"/>
    <w:rsid w:val="008E224F"/>
    <w:rsid w:val="009D0115"/>
    <w:rsid w:val="00AB5BEA"/>
    <w:rsid w:val="00C31851"/>
    <w:rsid w:val="00D9722F"/>
    <w:rsid w:val="028265A2"/>
    <w:rsid w:val="04690A15"/>
    <w:rsid w:val="053668F8"/>
    <w:rsid w:val="05860158"/>
    <w:rsid w:val="063D2F0C"/>
    <w:rsid w:val="07205FE4"/>
    <w:rsid w:val="07397B77"/>
    <w:rsid w:val="074D1F6B"/>
    <w:rsid w:val="07B611C8"/>
    <w:rsid w:val="07C77907"/>
    <w:rsid w:val="08161C67"/>
    <w:rsid w:val="08FD6362"/>
    <w:rsid w:val="09CE067A"/>
    <w:rsid w:val="0A711684"/>
    <w:rsid w:val="0B377DCD"/>
    <w:rsid w:val="0C1053BE"/>
    <w:rsid w:val="0C4A6908"/>
    <w:rsid w:val="0D3E4515"/>
    <w:rsid w:val="0D8853B5"/>
    <w:rsid w:val="0E473CBC"/>
    <w:rsid w:val="11E54CF5"/>
    <w:rsid w:val="11E960E3"/>
    <w:rsid w:val="11F203C2"/>
    <w:rsid w:val="12090776"/>
    <w:rsid w:val="128C0515"/>
    <w:rsid w:val="12E50BB3"/>
    <w:rsid w:val="132A2A6A"/>
    <w:rsid w:val="13831232"/>
    <w:rsid w:val="182B52BA"/>
    <w:rsid w:val="1853327D"/>
    <w:rsid w:val="197E20B8"/>
    <w:rsid w:val="1B552876"/>
    <w:rsid w:val="1B974A15"/>
    <w:rsid w:val="1BA81CD5"/>
    <w:rsid w:val="1D9727DB"/>
    <w:rsid w:val="1DB30D9F"/>
    <w:rsid w:val="1E004AF3"/>
    <w:rsid w:val="1FE3647B"/>
    <w:rsid w:val="20F72005"/>
    <w:rsid w:val="243C7A99"/>
    <w:rsid w:val="2763067B"/>
    <w:rsid w:val="2C5A5D16"/>
    <w:rsid w:val="2D702450"/>
    <w:rsid w:val="2D827DBA"/>
    <w:rsid w:val="2F070BCC"/>
    <w:rsid w:val="2FCF4325"/>
    <w:rsid w:val="333F24DD"/>
    <w:rsid w:val="34AA710F"/>
    <w:rsid w:val="364B2A77"/>
    <w:rsid w:val="373F5038"/>
    <w:rsid w:val="37FE71DA"/>
    <w:rsid w:val="390E0D37"/>
    <w:rsid w:val="39EC57B0"/>
    <w:rsid w:val="3A2408DC"/>
    <w:rsid w:val="3A802DEC"/>
    <w:rsid w:val="3B6B3A9C"/>
    <w:rsid w:val="3E5F0359"/>
    <w:rsid w:val="3F2D1CB6"/>
    <w:rsid w:val="414A7570"/>
    <w:rsid w:val="41AD023F"/>
    <w:rsid w:val="41CF3400"/>
    <w:rsid w:val="44224F14"/>
    <w:rsid w:val="45BF1C90"/>
    <w:rsid w:val="46BB1594"/>
    <w:rsid w:val="47A10707"/>
    <w:rsid w:val="480212E4"/>
    <w:rsid w:val="482254E2"/>
    <w:rsid w:val="495A498C"/>
    <w:rsid w:val="497C50C6"/>
    <w:rsid w:val="4B1A6CDA"/>
    <w:rsid w:val="4BEB208F"/>
    <w:rsid w:val="4CEE310E"/>
    <w:rsid w:val="4DCB03CA"/>
    <w:rsid w:val="4F0A0B7D"/>
    <w:rsid w:val="4F0C47F7"/>
    <w:rsid w:val="50830D73"/>
    <w:rsid w:val="51CE66DB"/>
    <w:rsid w:val="52366371"/>
    <w:rsid w:val="52E54DBD"/>
    <w:rsid w:val="52FE08FA"/>
    <w:rsid w:val="53833D79"/>
    <w:rsid w:val="53C12BDF"/>
    <w:rsid w:val="53FF7D56"/>
    <w:rsid w:val="54750427"/>
    <w:rsid w:val="54784522"/>
    <w:rsid w:val="55ED4A79"/>
    <w:rsid w:val="57266914"/>
    <w:rsid w:val="57CC4F2E"/>
    <w:rsid w:val="59C76341"/>
    <w:rsid w:val="59ED3476"/>
    <w:rsid w:val="5AC93BBC"/>
    <w:rsid w:val="5B2D6220"/>
    <w:rsid w:val="5B751328"/>
    <w:rsid w:val="5CD03307"/>
    <w:rsid w:val="5DF7A020"/>
    <w:rsid w:val="5E0D4201"/>
    <w:rsid w:val="5F3F2F83"/>
    <w:rsid w:val="5FFFA6C5"/>
    <w:rsid w:val="600F393E"/>
    <w:rsid w:val="60EC092C"/>
    <w:rsid w:val="61105D6D"/>
    <w:rsid w:val="615F43D0"/>
    <w:rsid w:val="61B03707"/>
    <w:rsid w:val="61C251E9"/>
    <w:rsid w:val="62EE5AEF"/>
    <w:rsid w:val="63080CAF"/>
    <w:rsid w:val="63892462"/>
    <w:rsid w:val="63D52A24"/>
    <w:rsid w:val="6427714C"/>
    <w:rsid w:val="655645C6"/>
    <w:rsid w:val="65895ACC"/>
    <w:rsid w:val="666A27CA"/>
    <w:rsid w:val="68A20C86"/>
    <w:rsid w:val="6B183FC1"/>
    <w:rsid w:val="6B1E7934"/>
    <w:rsid w:val="6B4D219F"/>
    <w:rsid w:val="6C8E6D3B"/>
    <w:rsid w:val="6D033285"/>
    <w:rsid w:val="6D262AD0"/>
    <w:rsid w:val="6DAA68FE"/>
    <w:rsid w:val="6F173018"/>
    <w:rsid w:val="6F8C7562"/>
    <w:rsid w:val="705C41BD"/>
    <w:rsid w:val="709C34A3"/>
    <w:rsid w:val="71494FDF"/>
    <w:rsid w:val="71582CB1"/>
    <w:rsid w:val="71CA4062"/>
    <w:rsid w:val="727F515C"/>
    <w:rsid w:val="733817AF"/>
    <w:rsid w:val="74263580"/>
    <w:rsid w:val="74E67714"/>
    <w:rsid w:val="752E2E69"/>
    <w:rsid w:val="766E228D"/>
    <w:rsid w:val="77427712"/>
    <w:rsid w:val="774677D5"/>
    <w:rsid w:val="777032C5"/>
    <w:rsid w:val="779531A8"/>
    <w:rsid w:val="78054D74"/>
    <w:rsid w:val="796B01E8"/>
    <w:rsid w:val="7A37631C"/>
    <w:rsid w:val="7A506F94"/>
    <w:rsid w:val="7BBB31DD"/>
    <w:rsid w:val="7BEE84A6"/>
    <w:rsid w:val="7C594C70"/>
    <w:rsid w:val="7DCC321F"/>
    <w:rsid w:val="7EAF501B"/>
    <w:rsid w:val="7EFDC8F3"/>
    <w:rsid w:val="7F1C285B"/>
    <w:rsid w:val="965F97F1"/>
    <w:rsid w:val="BEE617F4"/>
    <w:rsid w:val="DFF77A17"/>
    <w:rsid w:val="EBFFF88E"/>
    <w:rsid w:val="EF9F284F"/>
    <w:rsid w:val="EFFBA79B"/>
    <w:rsid w:val="FBFE73EB"/>
    <w:rsid w:val="FFD89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numPr>
        <w:ilvl w:val="1"/>
        <w:numId w:val="1"/>
      </w:numPr>
      <w:spacing w:before="50" w:beforeLines="50" w:after="50" w:afterLines="50" w:line="560" w:lineRule="exact"/>
      <w:ind w:left="0" w:firstLine="0" w:firstLineChars="0"/>
      <w:outlineLvl w:val="1"/>
    </w:pPr>
    <w:rPr>
      <w:rFonts w:ascii="Times New Roman" w:hAnsi="Times New Roman" w:eastAsia="楷体_GB2312" w:cs="Times New Roman"/>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annotation text"/>
    <w:basedOn w:val="1"/>
    <w:link w:val="20"/>
    <w:qFormat/>
    <w:uiPriority w:val="0"/>
    <w:pPr>
      <w:jc w:val="left"/>
    </w:pPr>
  </w:style>
  <w:style w:type="paragraph" w:styleId="6">
    <w:name w:val="Body Text Indent 2"/>
    <w:basedOn w:val="1"/>
    <w:unhideWhenUsed/>
    <w:qFormat/>
    <w:uiPriority w:val="99"/>
    <w:pPr>
      <w:spacing w:after="120" w:line="480" w:lineRule="auto"/>
      <w:ind w:left="420" w:leftChars="200"/>
    </w:p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semiHidden/>
    <w:unhideWhenUsed/>
    <w:qFormat/>
    <w:uiPriority w:val="99"/>
    <w:pPr>
      <w:snapToGrid w:val="0"/>
      <w:jc w:val="left"/>
    </w:pPr>
    <w:rPr>
      <w:sz w:val="18"/>
      <w:szCs w:val="18"/>
    </w:rPr>
  </w:style>
  <w:style w:type="paragraph" w:styleId="11">
    <w:name w:val="annotation subject"/>
    <w:basedOn w:val="5"/>
    <w:next w:val="5"/>
    <w:link w:val="21"/>
    <w:qFormat/>
    <w:uiPriority w:val="0"/>
    <w:rPr>
      <w:b/>
      <w:bCs/>
    </w:rPr>
  </w:style>
  <w:style w:type="character" w:styleId="14">
    <w:name w:val="annotation reference"/>
    <w:basedOn w:val="13"/>
    <w:qFormat/>
    <w:uiPriority w:val="0"/>
    <w:rPr>
      <w:sz w:val="21"/>
      <w:szCs w:val="21"/>
    </w:rPr>
  </w:style>
  <w:style w:type="character" w:styleId="15">
    <w:name w:val="footnote reference"/>
    <w:basedOn w:val="13"/>
    <w:semiHidden/>
    <w:unhideWhenUsed/>
    <w:qFormat/>
    <w:uiPriority w:val="99"/>
    <w:rPr>
      <w:vertAlign w:val="superscript"/>
    </w:rPr>
  </w:style>
  <w:style w:type="paragraph" w:customStyle="1" w:styleId="1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7">
    <w:name w:val="04  公文-正文(无序)"/>
    <w:basedOn w:val="1"/>
    <w:qFormat/>
    <w:uiPriority w:val="0"/>
    <w:pPr>
      <w:snapToGrid w:val="0"/>
      <w:spacing w:line="560" w:lineRule="atLeast"/>
      <w:ind w:firstLine="200" w:firstLineChars="200"/>
    </w:pPr>
    <w:rPr>
      <w:rFonts w:ascii="Times New Roman" w:hAnsi="Times New Roman" w:eastAsia="仿宋"/>
      <w:sz w:val="32"/>
      <w:szCs w:val="28"/>
      <w:lang w:val="zh-CN"/>
    </w:rPr>
  </w:style>
  <w:style w:type="paragraph" w:customStyle="1" w:styleId="18">
    <w:name w:val="样式7"/>
    <w:basedOn w:val="17"/>
    <w:qFormat/>
    <w:uiPriority w:val="0"/>
    <w:pPr>
      <w:spacing w:line="600" w:lineRule="exact"/>
    </w:pPr>
    <w:rPr>
      <w:rFonts w:eastAsia="仿宋_GB2312"/>
      <w:szCs w:val="32"/>
      <w:lang w:val="en-US"/>
    </w:rPr>
  </w:style>
  <w:style w:type="paragraph" w:customStyle="1" w:styleId="19">
    <w:name w:val="修订1"/>
    <w:hidden/>
    <w:unhideWhenUsed/>
    <w:qFormat/>
    <w:uiPriority w:val="99"/>
    <w:rPr>
      <w:rFonts w:ascii="Calibri" w:hAnsi="Calibri" w:eastAsia="宋体" w:cs="Times New Roman"/>
      <w:kern w:val="2"/>
      <w:sz w:val="21"/>
      <w:szCs w:val="24"/>
      <w:lang w:val="en-US" w:eastAsia="zh-CN" w:bidi="ar-SA"/>
    </w:rPr>
  </w:style>
  <w:style w:type="character" w:customStyle="1" w:styleId="20">
    <w:name w:val="批注文字 Char"/>
    <w:basedOn w:val="13"/>
    <w:link w:val="5"/>
    <w:qFormat/>
    <w:uiPriority w:val="0"/>
    <w:rPr>
      <w:rFonts w:ascii="Calibri" w:hAnsi="Calibri" w:eastAsia="宋体" w:cs="Times New Roman"/>
      <w:kern w:val="2"/>
      <w:sz w:val="21"/>
      <w:szCs w:val="24"/>
    </w:rPr>
  </w:style>
  <w:style w:type="character" w:customStyle="1" w:styleId="21">
    <w:name w:val="批注主题 Char"/>
    <w:basedOn w:val="20"/>
    <w:link w:val="11"/>
    <w:qFormat/>
    <w:uiPriority w:val="0"/>
    <w:rPr>
      <w:rFonts w:ascii="Calibri" w:hAnsi="Calibri" w:eastAsia="宋体" w:cs="Times New Roman"/>
      <w:b/>
      <w:bCs/>
      <w:kern w:val="2"/>
      <w:sz w:val="21"/>
      <w:szCs w:val="24"/>
    </w:rPr>
  </w:style>
  <w:style w:type="character" w:customStyle="1" w:styleId="22">
    <w:name w:val="批注框文本 Char"/>
    <w:basedOn w:val="13"/>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2307</Words>
  <Characters>2332</Characters>
  <Lines>10</Lines>
  <Paragraphs>2</Paragraphs>
  <TotalTime>12</TotalTime>
  <ScaleCrop>false</ScaleCrop>
  <LinksUpToDate>false</LinksUpToDate>
  <CharactersWithSpaces>2335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2026-05-20T23:52:00Z</dcterms:created>
  <dc:creator>张智博</dc:creator>
  <cp:lastModifiedBy>user</cp:lastModifiedBy>
  <cp:lastPrinted>2026-05-20T23:50:00Z</cp:lastPrinted>
  <dcterms:modified xsi:type="dcterms:W3CDTF">2026-06-01T09:53:04Z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6588718F5CC649AAA40579FBC0886A4B_13</vt:lpwstr>
  </property>
  <property fmtid="{D5CDD505-2E9C-101B-9397-08002B2CF9AE}" pid="4" name="KSOTemplateDocerSaveRecord">
    <vt:lpwstr>eyJoZGlkIjoiYzE2YzE2NmNmNWMyMDEyZmRkMTEyNzhlZWE5MjJkODgiLCJ1c2VySWQiOiIxMTczNjQ0MjQwIn0=</vt:lpwstr>
  </property>
</Properties>
</file>