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600" w:lineRule="exact"/>
        <w:ind w:right="0" w:firstLine="0" w:firstLineChars="0"/>
        <w:jc w:val="center"/>
        <w:textAlignment w:val="auto"/>
        <w:rPr>
          <w:rFonts w:hint="eastAsia" w:ascii="方正小标宋简体" w:hAnsi="方正小标宋简体" w:eastAsia="方正小标宋简体" w:cs="方正小标宋简体"/>
          <w:b w:val="0"/>
          <w:bCs/>
          <w:color w:val="000000"/>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600" w:lineRule="exact"/>
        <w:ind w:right="0" w:firstLine="0" w:firstLineChars="0"/>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关于北京城市副中心支持数智创新OPC创新发展的若干措施</w:t>
      </w:r>
    </w:p>
    <w:p>
      <w:pPr>
        <w:rPr>
          <w:rFonts w:hint="eastAsia"/>
          <w:lang w:val="en-US" w:eastAsia="zh-CN"/>
        </w:rPr>
      </w:pPr>
    </w:p>
    <w:p>
      <w:pPr>
        <w:keepNext w:val="0"/>
        <w:keepLines w:val="0"/>
        <w:widowControl/>
        <w:suppressLineNumbers w:val="0"/>
        <w:spacing w:afterLines="0" w:line="600" w:lineRule="exact"/>
        <w:ind w:firstLine="0" w:firstLineChars="0"/>
        <w:jc w:val="center"/>
        <w:rPr>
          <w:rFonts w:hint="default"/>
          <w:sz w:val="38"/>
          <w:szCs w:val="38"/>
          <w:lang w:val="en"/>
        </w:rPr>
      </w:pPr>
      <w:r>
        <w:rPr>
          <w:rFonts w:ascii="黑体" w:hAnsi="宋体" w:eastAsia="黑体" w:cs="黑体"/>
          <w:i w:val="0"/>
          <w:caps w:val="0"/>
          <w:color w:val="404040"/>
          <w:spacing w:val="0"/>
          <w:kern w:val="0"/>
          <w:sz w:val="32"/>
          <w:szCs w:val="32"/>
          <w:shd w:val="clear" w:fill="FFFFFF"/>
          <w:lang w:val="en-US" w:eastAsia="zh-CN" w:bidi="ar"/>
        </w:rPr>
        <w:t>第一章</w:t>
      </w:r>
      <w:r>
        <w:rPr>
          <w:rFonts w:hint="default" w:ascii="黑体" w:hAnsi="宋体" w:eastAsia="黑体" w:cs="黑体"/>
          <w:i w:val="0"/>
          <w:caps w:val="0"/>
          <w:color w:val="404040"/>
          <w:spacing w:val="0"/>
          <w:kern w:val="0"/>
          <w:sz w:val="32"/>
          <w:szCs w:val="32"/>
          <w:shd w:val="clear" w:fill="FFFFFF"/>
          <w:lang w:val="en-US" w:eastAsia="zh-CN" w:bidi="ar"/>
        </w:rPr>
        <w:t> 总则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落实北京市人工智能创新发展部署和北京城市副中心要素市场化配置综合改革试点有关措施，持续释放“人工智能+”创业活力，打造生态完善的数智创新OPC（一人公司）创业体系，促进北京城市副中心数智产业高质量发展，特制定本措施。</w:t>
      </w:r>
    </w:p>
    <w:p>
      <w:pPr>
        <w:keepNext w:val="0"/>
        <w:keepLines w:val="0"/>
        <w:widowControl/>
        <w:suppressLineNumbers w:val="0"/>
        <w:spacing w:afterLines="0" w:line="600" w:lineRule="exact"/>
        <w:ind w:firstLine="0" w:firstLineChars="0"/>
        <w:jc w:val="center"/>
        <w:rPr>
          <w:rFonts w:ascii="黑体" w:hAnsi="宋体" w:eastAsia="黑体" w:cs="黑体"/>
          <w:i w:val="0"/>
          <w:caps w:val="0"/>
          <w:color w:val="404040"/>
          <w:spacing w:val="0"/>
          <w:kern w:val="0"/>
          <w:sz w:val="32"/>
          <w:szCs w:val="32"/>
          <w:shd w:val="clear" w:fill="FFFFFF"/>
          <w:lang w:val="en-US" w:eastAsia="zh-CN" w:bidi="ar"/>
        </w:rPr>
      </w:pPr>
    </w:p>
    <w:p>
      <w:pPr>
        <w:keepNext w:val="0"/>
        <w:keepLines w:val="0"/>
        <w:widowControl/>
        <w:suppressLineNumbers w:val="0"/>
        <w:spacing w:afterLines="0" w:line="600" w:lineRule="exact"/>
        <w:ind w:firstLine="0" w:firstLineChars="0"/>
        <w:jc w:val="center"/>
        <w:rPr>
          <w:rFonts w:hint="eastAsia"/>
          <w:sz w:val="38"/>
          <w:szCs w:val="38"/>
          <w:lang w:val="en-US" w:eastAsia="zh-CN"/>
        </w:rPr>
      </w:pPr>
      <w:r>
        <w:rPr>
          <w:rFonts w:ascii="黑体" w:hAnsi="宋体" w:eastAsia="黑体" w:cs="黑体"/>
          <w:i w:val="0"/>
          <w:caps w:val="0"/>
          <w:color w:val="404040"/>
          <w:spacing w:val="0"/>
          <w:kern w:val="0"/>
          <w:sz w:val="32"/>
          <w:szCs w:val="32"/>
          <w:shd w:val="clear" w:fill="FFFFFF"/>
          <w:lang w:val="en-US" w:eastAsia="zh-CN" w:bidi="ar"/>
        </w:rPr>
        <w:t>第二章</w:t>
      </w:r>
      <w:r>
        <w:rPr>
          <w:rFonts w:hint="default" w:ascii="黑体" w:hAnsi="宋体" w:eastAsia="黑体" w:cs="黑体"/>
          <w:i w:val="0"/>
          <w:caps w:val="0"/>
          <w:color w:val="404040"/>
          <w:spacing w:val="0"/>
          <w:kern w:val="0"/>
          <w:sz w:val="32"/>
          <w:szCs w:val="32"/>
          <w:shd w:val="clear" w:fill="FFFFFF"/>
          <w:lang w:val="en-US" w:eastAsia="zh-CN" w:bidi="ar"/>
        </w:rPr>
        <w:t> 支持</w:t>
      </w:r>
      <w:r>
        <w:rPr>
          <w:rFonts w:hint="eastAsia" w:ascii="黑体" w:hAnsi="宋体" w:eastAsia="黑体" w:cs="黑体"/>
          <w:i w:val="0"/>
          <w:caps w:val="0"/>
          <w:color w:val="404040"/>
          <w:spacing w:val="0"/>
          <w:kern w:val="0"/>
          <w:sz w:val="32"/>
          <w:szCs w:val="32"/>
          <w:shd w:val="clear" w:fill="FFFFFF"/>
          <w:lang w:val="en-US" w:eastAsia="zh-CN" w:bidi="ar"/>
        </w:rPr>
        <w:t>内容及标准</w:t>
      </w:r>
    </w:p>
    <w:p>
      <w:pPr>
        <w:widowControl w:val="0"/>
        <w:overflowPunct w:val="0"/>
        <w:spacing w:line="560" w:lineRule="exact"/>
        <w:ind w:firstLine="642" w:firstLineChars="200"/>
        <w:rPr>
          <w:rFonts w:hint="eastAsia"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b/>
          <w:bCs/>
          <w:kern w:val="0"/>
          <w:sz w:val="32"/>
          <w:szCs w:val="22"/>
          <w:lang w:val="en-US" w:eastAsia="zh-CN"/>
          <w14:ligatures w14:val="none"/>
        </w:rPr>
        <w:t>第一条  支持建设OPC生态友好社区。</w:t>
      </w:r>
      <w:r>
        <w:rPr>
          <w:rFonts w:hint="eastAsia" w:ascii="仿宋_GB2312" w:hAnsi="仿宋_GB2312" w:eastAsia="仿宋_GB2312" w:cs="仿宋_GB2312"/>
          <w:kern w:val="0"/>
          <w:sz w:val="32"/>
          <w:szCs w:val="22"/>
          <w:lang w:val="en-US" w:eastAsia="zh-CN"/>
          <w14:ligatures w14:val="none"/>
        </w:rPr>
        <w:t>鼓励园区或孵化器积极打造OPC生态社区，为数智创新OPC提供企业登记、税务、法律咨询等一站式服务，以及低成本办公、AI工具等全周期服务，鼓励举办数智创新OPC生态活动、营造“单人成军”的浓厚创业氛围。对生态友好社区，每年给予最高200万元资金支持。</w:t>
      </w:r>
    </w:p>
    <w:p>
      <w:pPr>
        <w:spacing w:afterLines="0" w:line="600" w:lineRule="exact"/>
        <w:ind w:firstLine="642" w:firstLineChars="200"/>
        <w:rPr>
          <w:rFonts w:hint="eastAsia"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b/>
          <w:bCs/>
          <w:kern w:val="0"/>
          <w:sz w:val="32"/>
          <w:szCs w:val="22"/>
          <w:lang w:val="en-US" w:eastAsia="zh-CN"/>
          <w14:ligatures w14:val="none"/>
        </w:rPr>
        <w:t>第二条  畅通高质量数据要素供给。</w:t>
      </w:r>
      <w:r>
        <w:rPr>
          <w:rFonts w:hint="eastAsia" w:ascii="仿宋_GB2312" w:hAnsi="仿宋_GB2312" w:eastAsia="仿宋_GB2312" w:cs="仿宋_GB2312"/>
          <w:kern w:val="0"/>
          <w:sz w:val="32"/>
          <w:szCs w:val="22"/>
          <w:lang w:val="en-US" w:eastAsia="zh-CN"/>
          <w14:ligatures w14:val="none"/>
        </w:rPr>
        <w:t>完善公共数据开放共享机制，协调推进政务数据高效开放共享，夯实公共数据底座，为数智创新OPC提供安全可信、合法合规的数据资源。加大行业数据应用力度，降低数据获取成本，支持数智创新OPC利用数据产品用于人工智能等相关研发。</w:t>
      </w:r>
    </w:p>
    <w:p>
      <w:pPr>
        <w:spacing w:afterLines="0" w:line="600" w:lineRule="exact"/>
        <w:ind w:firstLine="642" w:firstLineChars="200"/>
        <w:rPr>
          <w:rFonts w:hint="eastAsia"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b/>
          <w:bCs/>
          <w:kern w:val="0"/>
          <w:sz w:val="32"/>
          <w:szCs w:val="22"/>
          <w:lang w:val="en-US" w:eastAsia="zh-CN"/>
          <w14:ligatures w14:val="none"/>
        </w:rPr>
        <w:t>第三条  鼓励建设行业高质量数据集。</w:t>
      </w:r>
      <w:r>
        <w:rPr>
          <w:rFonts w:hint="eastAsia" w:ascii="仿宋_GB2312" w:hAnsi="仿宋_GB2312" w:eastAsia="仿宋_GB2312" w:cs="仿宋_GB2312"/>
          <w:kern w:val="0"/>
          <w:sz w:val="32"/>
          <w:szCs w:val="22"/>
          <w:lang w:val="en-US" w:eastAsia="zh-CN"/>
          <w14:ligatures w14:val="none"/>
        </w:rPr>
        <w:t>支持数智创新OPC围绕文旅、设计、商务、政务、医药健康等重点领域，打造高质量数据集，探索开展数据生产要素统计核算和数据资产评估。</w:t>
      </w:r>
    </w:p>
    <w:p>
      <w:pPr>
        <w:spacing w:afterLines="0" w:line="600" w:lineRule="exact"/>
        <w:ind w:firstLine="642" w:firstLineChars="200"/>
        <w:rPr>
          <w:rFonts w:hint="eastAsia" w:ascii="仿宋_GB2312" w:hAnsi="仿宋_GB2312" w:eastAsia="仿宋_GB2312" w:cs="仿宋_GB2312"/>
          <w:kern w:val="2"/>
          <w:sz w:val="38"/>
          <w:szCs w:val="38"/>
          <w:lang w:val="en-US" w:eastAsia="zh-CN" w:bidi="ar-SA"/>
        </w:rPr>
      </w:pPr>
      <w:r>
        <w:rPr>
          <w:rFonts w:hint="eastAsia" w:ascii="仿宋_GB2312" w:hAnsi="仿宋_GB2312" w:eastAsia="仿宋_GB2312" w:cs="仿宋_GB2312"/>
          <w:b/>
          <w:bCs/>
          <w:kern w:val="0"/>
          <w:sz w:val="32"/>
          <w:szCs w:val="22"/>
          <w:lang w:val="en-US" w:eastAsia="zh-CN"/>
          <w14:ligatures w14:val="none"/>
        </w:rPr>
        <w:t>第四条  提供算力模型补贴。</w:t>
      </w:r>
      <w:r>
        <w:rPr>
          <w:rFonts w:hint="eastAsia" w:ascii="仿宋_GB2312" w:hAnsi="仿宋_GB2312" w:eastAsia="仿宋_GB2312" w:cs="仿宋_GB2312"/>
          <w:kern w:val="0"/>
          <w:sz w:val="32"/>
          <w:szCs w:val="22"/>
          <w:lang w:val="en-US" w:eastAsia="zh-CN"/>
          <w14:ligatures w14:val="none"/>
        </w:rPr>
        <w:t>对优质数智创新OPC给予模型券、算力券等支持，按照不超过30%标准给予补贴，单个企业年度模型券、算力券最高给予50万元支持。</w:t>
      </w:r>
    </w:p>
    <w:p>
      <w:pPr>
        <w:spacing w:afterLines="0" w:line="600" w:lineRule="exact"/>
        <w:ind w:firstLine="642" w:firstLineChars="200"/>
        <w:rPr>
          <w:rFonts w:hint="eastAsia"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b/>
          <w:bCs/>
          <w:kern w:val="0"/>
          <w:sz w:val="32"/>
          <w:szCs w:val="22"/>
          <w:lang w:val="en-US" w:eastAsia="zh-CN"/>
          <w14:ligatures w14:val="none"/>
        </w:rPr>
        <w:t>第五条  强化数智创新OPC人才安居保障。</w:t>
      </w:r>
      <w:r>
        <w:rPr>
          <w:rFonts w:hint="eastAsia" w:ascii="仿宋_GB2312" w:hAnsi="仿宋_GB2312" w:eastAsia="仿宋_GB2312" w:cs="仿宋_GB2312"/>
          <w:kern w:val="0"/>
          <w:sz w:val="32"/>
          <w:szCs w:val="22"/>
          <w:lang w:val="en-US" w:eastAsia="zh-CN"/>
          <w14:ligatures w14:val="none"/>
        </w:rPr>
        <w:t>对符合条件的创始人或核心团队成员，给予“运河英才”“青年后备人才”认定，并在办理人才落户、工作居住证等方面予以支持。对于家庭在副中心无房的青年后备人才可享受保障型人才公寓或市场化租房补贴。保障型人才公寓首年免租入</w:t>
      </w:r>
      <w:bookmarkStart w:id="0" w:name="_GoBack"/>
      <w:bookmarkEnd w:id="0"/>
      <w:r>
        <w:rPr>
          <w:rFonts w:hint="eastAsia" w:ascii="仿宋_GB2312" w:hAnsi="仿宋_GB2312" w:eastAsia="仿宋_GB2312" w:cs="仿宋_GB2312"/>
          <w:kern w:val="0"/>
          <w:sz w:val="32"/>
          <w:szCs w:val="22"/>
          <w:lang w:val="en-US" w:eastAsia="zh-CN"/>
          <w14:ligatures w14:val="none"/>
        </w:rPr>
        <w:t>住，三年阶梯式优惠承租；在副中心的市场化租房的青年后备人才，可领取首年最高1500元/月的三年阶梯式租房补贴。</w:t>
      </w:r>
    </w:p>
    <w:p>
      <w:pPr>
        <w:spacing w:afterLines="0" w:line="600" w:lineRule="exact"/>
        <w:ind w:firstLine="642" w:firstLineChars="200"/>
        <w:rPr>
          <w:rFonts w:hint="eastAsia"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b/>
          <w:bCs/>
          <w:kern w:val="0"/>
          <w:sz w:val="32"/>
          <w:szCs w:val="22"/>
          <w:lang w:val="en-US" w:eastAsia="zh-CN"/>
          <w14:ligatures w14:val="none"/>
        </w:rPr>
        <w:t>第六条  优化数智创新OPC金融综合服务。</w:t>
      </w:r>
      <w:r>
        <w:rPr>
          <w:rFonts w:hint="eastAsia" w:ascii="仿宋_GB2312" w:hAnsi="仿宋_GB2312" w:eastAsia="仿宋_GB2312" w:cs="仿宋_GB2312"/>
          <w:kern w:val="0"/>
          <w:sz w:val="32"/>
          <w:szCs w:val="22"/>
          <w:lang w:val="en-US" w:eastAsia="zh-CN"/>
          <w14:ligatures w14:val="none"/>
        </w:rPr>
        <w:t>鼓励银行设立数智创新OPC专项信贷产品，强化对OPC的金融支持。根据企业不同贷款类型最高按照贷款金额1.5%的比例给予不超过100万的利息补贴。鼓励银行、担保机构加大对中小微企业信贷投放，支持企业通过银行信贷、债务发行、股权融资等途径开展多样化融资。</w:t>
      </w:r>
    </w:p>
    <w:p>
      <w:pPr>
        <w:spacing w:afterLines="0" w:line="600" w:lineRule="exact"/>
        <w:ind w:firstLine="642" w:firstLineChars="200"/>
        <w:rPr>
          <w:rFonts w:hint="eastAsia"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b/>
          <w:bCs/>
          <w:kern w:val="0"/>
          <w:sz w:val="32"/>
          <w:szCs w:val="22"/>
          <w:lang w:val="en-US" w:eastAsia="zh-CN"/>
          <w14:ligatures w14:val="none"/>
        </w:rPr>
        <w:t>第七条  支持数智创新OPC场景成果示范应用。</w:t>
      </w:r>
      <w:r>
        <w:rPr>
          <w:rFonts w:hint="eastAsia" w:ascii="仿宋_GB2312" w:hAnsi="仿宋_GB2312" w:eastAsia="仿宋_GB2312" w:cs="仿宋_GB2312"/>
          <w:kern w:val="0"/>
          <w:sz w:val="32"/>
          <w:szCs w:val="22"/>
          <w:lang w:val="en-US" w:eastAsia="zh-CN"/>
          <w14:ligatures w14:val="none"/>
        </w:rPr>
        <w:t>支持数智新技术、新产品优先落地验证。鼓励数智创新OPC通过“揭榜挂帅”、场景路演等方式开展协同攻关与对接合作。对纳入北京市数智标杆场景的示范应用，单个项目给予最高20万元支持，单个企业年度最高支持100万元。</w:t>
      </w:r>
    </w:p>
    <w:p>
      <w:pPr>
        <w:keepNext w:val="0"/>
        <w:keepLines w:val="0"/>
        <w:widowControl/>
        <w:suppressLineNumbers w:val="0"/>
        <w:spacing w:afterLines="0" w:line="600" w:lineRule="exact"/>
        <w:ind w:firstLine="0" w:firstLineChars="0"/>
        <w:jc w:val="center"/>
        <w:rPr>
          <w:rFonts w:ascii="黑体" w:hAnsi="宋体" w:eastAsia="黑体" w:cs="黑体"/>
          <w:i w:val="0"/>
          <w:caps w:val="0"/>
          <w:color w:val="404040"/>
          <w:spacing w:val="0"/>
          <w:kern w:val="0"/>
          <w:sz w:val="32"/>
          <w:szCs w:val="32"/>
          <w:shd w:val="clear" w:fill="FFFFFF"/>
          <w:lang w:val="en-US" w:eastAsia="zh-CN" w:bidi="ar"/>
        </w:rPr>
      </w:pPr>
    </w:p>
    <w:p>
      <w:pPr>
        <w:keepNext w:val="0"/>
        <w:keepLines w:val="0"/>
        <w:widowControl/>
        <w:suppressLineNumbers w:val="0"/>
        <w:spacing w:afterLines="0" w:line="600" w:lineRule="exact"/>
        <w:ind w:firstLine="0" w:firstLineChars="0"/>
        <w:jc w:val="center"/>
        <w:rPr>
          <w:rFonts w:ascii="黑体" w:hAnsi="宋体" w:eastAsia="黑体" w:cs="黑体"/>
          <w:i w:val="0"/>
          <w:caps w:val="0"/>
          <w:color w:val="404040"/>
          <w:spacing w:val="0"/>
          <w:kern w:val="0"/>
          <w:sz w:val="32"/>
          <w:szCs w:val="32"/>
          <w:shd w:val="clear" w:fill="FFFFFF"/>
          <w:lang w:val="en-US" w:eastAsia="zh-CN" w:bidi="ar"/>
        </w:rPr>
      </w:pPr>
      <w:r>
        <w:rPr>
          <w:rFonts w:ascii="黑体" w:hAnsi="宋体" w:eastAsia="黑体" w:cs="黑体"/>
          <w:i w:val="0"/>
          <w:caps w:val="0"/>
          <w:color w:val="404040"/>
          <w:spacing w:val="0"/>
          <w:kern w:val="0"/>
          <w:sz w:val="32"/>
          <w:szCs w:val="32"/>
          <w:shd w:val="clear" w:fill="FFFFFF"/>
          <w:lang w:val="en-US" w:eastAsia="zh-CN" w:bidi="ar"/>
        </w:rPr>
        <w:t>第三章</w:t>
      </w:r>
      <w:r>
        <w:rPr>
          <w:rFonts w:hint="default" w:ascii="黑体" w:hAnsi="宋体" w:eastAsia="黑体" w:cs="黑体"/>
          <w:i w:val="0"/>
          <w:caps w:val="0"/>
          <w:color w:val="404040"/>
          <w:spacing w:val="0"/>
          <w:kern w:val="0"/>
          <w:sz w:val="32"/>
          <w:szCs w:val="32"/>
          <w:shd w:val="clear" w:fill="FFFFFF"/>
          <w:lang w:val="en-US" w:eastAsia="zh-CN" w:bidi="ar"/>
        </w:rPr>
        <w:t> </w:t>
      </w:r>
      <w:r>
        <w:rPr>
          <w:rFonts w:hint="eastAsia" w:ascii="黑体" w:hAnsi="宋体" w:eastAsia="黑体" w:cs="黑体"/>
          <w:i w:val="0"/>
          <w:caps w:val="0"/>
          <w:color w:val="404040"/>
          <w:spacing w:val="0"/>
          <w:kern w:val="0"/>
          <w:sz w:val="32"/>
          <w:szCs w:val="32"/>
          <w:shd w:val="clear" w:fill="FFFFFF"/>
          <w:lang w:val="en-US" w:eastAsia="zh-CN" w:bidi="ar"/>
        </w:rPr>
        <w:t>附则</w:t>
      </w:r>
    </w:p>
    <w:p>
      <w:pPr>
        <w:spacing w:afterLines="0" w:line="600" w:lineRule="exact"/>
        <w:ind w:firstLine="640" w:firstLineChars="200"/>
        <w:rPr>
          <w:rFonts w:hint="default" w:ascii="仿宋_GB2312" w:hAnsi="仿宋_GB2312" w:eastAsia="仿宋_GB2312" w:cs="仿宋_GB2312"/>
          <w:kern w:val="0"/>
          <w:sz w:val="32"/>
          <w:szCs w:val="22"/>
          <w:lang w:val="en-US" w:eastAsia="zh-CN"/>
          <w14:ligatures w14:val="none"/>
        </w:rPr>
      </w:pPr>
      <w:r>
        <w:rPr>
          <w:rFonts w:hint="default" w:ascii="仿宋_GB2312" w:hAnsi="仿宋_GB2312" w:eastAsia="仿宋_GB2312" w:cs="仿宋_GB2312"/>
          <w:kern w:val="0"/>
          <w:sz w:val="32"/>
          <w:szCs w:val="22"/>
          <w:lang w:val="en-US" w:eastAsia="zh-CN"/>
          <w14:ligatures w14:val="none"/>
        </w:rPr>
        <w:t>本措施由</w:t>
      </w:r>
      <w:r>
        <w:rPr>
          <w:rFonts w:hint="eastAsia" w:ascii="仿宋_GB2312" w:hAnsi="仿宋_GB2312" w:eastAsia="仿宋_GB2312" w:cs="仿宋_GB2312"/>
          <w:kern w:val="0"/>
          <w:sz w:val="32"/>
          <w:szCs w:val="22"/>
          <w:lang w:val="en-US" w:eastAsia="zh-CN"/>
          <w14:ligatures w14:val="none"/>
        </w:rPr>
        <w:t>中关村科技园区通州园管理委员会</w:t>
      </w:r>
      <w:r>
        <w:rPr>
          <w:rFonts w:hint="default" w:ascii="仿宋_GB2312" w:hAnsi="仿宋_GB2312" w:eastAsia="仿宋_GB2312" w:cs="仿宋_GB2312"/>
          <w:kern w:val="0"/>
          <w:sz w:val="32"/>
          <w:szCs w:val="22"/>
          <w:lang w:val="en-US" w:eastAsia="zh-CN"/>
          <w14:ligatures w14:val="none"/>
        </w:rPr>
        <w:t>负责解释，自印发之日起施行。《关于北京城市副中心支持数智创新OPC创新发展的若干措施》（中通管文〔2026〕3号）同时废止。同一项目、同一事项同时符合本措施多项条款或通州区其他支持政策的，按照“从优不重复”原则给予支持。执行期间，法律、法规、规章另有规定或遇政策调整的，从其规定。</w:t>
      </w:r>
    </w:p>
    <w:p>
      <w:pPr>
        <w:pStyle w:val="14"/>
        <w:ind w:left="0" w:leftChars="0" w:firstLine="0" w:firstLineChars="0"/>
      </w:pPr>
    </w:p>
    <w:p>
      <w:pPr>
        <w:rPr>
          <w:rFonts w:hint="eastAsia"/>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汉仪中圆B5"/>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tQR520AQAAUgMAAA4AAABkcnMv&#10;ZTJvRG9jLnhtbK1TS24bMQzdF8gdBO1jjQ2k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mZf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W1BHnbQBAABSAwAADgAAAAAAAAABACAAAAA0AQAAZHJzL2Uyb0Rv&#10;Yy54bWxQSwUGAAAAAAYABgBZAQAAWgUAAAAA&#10;">
              <v:fill on="f" focussize="0,0"/>
              <v:stroke on="f"/>
              <v:imagedata o:title=""/>
              <o:lock v:ext="edit" aspectratio="f"/>
              <v:textbox inset="0mm,0mm,0mm,0mm" style="mso-fit-shape-to-text:t;">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292"/>
    <w:rsid w:val="000F66AA"/>
    <w:rsid w:val="00142560"/>
    <w:rsid w:val="00342902"/>
    <w:rsid w:val="00510AB8"/>
    <w:rsid w:val="00723292"/>
    <w:rsid w:val="008708B1"/>
    <w:rsid w:val="00B5067B"/>
    <w:rsid w:val="00C41EC1"/>
    <w:rsid w:val="00CF2808"/>
    <w:rsid w:val="00F86747"/>
    <w:rsid w:val="0FEF2172"/>
    <w:rsid w:val="1E1F8DF3"/>
    <w:rsid w:val="1FFF1E60"/>
    <w:rsid w:val="2CB3EFDB"/>
    <w:rsid w:val="31FB149F"/>
    <w:rsid w:val="32DFFD10"/>
    <w:rsid w:val="33B3FD1B"/>
    <w:rsid w:val="33FF24E6"/>
    <w:rsid w:val="35F5CD91"/>
    <w:rsid w:val="37BB7C0E"/>
    <w:rsid w:val="37FFA07A"/>
    <w:rsid w:val="390B968A"/>
    <w:rsid w:val="3BDDD972"/>
    <w:rsid w:val="3BFBC127"/>
    <w:rsid w:val="3E5F5D01"/>
    <w:rsid w:val="3FB26306"/>
    <w:rsid w:val="3FEF5842"/>
    <w:rsid w:val="3FFF1BDE"/>
    <w:rsid w:val="41976517"/>
    <w:rsid w:val="52B72B01"/>
    <w:rsid w:val="52FE31F1"/>
    <w:rsid w:val="537E9D62"/>
    <w:rsid w:val="57EACE3E"/>
    <w:rsid w:val="59BBBAA7"/>
    <w:rsid w:val="5B2FF87F"/>
    <w:rsid w:val="5BBEEEBE"/>
    <w:rsid w:val="5BFF71D4"/>
    <w:rsid w:val="5CDE75C0"/>
    <w:rsid w:val="5CE1F218"/>
    <w:rsid w:val="5FD9DFFB"/>
    <w:rsid w:val="5FFF26B3"/>
    <w:rsid w:val="67FBEBA7"/>
    <w:rsid w:val="6BFA5BC2"/>
    <w:rsid w:val="6DEC43D4"/>
    <w:rsid w:val="6F1E0789"/>
    <w:rsid w:val="6FBD5545"/>
    <w:rsid w:val="777B1A80"/>
    <w:rsid w:val="77C60987"/>
    <w:rsid w:val="79D71F41"/>
    <w:rsid w:val="7B7D0113"/>
    <w:rsid w:val="7B7F022A"/>
    <w:rsid w:val="7BAF53F2"/>
    <w:rsid w:val="7BEDFA78"/>
    <w:rsid w:val="7CFB6C3E"/>
    <w:rsid w:val="7DCFD21F"/>
    <w:rsid w:val="7DFA195F"/>
    <w:rsid w:val="7E5F8EA5"/>
    <w:rsid w:val="7E77C406"/>
    <w:rsid w:val="7ECD0DCF"/>
    <w:rsid w:val="7EFB4937"/>
    <w:rsid w:val="7EFF388A"/>
    <w:rsid w:val="7F7F9580"/>
    <w:rsid w:val="7F9EFC09"/>
    <w:rsid w:val="7FA165D6"/>
    <w:rsid w:val="7FEF42E1"/>
    <w:rsid w:val="7FFB9CD3"/>
    <w:rsid w:val="96BBF278"/>
    <w:rsid w:val="97BF8A2A"/>
    <w:rsid w:val="9F3FF679"/>
    <w:rsid w:val="AEFBEEB8"/>
    <w:rsid w:val="B3EDA126"/>
    <w:rsid w:val="B3FFE8A1"/>
    <w:rsid w:val="B9CFAD3A"/>
    <w:rsid w:val="BCB93484"/>
    <w:rsid w:val="BD7F704D"/>
    <w:rsid w:val="BEEE442B"/>
    <w:rsid w:val="BEEF73E1"/>
    <w:rsid w:val="BEFD1BF6"/>
    <w:rsid w:val="BFDDDBB8"/>
    <w:rsid w:val="BFFE0A15"/>
    <w:rsid w:val="CBDF1D82"/>
    <w:rsid w:val="D7BB9A21"/>
    <w:rsid w:val="D7F52F97"/>
    <w:rsid w:val="DD2F3FFF"/>
    <w:rsid w:val="DEAF41E7"/>
    <w:rsid w:val="DF5E9CE6"/>
    <w:rsid w:val="DF6A28B2"/>
    <w:rsid w:val="DFD1A651"/>
    <w:rsid w:val="E3FB444C"/>
    <w:rsid w:val="E7BD1F86"/>
    <w:rsid w:val="E7F7102A"/>
    <w:rsid w:val="EA95F2D9"/>
    <w:rsid w:val="EF5B60F8"/>
    <w:rsid w:val="EF5BB310"/>
    <w:rsid w:val="EFBF8461"/>
    <w:rsid w:val="F3F29C91"/>
    <w:rsid w:val="F47F043B"/>
    <w:rsid w:val="F5D7BDB1"/>
    <w:rsid w:val="F7D9C2C3"/>
    <w:rsid w:val="FA3F418A"/>
    <w:rsid w:val="FBBFDDD6"/>
    <w:rsid w:val="FD7B9271"/>
    <w:rsid w:val="FDC9BB1F"/>
    <w:rsid w:val="FE6F1A3F"/>
    <w:rsid w:val="FF77BF74"/>
    <w:rsid w:val="FF9E680D"/>
    <w:rsid w:val="FFBFBD5A"/>
    <w:rsid w:val="FFEC2DF9"/>
    <w:rsid w:val="FFED0AC3"/>
    <w:rsid w:val="FFF33454"/>
    <w:rsid w:val="FFF9C859"/>
    <w:rsid w:val="FFFDF615"/>
    <w:rsid w:val="FFFFB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3360"/>
      <w:jc w:val="left"/>
    </w:pPr>
  </w:style>
  <w:style w:type="paragraph" w:styleId="4">
    <w:name w:val="Normal Indent"/>
    <w:basedOn w:val="1"/>
    <w:next w:val="1"/>
    <w:qFormat/>
    <w:uiPriority w:val="0"/>
    <w:pPr>
      <w:ind w:firstLine="420" w:firstLineChars="200"/>
    </w:pPr>
  </w:style>
  <w:style w:type="paragraph" w:styleId="5">
    <w:name w:val="Body Text"/>
    <w:basedOn w:val="1"/>
    <w:next w:val="1"/>
    <w:qFormat/>
    <w:uiPriority w:val="1"/>
    <w:pPr>
      <w:autoSpaceDE w:val="0"/>
      <w:autoSpaceDN w:val="0"/>
    </w:pPr>
    <w:rPr>
      <w:rFonts w:hAnsi="仿宋_GB2312" w:cs="仿宋_GB2312"/>
      <w:szCs w:val="32"/>
      <w:lang w:val="zh-CN" w:bidi="zh-CN"/>
    </w:rPr>
  </w:style>
  <w:style w:type="paragraph" w:styleId="6">
    <w:name w:val="Body Text Indent"/>
    <w:basedOn w:val="1"/>
    <w:unhideWhenUsed/>
    <w:qFormat/>
    <w:uiPriority w:val="99"/>
    <w:pPr>
      <w:spacing w:after="120"/>
      <w:ind w:left="420" w:leftChars="200"/>
    </w:pPr>
    <w:rPr>
      <w:rFonts w:ascii="Times New Roman"/>
    </w:rPr>
  </w:style>
  <w:style w:type="paragraph" w:styleId="7">
    <w:name w:val="toc 3"/>
    <w:basedOn w:val="1"/>
    <w:next w:val="1"/>
    <w:unhideWhenUsed/>
    <w:qFormat/>
    <w:uiPriority w:val="39"/>
    <w:pPr>
      <w:ind w:left="420"/>
    </w:pPr>
    <w:rPr>
      <w:rFonts w:ascii="等线" w:hAnsi="等线" w:eastAsia="等线"/>
      <w:b/>
      <w:sz w:val="30"/>
      <w:szCs w:val="30"/>
    </w:r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snapToGrid w:val="0"/>
      <w:jc w:val="left"/>
    </w:pPr>
    <w:rPr>
      <w:sz w:val="18"/>
      <w:szCs w:val="18"/>
    </w:rPr>
  </w:style>
  <w:style w:type="paragraph" w:styleId="12">
    <w:name w:val="Body Text 2"/>
    <w:basedOn w:val="1"/>
    <w:qFormat/>
    <w:uiPriority w:val="99"/>
    <w:pPr>
      <w:widowControl/>
      <w:spacing w:before="100" w:beforeAutospacing="1" w:after="100" w:afterAutospacing="1"/>
      <w:jc w:val="left"/>
    </w:pPr>
    <w:rPr>
      <w:kern w:val="0"/>
      <w:sz w:val="20"/>
    </w:rPr>
  </w:style>
  <w:style w:type="paragraph" w:styleId="13">
    <w:name w:val="Body Text First Indent"/>
    <w:basedOn w:val="5"/>
    <w:next w:val="5"/>
    <w:qFormat/>
    <w:uiPriority w:val="99"/>
    <w:pPr>
      <w:ind w:firstLine="420" w:firstLineChars="100"/>
    </w:pPr>
  </w:style>
  <w:style w:type="paragraph" w:styleId="14">
    <w:name w:val="Body Text First Indent 2"/>
    <w:basedOn w:val="6"/>
    <w:next w:val="1"/>
    <w:unhideWhenUsed/>
    <w:qFormat/>
    <w:uiPriority w:val="99"/>
    <w:pPr>
      <w:ind w:firstLine="420"/>
    </w:pPr>
  </w:style>
  <w:style w:type="character" w:styleId="17">
    <w:name w:val="Strong"/>
    <w:basedOn w:val="16"/>
    <w:qFormat/>
    <w:uiPriority w:val="22"/>
    <w:rPr>
      <w:b/>
    </w:rPr>
  </w:style>
  <w:style w:type="character" w:styleId="18">
    <w:name w:val="footnote reference"/>
    <w:qFormat/>
    <w:uiPriority w:val="0"/>
    <w:rPr>
      <w:vertAlign w:val="superscript"/>
    </w:rPr>
  </w:style>
  <w:style w:type="paragraph" w:customStyle="1" w:styleId="19">
    <w:name w:val="Body Text 21"/>
    <w:basedOn w:val="1"/>
    <w:qFormat/>
    <w:uiPriority w:val="99"/>
    <w:pPr>
      <w:spacing w:line="360" w:lineRule="auto"/>
      <w:ind w:firstLine="200" w:firstLineChars="200"/>
    </w:pPr>
  </w:style>
  <w:style w:type="paragraph" w:customStyle="1" w:styleId="20">
    <w:name w:val="TOC3"/>
    <w:basedOn w:val="1"/>
    <w:next w:val="1"/>
    <w:qFormat/>
    <w:uiPriority w:val="0"/>
    <w:pPr>
      <w:ind w:left="840" w:leftChars="400"/>
      <w:jc w:val="both"/>
      <w:textAlignment w:val="baseline"/>
    </w:pPr>
  </w:style>
  <w:style w:type="character" w:customStyle="1" w:styleId="21">
    <w:name w:val="页眉 Char"/>
    <w:basedOn w:val="16"/>
    <w:link w:val="10"/>
    <w:qFormat/>
    <w:uiPriority w:val="99"/>
    <w:rPr>
      <w:sz w:val="18"/>
      <w:szCs w:val="18"/>
    </w:rPr>
  </w:style>
  <w:style w:type="character" w:customStyle="1" w:styleId="22">
    <w:name w:val="页脚 Char"/>
    <w:basedOn w:val="16"/>
    <w:link w:val="9"/>
    <w:qFormat/>
    <w:uiPriority w:val="99"/>
    <w:rPr>
      <w:sz w:val="18"/>
      <w:szCs w:val="18"/>
    </w:rPr>
  </w:style>
  <w:style w:type="character" w:customStyle="1" w:styleId="23">
    <w:name w:val="批注框文本 Char"/>
    <w:basedOn w:val="16"/>
    <w:link w:val="8"/>
    <w:semiHidden/>
    <w:qFormat/>
    <w:uiPriority w:val="99"/>
    <w:rPr>
      <w:sz w:val="18"/>
      <w:szCs w:val="18"/>
    </w:rPr>
  </w:style>
  <w:style w:type="paragraph" w:customStyle="1" w:styleId="2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Body Text First Indent1"/>
    <w:basedOn w:val="5"/>
    <w:qFormat/>
    <w:uiPriority w:val="99"/>
    <w:pPr>
      <w:ind w:firstLine="420"/>
    </w:pPr>
  </w:style>
  <w:style w:type="paragraph" w:customStyle="1" w:styleId="26">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1119</Words>
  <Characters>1171</Characters>
  <Lines>1</Lines>
  <Paragraphs>1</Paragraphs>
  <TotalTime>0</TotalTime>
  <ScaleCrop>false</ScaleCrop>
  <LinksUpToDate>false</LinksUpToDate>
  <CharactersWithSpaces>1188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2020-02-28T04:30:00Z</dcterms:created>
  <dc:creator>zhangjie</dc:creator>
  <cp:lastModifiedBy>user</cp:lastModifiedBy>
  <cp:lastPrinted>2026-05-25T23:18:00Z</cp:lastPrinted>
  <dcterms:modified xsi:type="dcterms:W3CDTF">2026-05-25T16:49:04Z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F9C1C50C8E8340FD93353581FE83C05F_13</vt:lpwstr>
  </property>
  <property fmtid="{D5CDD505-2E9C-101B-9397-08002B2CF9AE}" pid="4" name="KSOTemplateDocerSaveRecord">
    <vt:lpwstr>eyJoZGlkIjoiOTM0NzZiODBjMzZjNzEzNWY1NjYyMTI5OWFkMjllN2YiLCJ1c2VySWQiOiI0MTk0OTEzNTkifQ==</vt:lpwstr>
  </property>
</Properties>
</file>