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FD7E">
      <w:pPr>
        <w:spacing w:line="600" w:lineRule="exact"/>
        <w:jc w:val="center"/>
        <w:rPr>
          <w:rFonts w:ascii="方正小标宋简体" w:hAnsi="仿宋_GB2312" w:eastAsia="方正小标宋简体"/>
          <w:sz w:val="44"/>
          <w:szCs w:val="44"/>
        </w:rPr>
      </w:pPr>
      <w:r>
        <w:rPr>
          <w:rFonts w:hint="eastAsia" w:ascii="方正小标宋简体" w:hAnsi="仿宋_GB2312" w:eastAsia="方正小标宋简体"/>
          <w:sz w:val="44"/>
          <w:szCs w:val="44"/>
        </w:rPr>
        <w:t>关于《</w:t>
      </w:r>
      <w:r>
        <w:rPr>
          <w:rFonts w:hint="eastAsia" w:ascii="方正小标宋简体" w:hAnsi="黑体" w:eastAsia="方正小标宋简体" w:cs="黑体"/>
          <w:color w:val="000000"/>
          <w:sz w:val="44"/>
          <w:szCs w:val="44"/>
        </w:rPr>
        <w:t>北京城市副中心（通州区）“十五五”时期</w:t>
      </w:r>
      <w:r>
        <w:rPr>
          <w:rFonts w:ascii="方正小标宋简体" w:hAnsi="方正小标宋简体" w:eastAsia="方正小标宋简体" w:cs="方正小标宋简体"/>
          <w:sz w:val="44"/>
          <w:szCs w:val="44"/>
        </w:rPr>
        <w:t>文商旅体融合发展规划</w:t>
      </w:r>
      <w:r>
        <w:rPr>
          <w:rFonts w:hint="eastAsia" w:ascii="方正小标宋简体" w:hAnsi="黑体" w:eastAsia="方正小标宋简体" w:cs="黑体"/>
          <w:color w:val="000000"/>
          <w:sz w:val="44"/>
          <w:szCs w:val="44"/>
        </w:rPr>
        <w:t>（征求意见稿）</w:t>
      </w:r>
      <w:r>
        <w:rPr>
          <w:rFonts w:hint="eastAsia" w:ascii="方正小标宋简体" w:hAnsi="仿宋_GB2312" w:eastAsia="方正小标宋简体"/>
          <w:sz w:val="44"/>
          <w:szCs w:val="44"/>
        </w:rPr>
        <w:t>》</w:t>
      </w:r>
    </w:p>
    <w:p w14:paraId="053679D2">
      <w:pPr>
        <w:spacing w:line="600" w:lineRule="exact"/>
        <w:jc w:val="center"/>
        <w:rPr>
          <w:rFonts w:ascii="方正小标宋简体" w:hAnsi="仿宋_GB2312" w:eastAsia="方正小标宋简体"/>
          <w:sz w:val="44"/>
          <w:szCs w:val="44"/>
        </w:rPr>
      </w:pPr>
      <w:r>
        <w:rPr>
          <w:rFonts w:hint="eastAsia" w:ascii="方正小标宋简体" w:hAnsi="仿宋_GB2312" w:eastAsia="方正小标宋简体"/>
          <w:sz w:val="44"/>
          <w:szCs w:val="44"/>
        </w:rPr>
        <w:t>的起草说明</w:t>
      </w:r>
    </w:p>
    <w:p w14:paraId="2A3D5B7F">
      <w:pPr>
        <w:widowControl/>
        <w:spacing w:line="560" w:lineRule="exact"/>
        <w:ind w:firstLine="640" w:firstLineChars="200"/>
        <w:rPr>
          <w:rFonts w:ascii="黑体" w:hAnsi="黑体" w:eastAsia="黑体" w:cs="黑体"/>
          <w:sz w:val="32"/>
          <w:szCs w:val="32"/>
        </w:rPr>
      </w:pPr>
      <w:bookmarkStart w:id="0" w:name="_Toc29612"/>
      <w:bookmarkStart w:id="1" w:name="_Toc19062"/>
      <w:bookmarkStart w:id="2" w:name="_Toc92818517"/>
      <w:bookmarkStart w:id="3" w:name="_Toc2818"/>
      <w:bookmarkStart w:id="4" w:name="_Toc12590"/>
      <w:bookmarkStart w:id="5" w:name="_Toc1786436564"/>
      <w:bookmarkStart w:id="6" w:name="_Toc21093"/>
      <w:bookmarkStart w:id="7" w:name="_Toc336567400"/>
      <w:bookmarkStart w:id="8" w:name="_Toc26571"/>
      <w:bookmarkStart w:id="9" w:name="_Toc4633"/>
      <w:bookmarkStart w:id="10" w:name="_Toc7205"/>
      <w:bookmarkStart w:id="11" w:name="_Toc13501"/>
      <w:bookmarkStart w:id="12" w:name="_Toc2119186901"/>
      <w:bookmarkStart w:id="13" w:name="_Toc27801"/>
      <w:bookmarkStart w:id="14" w:name="_Toc11600"/>
      <w:bookmarkStart w:id="15" w:name="_Toc7701"/>
      <w:bookmarkStart w:id="16" w:name="_Toc8625"/>
      <w:bookmarkStart w:id="17" w:name="_Toc1252345155"/>
    </w:p>
    <w:p w14:paraId="367AADBC">
      <w:pPr>
        <w:widowControl/>
        <w:spacing w:line="560" w:lineRule="exact"/>
        <w:ind w:firstLine="640" w:firstLineChars="200"/>
        <w:outlineLvl w:val="1"/>
        <w:rPr>
          <w:rFonts w:ascii="黑体" w:hAnsi="黑体" w:eastAsia="黑体" w:cs="黑体"/>
          <w:color w:val="000000"/>
          <w:sz w:val="32"/>
          <w:szCs w:val="32"/>
        </w:rPr>
      </w:pPr>
      <w:r>
        <w:rPr>
          <w:rFonts w:hint="eastAsia" w:ascii="黑体" w:hAnsi="黑体" w:eastAsia="黑体" w:cs="黑体"/>
          <w:sz w:val="32"/>
          <w:szCs w:val="32"/>
        </w:rPr>
        <w:t>一、规划背景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0F24665">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北京落实首都城市战略定位、建设国际一流的和谐宜居之都的攻坚时期，也是《北京城市副中心控制性详细规划（街区层面）（2016年-2035年）》批复实施后的关键时期，是城市副中心框架内涵深化、主导功能稳固提升、现代产业体系加快构建、区域高质量协同发展、城市品质全面跃升的重要时期。编制实施好“十五五”规划，对将城市副中心打造为中国式现代化进程中的城市发展样板具有奠基性作用，意义重大。</w:t>
      </w:r>
    </w:p>
    <w:p w14:paraId="6C86BDF8">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化旅游是北京城市副中心三大主导功能之一。为紧扣区域战略定位，落实整体发展部署，《北京城市副中心（通州区）“十五五”时期文商旅体融合发展规划》（以下简称“本规划”）作为《北京城市副中心（通州区）国民经济和社会发展第十五个五年规划纲要》在文商旅体领域的延伸与细化落地文件，是今后一个时期推动全区文商旅体深度融合发展的重要指导文件和行动纲领，对持续提升区域文旅产业发展质效、全力打造世界级文化旅游目的地具有重要现实意义。</w:t>
      </w:r>
    </w:p>
    <w:p w14:paraId="57A957D6">
      <w:pPr>
        <w:widowControl/>
        <w:spacing w:line="560" w:lineRule="exact"/>
        <w:ind w:firstLine="640" w:firstLineChars="200"/>
        <w:outlineLvl w:val="1"/>
        <w:rPr>
          <w:rFonts w:hint="eastAsia" w:ascii="黑体" w:hAnsi="黑体" w:eastAsia="黑体" w:cs="黑体"/>
          <w:sz w:val="32"/>
          <w:szCs w:val="32"/>
        </w:rPr>
      </w:pPr>
      <w:bookmarkStart w:id="18" w:name="_Toc11516"/>
      <w:bookmarkStart w:id="19" w:name="_Toc18803"/>
      <w:bookmarkStart w:id="20" w:name="_Toc2847"/>
      <w:bookmarkStart w:id="21" w:name="_Toc19453"/>
      <w:bookmarkStart w:id="22" w:name="_Toc22964"/>
      <w:bookmarkStart w:id="23" w:name="_Toc927687497"/>
      <w:bookmarkStart w:id="24" w:name="_Toc677795838"/>
      <w:bookmarkStart w:id="25" w:name="_Toc630345629"/>
      <w:bookmarkStart w:id="26" w:name="_Toc18515"/>
      <w:bookmarkStart w:id="27" w:name="_Toc28033"/>
      <w:bookmarkStart w:id="28" w:name="_Toc19060"/>
      <w:bookmarkStart w:id="29" w:name="_Toc92073748"/>
      <w:bookmarkStart w:id="30" w:name="_Toc2595"/>
      <w:bookmarkStart w:id="31" w:name="_Toc12125"/>
      <w:bookmarkStart w:id="32" w:name="_Toc216365602"/>
      <w:bookmarkStart w:id="33" w:name="_Toc32018"/>
      <w:bookmarkStart w:id="34" w:name="_Toc5491"/>
      <w:bookmarkStart w:id="35" w:name="_Toc18876"/>
      <w:bookmarkStart w:id="72" w:name="_GoBack"/>
      <w:r>
        <w:rPr>
          <w:rFonts w:hint="eastAsia" w:ascii="黑体" w:hAnsi="黑体" w:eastAsia="黑体" w:cs="黑体"/>
          <w:sz w:val="32"/>
          <w:szCs w:val="32"/>
        </w:rPr>
        <w:t>二、规划依据</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bookmarkEnd w:id="72"/>
    <w:p w14:paraId="3FEE9B39">
      <w:pPr>
        <w:pStyle w:val="15"/>
        <w:ind w:firstLine="640"/>
        <w:rPr>
          <w:rFonts w:ascii="仿宋_GB2312" w:hAnsi="仿宋_GB2312" w:eastAsia="仿宋_GB2312" w:cs="仿宋_GB2312"/>
          <w:szCs w:val="32"/>
          <w:lang w:val="en-US"/>
        </w:rPr>
      </w:pPr>
      <w:r>
        <w:rPr>
          <w:rFonts w:hint="eastAsia" w:ascii="仿宋_GB2312" w:hAnsi="仿宋_GB2312" w:eastAsia="仿宋_GB2312" w:cs="仿宋_GB2312"/>
          <w:szCs w:val="32"/>
          <w:lang w:val="en-US"/>
        </w:rPr>
        <w:t>坚持以习近平新时代中国特色社会主义思想为指导，全面贯彻党的二十大和二十届历次全会精神，深入落实习近平总书记对北京重要讲话及对北京城市副中心重要指示批示精神，认真执行中共北京市委十三届历次全会决策部署。严格遵循党中央、国务院关于北京城市副中心控制性详细规划的批复要求，落实《北京市国民经济和社会发展第十五个五年规划纲要》《北京城市副中心（通州区）国民经济和社会发展第十五个五年规划纲要》《北京市“十五五”时期文化和旅游发展规划》等文件规定，特编制本规划。</w:t>
      </w:r>
    </w:p>
    <w:p w14:paraId="0030C624">
      <w:pPr>
        <w:widowControl/>
        <w:spacing w:line="560" w:lineRule="exact"/>
        <w:ind w:firstLine="640" w:firstLineChars="200"/>
        <w:outlineLvl w:val="1"/>
        <w:rPr>
          <w:rFonts w:ascii="黑体" w:hAnsi="黑体" w:eastAsia="黑体" w:cs="黑体"/>
          <w:color w:val="000000"/>
          <w:sz w:val="32"/>
          <w:szCs w:val="32"/>
        </w:rPr>
      </w:pPr>
      <w:bookmarkStart w:id="36" w:name="_Toc19455"/>
      <w:bookmarkStart w:id="37" w:name="_Toc1845"/>
      <w:bookmarkStart w:id="38" w:name="_Toc1998"/>
      <w:bookmarkStart w:id="39" w:name="_Toc2380"/>
      <w:bookmarkStart w:id="40" w:name="_Toc188156461"/>
      <w:bookmarkStart w:id="41" w:name="_Toc25122"/>
      <w:bookmarkStart w:id="42" w:name="_Toc912484859"/>
      <w:bookmarkStart w:id="43" w:name="_Toc18931"/>
      <w:bookmarkStart w:id="44" w:name="_Toc1461385578"/>
      <w:bookmarkStart w:id="45" w:name="_Toc766858443"/>
      <w:bookmarkStart w:id="46" w:name="_Toc16296"/>
      <w:bookmarkStart w:id="47" w:name="_Toc23683"/>
      <w:bookmarkStart w:id="48" w:name="_Toc1924059339"/>
      <w:bookmarkStart w:id="49" w:name="_Toc21184"/>
      <w:bookmarkStart w:id="50" w:name="_Toc22680"/>
      <w:bookmarkStart w:id="51" w:name="_Toc9519"/>
      <w:bookmarkStart w:id="52" w:name="_Toc2750"/>
      <w:bookmarkStart w:id="53" w:name="_Toc20452"/>
      <w:r>
        <w:rPr>
          <w:rFonts w:hint="eastAsia" w:ascii="黑体" w:hAnsi="黑体" w:eastAsia="黑体" w:cs="黑体"/>
          <w:sz w:val="32"/>
          <w:szCs w:val="32"/>
        </w:rPr>
        <w:t>三、规划目的与意义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7BC1BC2">
      <w:pPr>
        <w:widowControl/>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编制本规划是立足北京城市副中心功能定位，落实首都文化建设、大运河文化保护传承利用的重要举措。规划旨在深挖运河历史文脉，活化利用历史文化资源，健全文旅产业体系，完善全域文旅配套设施，推动文化、商业、旅游、体育深度融合发展。同时进一步擦亮副中心文旅城市品牌，丰富优质文旅产品供给，提升公共文化服务水平，有效激发文旅消费活力，带动区域产业提质增效。助力打造京津冀文旅协同发展标杆，持续优化城市人居环境，不断满足群众高品质精神文化需求，全面赋能城市副中心经济社会高质量发展。</w:t>
      </w:r>
    </w:p>
    <w:p w14:paraId="328F65E3">
      <w:pPr>
        <w:widowControl/>
        <w:spacing w:line="560" w:lineRule="exact"/>
        <w:ind w:firstLine="640" w:firstLineChars="200"/>
        <w:outlineLvl w:val="1"/>
        <w:rPr>
          <w:bCs/>
          <w:kern w:val="0"/>
        </w:rPr>
      </w:pPr>
      <w:r>
        <w:rPr>
          <w:rFonts w:hint="eastAsia" w:ascii="黑体" w:hAnsi="黑体" w:eastAsia="黑体" w:cs="黑体"/>
          <w:sz w:val="32"/>
          <w:szCs w:val="32"/>
        </w:rPr>
        <w:t>四、规划内容</w:t>
      </w:r>
      <w:bookmarkStart w:id="54" w:name="_Toc952301986"/>
      <w:bookmarkStart w:id="55" w:name="_Toc1540485854"/>
      <w:bookmarkStart w:id="56" w:name="_Toc16406"/>
      <w:bookmarkStart w:id="57" w:name="_Toc1443245785"/>
      <w:bookmarkStart w:id="58" w:name="_Toc3630"/>
      <w:bookmarkStart w:id="59" w:name="_Toc10021"/>
      <w:bookmarkStart w:id="60" w:name="_Toc27343"/>
      <w:bookmarkStart w:id="61" w:name="_Toc14358"/>
      <w:bookmarkStart w:id="62" w:name="_Toc22009"/>
      <w:bookmarkStart w:id="63" w:name="_Toc736938707"/>
      <w:bookmarkStart w:id="64" w:name="_Toc8437"/>
      <w:bookmarkStart w:id="65" w:name="_Toc14548"/>
      <w:bookmarkStart w:id="66" w:name="_Toc23423"/>
      <w:bookmarkStart w:id="67" w:name="_Toc1182601132"/>
      <w:bookmarkStart w:id="68" w:name="_Toc21149"/>
      <w:bookmarkStart w:id="69" w:name="_Toc24298"/>
      <w:bookmarkStart w:id="70" w:name="_Toc31877"/>
      <w:bookmarkStart w:id="71" w:name="_Toc10168"/>
    </w:p>
    <w:p w14:paraId="00AF8AD5">
      <w:pPr>
        <w:pStyle w:val="16"/>
        <w:ind w:firstLine="640"/>
        <w:rPr>
          <w:bCs/>
          <w:kern w:val="0"/>
        </w:rPr>
      </w:pPr>
      <w:r>
        <w:rPr>
          <w:rFonts w:hint="eastAsia" w:ascii="仿宋_GB2312"/>
        </w:rPr>
        <w:t>规划文本共11章，整体结构分为四大部分：</w:t>
      </w:r>
    </w:p>
    <w:p w14:paraId="3BF2F551">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第一部分（第1-2章）：把握发展背景，确定发展蓝图。</w:t>
      </w:r>
      <w:r>
        <w:rPr>
          <w:rFonts w:hint="eastAsia" w:ascii="仿宋_GB2312" w:eastAsia="仿宋_GB2312"/>
          <w:sz w:val="32"/>
          <w:szCs w:val="32"/>
        </w:rPr>
        <w:t>系统分析了“十五五”时期我区文商旅体融合发展面临的新形势、新要求，明确了规划的指导思想、基本原则和总体目标，为未来发展描绘了清晰蓝图。</w:t>
      </w:r>
    </w:p>
    <w:p w14:paraId="09FFC44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第二部分（第3-7章）：聚焦融合模式，阐释核心路径。</w:t>
      </w:r>
      <w:r>
        <w:rPr>
          <w:rFonts w:hint="eastAsia" w:ascii="仿宋_GB2312" w:eastAsia="仿宋_GB2312"/>
          <w:sz w:val="32"/>
          <w:szCs w:val="32"/>
        </w:rPr>
        <w:t>该部分是规划的核心内容。系统阐释了“文化引领、旅游聚势、赛事引流、商贸增效”的总体思路，并重点围绕“文旅+百业”的融合发展模式，从文化资源活化利用、旅游产品体系构建、品牌赛事活动打造、商业消费场景升级、多业态深度融合等方面，提出了一系列具体任务和举措，着力构建文商旅体融合发展的新格局。</w:t>
      </w:r>
    </w:p>
    <w:p w14:paraId="40799DEF">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第三部分（第8-10章）：夯实发展基础，优化发展环境。</w:t>
      </w:r>
      <w:r>
        <w:rPr>
          <w:rFonts w:hint="eastAsia" w:ascii="仿宋_GB2312" w:eastAsia="仿宋_GB2312"/>
          <w:sz w:val="32"/>
          <w:szCs w:val="32"/>
        </w:rPr>
        <w:t>围绕提升公共服务供给水平、规范市场经营秩序、加强城市品牌宣传推广三个方面，提出工作措施，旨在全面提升我区文商旅体产业的服务品质、治理效能和品牌影响力。</w:t>
      </w:r>
    </w:p>
    <w:p w14:paraId="4A875FA9">
      <w:pPr>
        <w:spacing w:line="56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rPr>
        <w:t>第四部分（第11章）：强化规划实施，保障落地见效。</w:t>
      </w:r>
      <w:r>
        <w:rPr>
          <w:rFonts w:hint="eastAsia" w:ascii="仿宋_GB2312" w:eastAsia="仿宋_GB2312"/>
          <w:sz w:val="32"/>
          <w:szCs w:val="32"/>
        </w:rPr>
        <w:t>从组织保障、政策支持、人才建设、监测评估等方面，提出规划实施的保障机制，确保规划各项任务落到实处。</w:t>
      </w:r>
    </w:p>
    <w:p w14:paraId="618B40A4">
      <w:pPr>
        <w:widowControl/>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五、规划</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hint="eastAsia" w:ascii="黑体" w:hAnsi="黑体" w:eastAsia="黑体" w:cs="黑体"/>
          <w:sz w:val="32"/>
          <w:szCs w:val="32"/>
        </w:rPr>
        <w:t>水平年及范围</w:t>
      </w:r>
    </w:p>
    <w:p w14:paraId="39E2CEE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本规划的现状水平年为2025年，规划水平年为2030年。规划范围为通州区全域（不含亦庄通州部分）。</w:t>
      </w:r>
    </w:p>
    <w:p w14:paraId="71A188D2">
      <w:pPr>
        <w:wordWrap w:val="0"/>
        <w:spacing w:line="560" w:lineRule="exact"/>
        <w:ind w:right="315" w:rightChars="150" w:firstLine="640" w:firstLineChars="200"/>
        <w:jc w:val="right"/>
        <w:rPr>
          <w:rFonts w:ascii="仿宋_GB2312" w:hAnsi="仿宋_GB2312" w:eastAsia="仿宋_GB2312"/>
          <w:sz w:val="32"/>
          <w:szCs w:val="32"/>
        </w:rPr>
      </w:pPr>
      <w:r>
        <w:rPr>
          <w:rFonts w:hint="eastAsia" w:ascii="仿宋_GB2312" w:hAnsi="仿宋_GB2312" w:eastAsia="仿宋_GB2312"/>
          <w:sz w:val="32"/>
          <w:szCs w:val="32"/>
        </w:rPr>
        <w:t>北京市通州区文化和旅游局</w:t>
      </w:r>
    </w:p>
    <w:p w14:paraId="6F81A2B2">
      <w:pPr>
        <w:wordWrap w:val="0"/>
        <w:spacing w:line="560" w:lineRule="exact"/>
        <w:ind w:right="315" w:rightChars="150" w:firstLine="640" w:firstLineChars="200"/>
        <w:jc w:val="right"/>
      </w:pPr>
      <w:r>
        <w:rPr>
          <w:rFonts w:hint="eastAsia" w:ascii="仿宋_GB2312" w:hAnsi="仿宋_GB2312" w:eastAsia="仿宋_GB2312"/>
          <w:sz w:val="32"/>
          <w:szCs w:val="32"/>
        </w:rPr>
        <w:t xml:space="preserve"> 2026年5月20日  </w:t>
      </w:r>
    </w:p>
    <w:sectPr>
      <w:footerReference r:id="rId5" w:type="default"/>
      <w:pgSz w:w="11906" w:h="16838"/>
      <w:pgMar w:top="2098" w:right="1474" w:bottom="1984" w:left="1587" w:header="851" w:footer="1417"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4E6EAE-E8D6-49B4-B630-AE7E3E228E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C441803-C422-451F-8CD9-E7A4C5CBDE30}"/>
  </w:font>
  <w:font w:name="方正小标宋简体">
    <w:panose1 w:val="03000509000000000000"/>
    <w:charset w:val="86"/>
    <w:family w:val="script"/>
    <w:pitch w:val="default"/>
    <w:sig w:usb0="00000001" w:usb1="080E0000" w:usb2="00000000" w:usb3="00000000" w:csb0="00040000" w:csb1="00000000"/>
    <w:embedRegular r:id="rId3" w:fontKey="{644AF01E-9080-49DE-95AA-A96D4EB6C4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27C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1E4FA">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41E4FA">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E617F4"/>
    <w:rsid w:val="000662C4"/>
    <w:rsid w:val="00271EE8"/>
    <w:rsid w:val="002D58B5"/>
    <w:rsid w:val="003C1138"/>
    <w:rsid w:val="00646EBD"/>
    <w:rsid w:val="006F2B7C"/>
    <w:rsid w:val="0082698D"/>
    <w:rsid w:val="008E224F"/>
    <w:rsid w:val="009D0115"/>
    <w:rsid w:val="00AB5BEA"/>
    <w:rsid w:val="00C31851"/>
    <w:rsid w:val="00D9722F"/>
    <w:rsid w:val="028265A2"/>
    <w:rsid w:val="04690A15"/>
    <w:rsid w:val="053668F8"/>
    <w:rsid w:val="05860158"/>
    <w:rsid w:val="063D2F0C"/>
    <w:rsid w:val="07205FE4"/>
    <w:rsid w:val="07397B77"/>
    <w:rsid w:val="074D1F6B"/>
    <w:rsid w:val="07B611C8"/>
    <w:rsid w:val="07C77907"/>
    <w:rsid w:val="08161C67"/>
    <w:rsid w:val="08FD6362"/>
    <w:rsid w:val="09CE067A"/>
    <w:rsid w:val="0A711684"/>
    <w:rsid w:val="0B377DCD"/>
    <w:rsid w:val="0C1053BE"/>
    <w:rsid w:val="0C4A6908"/>
    <w:rsid w:val="0D3E4515"/>
    <w:rsid w:val="0D8853B5"/>
    <w:rsid w:val="11E54CF5"/>
    <w:rsid w:val="11F203C2"/>
    <w:rsid w:val="128C0515"/>
    <w:rsid w:val="12E50BB3"/>
    <w:rsid w:val="132A2A6A"/>
    <w:rsid w:val="13831232"/>
    <w:rsid w:val="182B52BA"/>
    <w:rsid w:val="197E20B8"/>
    <w:rsid w:val="1B552876"/>
    <w:rsid w:val="1B974A15"/>
    <w:rsid w:val="1BA81CD5"/>
    <w:rsid w:val="1DB30D9F"/>
    <w:rsid w:val="1E004AF3"/>
    <w:rsid w:val="1FE3647B"/>
    <w:rsid w:val="20F72005"/>
    <w:rsid w:val="243C7A99"/>
    <w:rsid w:val="2763067B"/>
    <w:rsid w:val="2C5A5D16"/>
    <w:rsid w:val="2D702450"/>
    <w:rsid w:val="2D827DBA"/>
    <w:rsid w:val="2F070BCC"/>
    <w:rsid w:val="2FCF4325"/>
    <w:rsid w:val="34AA710F"/>
    <w:rsid w:val="364B2A77"/>
    <w:rsid w:val="373F5038"/>
    <w:rsid w:val="37FE71DA"/>
    <w:rsid w:val="390E0D37"/>
    <w:rsid w:val="39EC57B0"/>
    <w:rsid w:val="3A802DEC"/>
    <w:rsid w:val="3B6B3A9C"/>
    <w:rsid w:val="3F2D1CB6"/>
    <w:rsid w:val="41AD023F"/>
    <w:rsid w:val="41CF3400"/>
    <w:rsid w:val="44224F14"/>
    <w:rsid w:val="45BF1C90"/>
    <w:rsid w:val="46BB1594"/>
    <w:rsid w:val="47A10707"/>
    <w:rsid w:val="480212E4"/>
    <w:rsid w:val="482254E2"/>
    <w:rsid w:val="495A498C"/>
    <w:rsid w:val="497C50C6"/>
    <w:rsid w:val="4B1A6CDA"/>
    <w:rsid w:val="4BEB208F"/>
    <w:rsid w:val="4DCB03CA"/>
    <w:rsid w:val="4F0A0B7D"/>
    <w:rsid w:val="4F0C47F7"/>
    <w:rsid w:val="50830D73"/>
    <w:rsid w:val="51CE66DB"/>
    <w:rsid w:val="52366371"/>
    <w:rsid w:val="52FE08FA"/>
    <w:rsid w:val="53833D79"/>
    <w:rsid w:val="53C12BDF"/>
    <w:rsid w:val="53FF7D56"/>
    <w:rsid w:val="54750427"/>
    <w:rsid w:val="54784522"/>
    <w:rsid w:val="55ED4A79"/>
    <w:rsid w:val="57266914"/>
    <w:rsid w:val="57CC4F2E"/>
    <w:rsid w:val="59ED3476"/>
    <w:rsid w:val="5AC93BBC"/>
    <w:rsid w:val="5B2D6220"/>
    <w:rsid w:val="5B751328"/>
    <w:rsid w:val="5CD03307"/>
    <w:rsid w:val="5E0D4201"/>
    <w:rsid w:val="5F3F2F83"/>
    <w:rsid w:val="5FFFA6C5"/>
    <w:rsid w:val="600F393E"/>
    <w:rsid w:val="60EC092C"/>
    <w:rsid w:val="61105D6D"/>
    <w:rsid w:val="615F43D0"/>
    <w:rsid w:val="61B03707"/>
    <w:rsid w:val="61C251E9"/>
    <w:rsid w:val="62EE5AEF"/>
    <w:rsid w:val="63080CAF"/>
    <w:rsid w:val="63892462"/>
    <w:rsid w:val="63D52A24"/>
    <w:rsid w:val="6427714C"/>
    <w:rsid w:val="655645C6"/>
    <w:rsid w:val="65895ACC"/>
    <w:rsid w:val="666A27CA"/>
    <w:rsid w:val="68A20C86"/>
    <w:rsid w:val="6B183FC1"/>
    <w:rsid w:val="6B1E7934"/>
    <w:rsid w:val="6B4D219F"/>
    <w:rsid w:val="6C8E6D3B"/>
    <w:rsid w:val="6D033285"/>
    <w:rsid w:val="6D262AD0"/>
    <w:rsid w:val="6DAA68FE"/>
    <w:rsid w:val="6F173018"/>
    <w:rsid w:val="6F8C7562"/>
    <w:rsid w:val="705C41BD"/>
    <w:rsid w:val="709C34A3"/>
    <w:rsid w:val="71494FDF"/>
    <w:rsid w:val="71582CB1"/>
    <w:rsid w:val="71CA4062"/>
    <w:rsid w:val="727F515C"/>
    <w:rsid w:val="733817AF"/>
    <w:rsid w:val="74263580"/>
    <w:rsid w:val="74E67714"/>
    <w:rsid w:val="752E2E69"/>
    <w:rsid w:val="77427712"/>
    <w:rsid w:val="774677D5"/>
    <w:rsid w:val="777032C5"/>
    <w:rsid w:val="779531A8"/>
    <w:rsid w:val="78054D74"/>
    <w:rsid w:val="796B01E8"/>
    <w:rsid w:val="7A37631C"/>
    <w:rsid w:val="7A506F94"/>
    <w:rsid w:val="7BBB31DD"/>
    <w:rsid w:val="7BEE84A6"/>
    <w:rsid w:val="7C594C70"/>
    <w:rsid w:val="7DCC321F"/>
    <w:rsid w:val="7EAF501B"/>
    <w:rsid w:val="7EFDC8F3"/>
    <w:rsid w:val="7F1C285B"/>
    <w:rsid w:val="965F97F1"/>
    <w:rsid w:val="BEE617F4"/>
    <w:rsid w:val="DFF77A17"/>
    <w:rsid w:val="EBFFF88E"/>
    <w:rsid w:val="EF9F284F"/>
    <w:rsid w:val="EFFBA79B"/>
    <w:rsid w:val="FBFE73EB"/>
    <w:rsid w:val="FFD89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annotation text"/>
    <w:basedOn w:val="1"/>
    <w:link w:val="18"/>
    <w:qFormat/>
    <w:uiPriority w:val="0"/>
    <w:pPr>
      <w:jc w:val="left"/>
    </w:pPr>
  </w:style>
  <w:style w:type="paragraph" w:styleId="4">
    <w:name w:val="Body Text"/>
    <w:basedOn w:val="1"/>
    <w:next w:val="5"/>
    <w:qFormat/>
    <w:uiPriority w:val="99"/>
    <w:pPr>
      <w:spacing w:after="120"/>
    </w:p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semiHidden/>
    <w:unhideWhenUsed/>
    <w:qFormat/>
    <w:uiPriority w:val="99"/>
    <w:pPr>
      <w:snapToGrid w:val="0"/>
      <w:jc w:val="left"/>
    </w:pPr>
    <w:rPr>
      <w:sz w:val="18"/>
      <w:szCs w:val="18"/>
    </w:rPr>
  </w:style>
  <w:style w:type="paragraph" w:styleId="10">
    <w:name w:val="annotation subject"/>
    <w:basedOn w:val="3"/>
    <w:next w:val="3"/>
    <w:link w:val="19"/>
    <w:qFormat/>
    <w:uiPriority w:val="0"/>
    <w:rPr>
      <w:b/>
      <w:bCs/>
    </w:rPr>
  </w:style>
  <w:style w:type="character" w:styleId="13">
    <w:name w:val="annotation reference"/>
    <w:basedOn w:val="12"/>
    <w:qFormat/>
    <w:uiPriority w:val="0"/>
    <w:rPr>
      <w:sz w:val="21"/>
      <w:szCs w:val="21"/>
    </w:rPr>
  </w:style>
  <w:style w:type="character" w:styleId="14">
    <w:name w:val="footnote reference"/>
    <w:basedOn w:val="12"/>
    <w:semiHidden/>
    <w:unhideWhenUsed/>
    <w:qFormat/>
    <w:uiPriority w:val="99"/>
    <w:rPr>
      <w:vertAlign w:val="superscript"/>
    </w:rPr>
  </w:style>
  <w:style w:type="paragraph" w:customStyle="1" w:styleId="15">
    <w:name w:val="04  公文-正文(无序)"/>
    <w:basedOn w:val="1"/>
    <w:qFormat/>
    <w:uiPriority w:val="0"/>
    <w:pPr>
      <w:snapToGrid w:val="0"/>
      <w:spacing w:line="560" w:lineRule="atLeast"/>
      <w:ind w:firstLine="200" w:firstLineChars="200"/>
    </w:pPr>
    <w:rPr>
      <w:rFonts w:ascii="Times New Roman" w:hAnsi="Times New Roman" w:eastAsia="仿宋"/>
      <w:sz w:val="32"/>
      <w:szCs w:val="28"/>
      <w:lang w:val="zh-CN"/>
    </w:rPr>
  </w:style>
  <w:style w:type="paragraph" w:customStyle="1" w:styleId="16">
    <w:name w:val="样式7"/>
    <w:basedOn w:val="15"/>
    <w:qFormat/>
    <w:uiPriority w:val="0"/>
    <w:pPr>
      <w:spacing w:line="600" w:lineRule="exact"/>
    </w:pPr>
    <w:rPr>
      <w:rFonts w:eastAsia="仿宋_GB2312"/>
      <w:szCs w:val="32"/>
      <w:lang w:val="en-US"/>
    </w:rPr>
  </w:style>
  <w:style w:type="paragraph" w:customStyle="1" w:styleId="17">
    <w:name w:val="修订1"/>
    <w:hidden/>
    <w:unhideWhenUsed/>
    <w:qFormat/>
    <w:uiPriority w:val="99"/>
    <w:rPr>
      <w:rFonts w:ascii="Calibri" w:hAnsi="Calibri" w:eastAsia="宋体" w:cs="Times New Roman"/>
      <w:kern w:val="2"/>
      <w:sz w:val="21"/>
      <w:szCs w:val="24"/>
      <w:lang w:val="en-US" w:eastAsia="zh-CN" w:bidi="ar-SA"/>
    </w:rPr>
  </w:style>
  <w:style w:type="character" w:customStyle="1" w:styleId="18">
    <w:name w:val="批注文字 Char"/>
    <w:basedOn w:val="12"/>
    <w:link w:val="3"/>
    <w:qFormat/>
    <w:uiPriority w:val="0"/>
    <w:rPr>
      <w:rFonts w:ascii="Calibri" w:hAnsi="Calibri" w:eastAsia="宋体" w:cs="Times New Roman"/>
      <w:kern w:val="2"/>
      <w:sz w:val="21"/>
      <w:szCs w:val="24"/>
    </w:rPr>
  </w:style>
  <w:style w:type="character" w:customStyle="1" w:styleId="19">
    <w:name w:val="批注主题 Char"/>
    <w:basedOn w:val="18"/>
    <w:link w:val="10"/>
    <w:qFormat/>
    <w:uiPriority w:val="0"/>
    <w:rPr>
      <w:rFonts w:ascii="Calibri" w:hAnsi="Calibri" w:eastAsia="宋体" w:cs="Times New Roman"/>
      <w:b/>
      <w:bCs/>
      <w:kern w:val="2"/>
      <w:sz w:val="21"/>
      <w:szCs w:val="24"/>
    </w:rPr>
  </w:style>
  <w:style w:type="character" w:customStyle="1" w:styleId="20">
    <w:name w:val="批注框文本 Char"/>
    <w:basedOn w:val="12"/>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1449</Words>
  <Characters>1475</Characters>
  <Lines>10</Lines>
  <Paragraphs>2</Paragraphs>
  <TotalTime>2</TotalTime>
  <ScaleCrop>false</ScaleCrop>
  <LinksUpToDate>false</LinksUpToDate>
  <CharactersWithSpaces>1478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2026-05-20T07:52:00Z</dcterms:created>
  <dc:creator>张智博</dc:creator>
  <cp:lastModifiedBy>袁斌</cp:lastModifiedBy>
  <cp:lastPrinted>2026-05-20T07:50:00Z</cp:lastPrinted>
  <dcterms:modified xsi:type="dcterms:W3CDTF">2026-05-20T08:32:49Z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6588718F5CC649AAA40579FBC0886A4B_13</vt:lpwstr>
  </property>
  <property fmtid="{D5CDD505-2E9C-101B-9397-08002B2CF9AE}" pid="4" name="KSOTemplateDocerSaveRecord">
    <vt:lpwstr>eyJoZGlkIjoiNTJhMDRiMzczYzg3N2YzMzlhNjJiYjRhMWU3NGViMjciLCJ1c2VySWQiOiIyNzU1MDE0NDcifQ==</vt:lpwstr>
  </property>
</Properties>
</file>