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1D1A15F">
      <w:pPr>
        <w:jc w:val="center"/>
        <w:rPr>
          <w:rFonts w:hint="eastAsia" w:ascii="方正小标宋简体" w:hAnsi="方正小标宋简体" w:eastAsia="方正小标宋简体" w:cs="方正小标宋简体"/>
          <w:sz w:val="44"/>
          <w:szCs w:val="44"/>
          <w:lang w:eastAsia="zh-CN"/>
        </w:rPr>
      </w:pPr>
    </w:p>
    <w:p w14:paraId="422893CD">
      <w:pPr>
        <w:jc w:val="center"/>
        <w:rPr>
          <w:rFonts w:hint="eastAsia" w:ascii="方正小标宋简体" w:hAnsi="方正小标宋简体" w:eastAsia="方正小标宋简体" w:cs="方正小标宋简体"/>
          <w:sz w:val="44"/>
          <w:szCs w:val="44"/>
        </w:rPr>
      </w:pPr>
    </w:p>
    <w:p w14:paraId="29BAF498">
      <w:pPr>
        <w:jc w:val="center"/>
        <w:rPr>
          <w:rFonts w:hint="eastAsia" w:ascii="方正小标宋简体" w:hAnsi="方正小标宋简体" w:eastAsia="方正小标宋简体" w:cs="方正小标宋简体"/>
          <w:sz w:val="44"/>
          <w:szCs w:val="44"/>
        </w:rPr>
      </w:pPr>
    </w:p>
    <w:p w14:paraId="04462BE3">
      <w:pPr>
        <w:jc w:val="center"/>
        <w:rPr>
          <w:rFonts w:hint="eastAsia" w:ascii="方正小标宋简体" w:hAnsi="方正小标宋简体" w:eastAsia="方正小标宋简体" w:cs="方正小标宋简体"/>
          <w:sz w:val="44"/>
          <w:szCs w:val="44"/>
        </w:rPr>
      </w:pPr>
    </w:p>
    <w:p w14:paraId="130E4D94">
      <w:pPr>
        <w:jc w:val="center"/>
        <w:rPr>
          <w:rFonts w:hint="eastAsia"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北京城市副中心（通州区）</w:t>
      </w:r>
    </w:p>
    <w:p w14:paraId="26C2DD64">
      <w:pPr>
        <w:jc w:val="center"/>
        <w:rPr>
          <w:rFonts w:hint="eastAsia" w:ascii="方正小标宋简体" w:hAnsi="方正小标宋简体" w:eastAsia="方正小标宋简体" w:cs="方正小标宋简体"/>
          <w:sz w:val="44"/>
          <w:szCs w:val="44"/>
        </w:rPr>
      </w:pPr>
      <w:r>
        <w:rPr>
          <w:rFonts w:ascii="方正小标宋简体" w:hAnsi="方正小标宋简体" w:eastAsia="方正小标宋简体" w:cs="方正小标宋简体"/>
          <w:sz w:val="44"/>
          <w:szCs w:val="44"/>
        </w:rPr>
        <w:t>“十</w:t>
      </w:r>
      <w:r>
        <w:rPr>
          <w:rFonts w:hint="eastAsia" w:ascii="方正小标宋简体" w:hAnsi="方正小标宋简体" w:eastAsia="方正小标宋简体" w:cs="方正小标宋简体"/>
          <w:sz w:val="44"/>
          <w:szCs w:val="44"/>
        </w:rPr>
        <w:t>五</w:t>
      </w:r>
      <w:r>
        <w:rPr>
          <w:rFonts w:ascii="方正小标宋简体" w:hAnsi="方正小标宋简体" w:eastAsia="方正小标宋简体" w:cs="方正小标宋简体"/>
          <w:sz w:val="44"/>
          <w:szCs w:val="44"/>
        </w:rPr>
        <w:t>五”</w:t>
      </w:r>
      <w:r>
        <w:rPr>
          <w:rFonts w:hint="eastAsia" w:ascii="方正小标宋简体" w:hAnsi="方正小标宋简体" w:eastAsia="方正小标宋简体" w:cs="方正小标宋简体"/>
          <w:sz w:val="44"/>
          <w:szCs w:val="44"/>
        </w:rPr>
        <w:t>时期</w:t>
      </w:r>
      <w:r>
        <w:rPr>
          <w:rFonts w:ascii="方正小标宋简体" w:hAnsi="方正小标宋简体" w:eastAsia="方正小标宋简体" w:cs="方正小标宋简体"/>
          <w:sz w:val="44"/>
          <w:szCs w:val="44"/>
        </w:rPr>
        <w:t>文商旅体融合发展规划</w:t>
      </w:r>
    </w:p>
    <w:p w14:paraId="1CB408C4">
      <w:pPr>
        <w:pStyle w:val="2"/>
        <w:jc w:val="center"/>
        <w:rPr>
          <w:rFonts w:hint="eastAsia" w:ascii="方正小标宋简体" w:hAnsi="方正小标宋简体" w:eastAsia="方正小标宋简体" w:cs="方正小标宋简体"/>
          <w:sz w:val="44"/>
          <w:szCs w:val="44"/>
          <w:lang w:eastAsia="zh-CN"/>
        </w:rPr>
      </w:pPr>
    </w:p>
    <w:p w14:paraId="41C10CF6">
      <w:pPr>
        <w:pStyle w:val="2"/>
        <w:rPr>
          <w:rFonts w:hint="eastAsia" w:ascii="方正小标宋简体" w:hAnsi="方正小标宋简体" w:eastAsia="方正小标宋简体" w:cs="方正小标宋简体"/>
          <w:sz w:val="44"/>
          <w:szCs w:val="44"/>
        </w:rPr>
      </w:pPr>
    </w:p>
    <w:p w14:paraId="261B1754">
      <w:pPr>
        <w:pStyle w:val="2"/>
        <w:rPr>
          <w:rFonts w:hint="eastAsia" w:ascii="方正小标宋简体" w:hAnsi="方正小标宋简体" w:eastAsia="方正小标宋简体" w:cs="方正小标宋简体"/>
          <w:sz w:val="44"/>
          <w:szCs w:val="44"/>
        </w:rPr>
      </w:pPr>
    </w:p>
    <w:p w14:paraId="785AC2CF">
      <w:pPr>
        <w:pStyle w:val="2"/>
        <w:ind w:left="0" w:leftChars="0"/>
        <w:rPr>
          <w:rFonts w:hint="eastAsia" w:ascii="方正小标宋简体" w:hAnsi="方正小标宋简体" w:eastAsia="方正小标宋简体" w:cs="方正小标宋简体"/>
          <w:sz w:val="44"/>
          <w:szCs w:val="44"/>
        </w:rPr>
      </w:pPr>
    </w:p>
    <w:p w14:paraId="4CF08279">
      <w:pPr>
        <w:rPr>
          <w:rFonts w:hint="eastAsia" w:ascii="宋体" w:hAnsi="宋体" w:eastAsia="宋体"/>
          <w:sz w:val="32"/>
          <w:szCs w:val="36"/>
        </w:rPr>
      </w:pPr>
      <w:bookmarkStart w:id="0" w:name="_Toc221617170"/>
    </w:p>
    <w:p w14:paraId="41CA3ECA">
      <w:pPr>
        <w:rPr>
          <w:rFonts w:hint="eastAsia" w:ascii="宋体" w:hAnsi="宋体" w:eastAsia="宋体"/>
          <w:sz w:val="32"/>
          <w:szCs w:val="36"/>
        </w:rPr>
      </w:pPr>
    </w:p>
    <w:p w14:paraId="06D79544">
      <w:pPr>
        <w:jc w:val="center"/>
        <w:rPr>
          <w:rFonts w:hint="eastAsia" w:ascii="宋体" w:hAnsi="宋体" w:eastAsia="宋体"/>
          <w:b/>
          <w:bCs/>
          <w:sz w:val="32"/>
          <w:szCs w:val="36"/>
        </w:rPr>
      </w:pPr>
      <w:r>
        <w:rPr>
          <w:rFonts w:hint="eastAsia" w:ascii="方正小标宋简体" w:hAnsi="方正小标宋简体" w:eastAsia="方正小标宋简体" w:cs="方正小标宋简体"/>
          <w:sz w:val="36"/>
          <w:szCs w:val="36"/>
        </w:rPr>
        <w:t>北京市通州区文化和旅游局</w:t>
      </w:r>
    </w:p>
    <w:p w14:paraId="178608EE">
      <w:pPr>
        <w:jc w:val="center"/>
        <w:rPr>
          <w:rFonts w:hint="eastAsia" w:ascii="宋体" w:hAnsi="宋体" w:eastAsia="宋体"/>
          <w:b/>
          <w:bCs/>
          <w:sz w:val="32"/>
          <w:szCs w:val="36"/>
        </w:rPr>
        <w:sectPr>
          <w:pgSz w:w="11906" w:h="16838"/>
          <w:pgMar w:top="1440" w:right="1800" w:bottom="1440" w:left="1800" w:header="851" w:footer="992" w:gutter="0"/>
          <w:cols w:space="425" w:num="1"/>
          <w:docGrid w:type="lines" w:linePitch="312" w:charSpace="0"/>
        </w:sectPr>
      </w:pPr>
      <w:r>
        <w:rPr>
          <w:rFonts w:hint="eastAsia" w:ascii="宋体" w:hAnsi="宋体" w:eastAsia="宋体"/>
          <w:b/>
          <w:bCs/>
          <w:sz w:val="32"/>
          <w:szCs w:val="36"/>
        </w:rPr>
        <w:t>2026年</w:t>
      </w:r>
      <w:r>
        <w:rPr>
          <w:rFonts w:hint="eastAsia" w:ascii="宋体" w:hAnsi="宋体" w:eastAsia="宋体"/>
          <w:b/>
          <w:bCs/>
          <w:sz w:val="32"/>
          <w:szCs w:val="36"/>
          <w:lang w:val="en-US" w:eastAsia="zh-CN"/>
        </w:rPr>
        <w:t>5</w:t>
      </w:r>
      <w:r>
        <w:rPr>
          <w:rFonts w:hint="eastAsia" w:ascii="宋体" w:hAnsi="宋体" w:eastAsia="宋体"/>
          <w:b/>
          <w:bCs/>
          <w:sz w:val="32"/>
          <w:szCs w:val="36"/>
        </w:rPr>
        <w:t>月</w:t>
      </w:r>
    </w:p>
    <w:sdt>
      <w:sdtPr>
        <w:rPr>
          <w:rFonts w:ascii="宋体" w:hAnsi="宋体" w:eastAsia="宋体"/>
          <w:b w:val="0"/>
          <w:bCs w:val="0"/>
          <w:sz w:val="24"/>
          <w:szCs w:val="28"/>
        </w:rPr>
        <w:id w:val="147479554"/>
        <w15:color w:val="DBDBDB"/>
        <w:docPartObj>
          <w:docPartGallery w:val="Table of Contents"/>
          <w:docPartUnique/>
        </w:docPartObj>
      </w:sdtPr>
      <w:sdtEndPr>
        <w:rPr>
          <w:rFonts w:hint="eastAsia" w:ascii="方正楷体_GB2312" w:hAnsi="方正楷体_GB2312" w:eastAsia="方正楷体_GB2312" w:cs="方正楷体_GB2312"/>
          <w:b w:val="0"/>
          <w:bCs w:val="0"/>
          <w:sz w:val="32"/>
          <w:szCs w:val="32"/>
        </w:rPr>
      </w:sdtEndPr>
      <w:sdtContent>
        <w:p w14:paraId="0C1140EC">
          <w:pPr>
            <w:jc w:val="center"/>
            <w:rPr>
              <w:rFonts w:ascii="方正小标宋简体" w:eastAsia="方正小标宋简体"/>
              <w:b w:val="0"/>
              <w:bCs w:val="0"/>
              <w:sz w:val="40"/>
              <w:szCs w:val="44"/>
            </w:rPr>
          </w:pPr>
          <w:r>
            <w:rPr>
              <w:rFonts w:hint="eastAsia" w:ascii="方正小标宋简体" w:hAnsi="宋体" w:eastAsia="方正小标宋简体"/>
              <w:b w:val="0"/>
              <w:bCs w:val="0"/>
              <w:sz w:val="40"/>
              <w:szCs w:val="44"/>
            </w:rPr>
            <w:t>目</w:t>
          </w:r>
          <w:r>
            <w:rPr>
              <w:rFonts w:hint="eastAsia" w:ascii="方正小标宋简体" w:hAnsi="宋体" w:eastAsia="方正小标宋简体"/>
              <w:b w:val="0"/>
              <w:bCs w:val="0"/>
              <w:sz w:val="40"/>
              <w:szCs w:val="44"/>
              <w:lang w:val="en-US" w:eastAsia="zh-CN"/>
            </w:rPr>
            <w:t xml:space="preserve">  </w:t>
          </w:r>
          <w:r>
            <w:rPr>
              <w:rFonts w:hint="eastAsia" w:ascii="方正小标宋简体" w:hAnsi="宋体" w:eastAsia="方正小标宋简体"/>
              <w:b w:val="0"/>
              <w:bCs w:val="0"/>
              <w:sz w:val="40"/>
              <w:szCs w:val="44"/>
            </w:rPr>
            <w:t>录</w:t>
          </w:r>
        </w:p>
        <w:p w14:paraId="744CC5B4">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TOC \o "1-3" \h \u </w:instrText>
          </w:r>
          <w:r>
            <w:rPr>
              <w:rFonts w:hint="eastAsia" w:ascii="方正楷体_GB2312" w:hAnsi="方正楷体_GB2312" w:eastAsia="方正楷体_GB2312" w:cs="方正楷体_GB2312"/>
              <w:sz w:val="32"/>
              <w:szCs w:val="32"/>
            </w:rPr>
            <w:fldChar w:fldCharType="separate"/>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_Toc9301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第一章 发展基础</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_Toc9301 \h </w:instrText>
          </w:r>
          <w:r>
            <w:rPr>
              <w:rFonts w:hint="eastAsia" w:ascii="黑体" w:hAnsi="黑体" w:eastAsia="黑体" w:cs="黑体"/>
              <w:sz w:val="32"/>
              <w:szCs w:val="32"/>
            </w:rPr>
            <w:fldChar w:fldCharType="separate"/>
          </w:r>
          <w:r>
            <w:rPr>
              <w:rFonts w:hint="eastAsia" w:ascii="黑体" w:hAnsi="黑体" w:eastAsia="黑体" w:cs="黑体"/>
              <w:sz w:val="32"/>
              <w:szCs w:val="32"/>
            </w:rPr>
            <w:t>1</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24703B8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_Toc27046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一、“十四五”时期发展回顾</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_Toc27046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1</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1F9D1AE5">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_Toc15430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二、“十五五”时期发展形势</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_Toc15430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55FDC5A7">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_Toc20926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第二章 总体要求</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_Toc20926 \h </w:instrText>
          </w:r>
          <w:r>
            <w:rPr>
              <w:rFonts w:hint="eastAsia" w:ascii="黑体" w:hAnsi="黑体" w:eastAsia="黑体" w:cs="黑体"/>
              <w:sz w:val="32"/>
              <w:szCs w:val="32"/>
            </w:rPr>
            <w:fldChar w:fldCharType="separate"/>
          </w:r>
          <w:r>
            <w:rPr>
              <w:rFonts w:hint="eastAsia" w:ascii="黑体" w:hAnsi="黑体" w:eastAsia="黑体" w:cs="黑体"/>
              <w:sz w:val="32"/>
              <w:szCs w:val="32"/>
            </w:rPr>
            <w:t>6</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6D80F509">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_Toc6574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一、指导思想</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_Toc6574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6</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2EEEEB0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_Toc17610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二、发展原则</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_Toc17610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6</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7923021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_Toc9950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三、发展目标</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_Toc9950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7</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59C76E83">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_Toc20954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四、空间布局</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_Toc20954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9</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7B85F604">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_Toc10990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第三章 以文铸魂，构筑首都文化发展新高地</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_Toc10990 \h </w:instrText>
          </w:r>
          <w:r>
            <w:rPr>
              <w:rFonts w:hint="eastAsia" w:ascii="黑体" w:hAnsi="黑体" w:eastAsia="黑体" w:cs="黑体"/>
              <w:sz w:val="32"/>
              <w:szCs w:val="32"/>
            </w:rPr>
            <w:fldChar w:fldCharType="separate"/>
          </w:r>
          <w:r>
            <w:rPr>
              <w:rFonts w:hint="eastAsia" w:ascii="黑体" w:hAnsi="黑体" w:eastAsia="黑体" w:cs="黑体"/>
              <w:sz w:val="32"/>
              <w:szCs w:val="32"/>
            </w:rPr>
            <w:t>13</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7EB268F5">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_Toc26761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kern w:val="2"/>
              <w:sz w:val="32"/>
              <w:szCs w:val="32"/>
              <w:lang w:val="en-US" w:eastAsia="zh-CN" w:bidi="ar-SA"/>
            </w:rPr>
            <w:t>一、</w:t>
          </w:r>
          <w:r>
            <w:rPr>
              <w:rFonts w:hint="eastAsia" w:ascii="方正楷体_GB2312" w:hAnsi="方正楷体_GB2312" w:eastAsia="方正楷体_GB2312" w:cs="方正楷体_GB2312"/>
              <w:sz w:val="32"/>
              <w:szCs w:val="32"/>
            </w:rPr>
            <w:t>擦亮千年运河文化品牌</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_Toc26761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13</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6FE861A9">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_Toc4200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二、打造首都当代文化展示新区</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_Toc4200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14</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769543AE">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_Toc1321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三、建设高品质“博物馆之城”示范区</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_Toc1321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16</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5D136F7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_Toc30333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lang w:val="en-US" w:eastAsia="zh-CN"/>
            </w:rPr>
            <w:t>四</w:t>
          </w:r>
          <w:r>
            <w:rPr>
              <w:rFonts w:hint="eastAsia" w:ascii="方正楷体_GB2312" w:hAnsi="方正楷体_GB2312" w:eastAsia="方正楷体_GB2312" w:cs="方正楷体_GB2312"/>
              <w:sz w:val="32"/>
              <w:szCs w:val="32"/>
            </w:rPr>
            <w:t>、推动文化</w:t>
          </w:r>
          <w:r>
            <w:rPr>
              <w:rFonts w:hint="eastAsia" w:ascii="方正楷体_GB2312" w:hAnsi="方正楷体_GB2312" w:eastAsia="方正楷体_GB2312" w:cs="方正楷体_GB2312"/>
              <w:sz w:val="32"/>
              <w:szCs w:val="32"/>
              <w:lang w:val="en-US" w:eastAsia="zh-CN"/>
            </w:rPr>
            <w:t>及相关</w:t>
          </w:r>
          <w:r>
            <w:rPr>
              <w:rFonts w:hint="eastAsia" w:ascii="方正楷体_GB2312" w:hAnsi="方正楷体_GB2312" w:eastAsia="方正楷体_GB2312" w:cs="方正楷体_GB2312"/>
              <w:sz w:val="32"/>
              <w:szCs w:val="32"/>
            </w:rPr>
            <w:t>产业发展</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_Toc30333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17</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5E0B04A2">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_Toc13737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第四章 以旅兴业，打造北京文旅经济新增长极</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_Toc13737 \h </w:instrText>
          </w:r>
          <w:r>
            <w:rPr>
              <w:rFonts w:hint="eastAsia" w:ascii="黑体" w:hAnsi="黑体" w:eastAsia="黑体" w:cs="黑体"/>
              <w:sz w:val="32"/>
              <w:szCs w:val="32"/>
            </w:rPr>
            <w:fldChar w:fldCharType="separate"/>
          </w:r>
          <w:r>
            <w:rPr>
              <w:rFonts w:hint="eastAsia" w:ascii="黑体" w:hAnsi="黑体" w:eastAsia="黑体" w:cs="黑体"/>
              <w:sz w:val="32"/>
              <w:szCs w:val="32"/>
            </w:rPr>
            <w:t>19</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3835E5D2">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_Toc30938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一、</w:t>
          </w:r>
          <w:r>
            <w:rPr>
              <w:rFonts w:hint="eastAsia" w:ascii="方正楷体_GB2312" w:hAnsi="方正楷体_GB2312" w:eastAsia="方正楷体_GB2312" w:cs="方正楷体_GB2312"/>
              <w:sz w:val="32"/>
              <w:szCs w:val="32"/>
              <w:lang w:val="en-US" w:eastAsia="zh-CN"/>
            </w:rPr>
            <w:t>强化文化旅游区建设</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_Toc30938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19</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474312CF">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_Toc16022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二、促进大运河文旅景区提质升级</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_Toc16022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20</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302346FD">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_Toc19239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三、推进旅游</w:t>
          </w:r>
          <w:r>
            <w:rPr>
              <w:rFonts w:hint="eastAsia" w:ascii="方正楷体_GB2312" w:hAnsi="方正楷体_GB2312" w:eastAsia="方正楷体_GB2312" w:cs="方正楷体_GB2312"/>
              <w:sz w:val="32"/>
              <w:szCs w:val="32"/>
              <w:lang w:val="en-US" w:eastAsia="zh-CN"/>
            </w:rPr>
            <w:t>产</w:t>
          </w:r>
          <w:r>
            <w:rPr>
              <w:rFonts w:hint="eastAsia" w:ascii="方正楷体_GB2312" w:hAnsi="方正楷体_GB2312" w:eastAsia="方正楷体_GB2312" w:cs="方正楷体_GB2312"/>
              <w:sz w:val="32"/>
              <w:szCs w:val="32"/>
            </w:rPr>
            <w:t>业提档升级</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_Toc19239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21</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7445AEB8">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_Toc10525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第五章 以商促消，树立首都特色消费新示范</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_Toc10525 \h </w:instrText>
          </w:r>
          <w:r>
            <w:rPr>
              <w:rFonts w:hint="eastAsia" w:ascii="黑体" w:hAnsi="黑体" w:eastAsia="黑体" w:cs="黑体"/>
              <w:sz w:val="32"/>
              <w:szCs w:val="32"/>
            </w:rPr>
            <w:fldChar w:fldCharType="separate"/>
          </w:r>
          <w:r>
            <w:rPr>
              <w:rFonts w:hint="eastAsia" w:ascii="黑体" w:hAnsi="黑体" w:eastAsia="黑体" w:cs="黑体"/>
              <w:sz w:val="32"/>
              <w:szCs w:val="32"/>
            </w:rPr>
            <w:t>24</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5EA40B1B">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_Toc28017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lang w:val="en-US" w:eastAsia="zh-CN"/>
            </w:rPr>
            <w:t>一</w:t>
          </w:r>
          <w:r>
            <w:rPr>
              <w:rFonts w:hint="eastAsia" w:ascii="方正楷体_GB2312" w:hAnsi="方正楷体_GB2312" w:eastAsia="方正楷体_GB2312" w:cs="方正楷体_GB2312"/>
              <w:sz w:val="32"/>
              <w:szCs w:val="32"/>
            </w:rPr>
            <w:t>、创新复合多元的消费场景</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_Toc28017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24</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2026A27F">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_Toc2625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lang w:val="en-US" w:eastAsia="zh-CN"/>
            </w:rPr>
            <w:t>二</w:t>
          </w:r>
          <w:r>
            <w:rPr>
              <w:rFonts w:hint="eastAsia" w:ascii="方正楷体_GB2312" w:hAnsi="方正楷体_GB2312" w:eastAsia="方正楷体_GB2312" w:cs="方正楷体_GB2312"/>
              <w:sz w:val="32"/>
              <w:szCs w:val="32"/>
            </w:rPr>
            <w:t>、焕活古今交融的水岸经济</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_Toc2625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26</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051C3AC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_Toc10522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三、构建</w:t>
          </w:r>
          <w:r>
            <w:rPr>
              <w:rFonts w:hint="eastAsia" w:ascii="方正楷体_GB2312" w:hAnsi="方正楷体_GB2312" w:eastAsia="方正楷体_GB2312" w:cs="方正楷体_GB2312"/>
              <w:sz w:val="32"/>
              <w:szCs w:val="32"/>
              <w:lang w:val="en-US" w:eastAsia="zh-CN"/>
            </w:rPr>
            <w:t>特色</w:t>
          </w:r>
          <w:r>
            <w:rPr>
              <w:rFonts w:hint="eastAsia" w:ascii="方正楷体_GB2312" w:hAnsi="方正楷体_GB2312" w:eastAsia="方正楷体_GB2312" w:cs="方正楷体_GB2312"/>
              <w:sz w:val="32"/>
              <w:szCs w:val="32"/>
            </w:rPr>
            <w:t>消费</w:t>
          </w:r>
          <w:r>
            <w:rPr>
              <w:rFonts w:hint="eastAsia" w:ascii="方正楷体_GB2312" w:hAnsi="方正楷体_GB2312" w:eastAsia="方正楷体_GB2312" w:cs="方正楷体_GB2312"/>
              <w:sz w:val="32"/>
              <w:szCs w:val="32"/>
              <w:lang w:val="en-US" w:eastAsia="zh-CN"/>
            </w:rPr>
            <w:t>产业生态</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_Toc10522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26</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3A206ABD">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_Toc5282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第六章 以体引流，打造首都城市活力新引擎</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_Toc5282 \h </w:instrText>
          </w:r>
          <w:r>
            <w:rPr>
              <w:rFonts w:hint="eastAsia" w:ascii="黑体" w:hAnsi="黑体" w:eastAsia="黑体" w:cs="黑体"/>
              <w:sz w:val="32"/>
              <w:szCs w:val="32"/>
            </w:rPr>
            <w:fldChar w:fldCharType="separate"/>
          </w:r>
          <w:r>
            <w:rPr>
              <w:rFonts w:hint="eastAsia" w:ascii="黑体" w:hAnsi="黑体" w:eastAsia="黑体" w:cs="黑体"/>
              <w:sz w:val="32"/>
              <w:szCs w:val="32"/>
            </w:rPr>
            <w:t>29</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5D8025E0">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_Toc16894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lang w:val="en-US" w:eastAsia="zh-CN"/>
            </w:rPr>
            <w:t>一、完善全民健身公共服务体系</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_Toc16894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29</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09DBF2ED">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_Toc20865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lang w:val="en-US" w:eastAsia="zh-CN"/>
            </w:rPr>
            <w:t>二</w:t>
          </w:r>
          <w:r>
            <w:rPr>
              <w:rFonts w:hint="eastAsia" w:ascii="方正楷体_GB2312" w:hAnsi="方正楷体_GB2312" w:eastAsia="方正楷体_GB2312" w:cs="方正楷体_GB2312"/>
              <w:sz w:val="32"/>
              <w:szCs w:val="32"/>
            </w:rPr>
            <w:t>、推动赛事与文商旅多维联动</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_Toc20865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29</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2BCB9E52">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_Toc26083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lang w:val="en-US" w:eastAsia="zh-CN"/>
            </w:rPr>
            <w:t>三、推动</w:t>
          </w:r>
          <w:r>
            <w:rPr>
              <w:rFonts w:hint="eastAsia" w:ascii="方正楷体_GB2312" w:hAnsi="方正楷体_GB2312" w:eastAsia="方正楷体_GB2312" w:cs="方正楷体_GB2312"/>
              <w:sz w:val="32"/>
              <w:szCs w:val="32"/>
            </w:rPr>
            <w:t>体育产业高质量发展</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_Toc26083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30</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6BCDD4CB">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_Toc746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第七章 深化业态融合，推进文旅</w:t>
          </w:r>
          <w:r>
            <w:rPr>
              <w:rFonts w:hint="eastAsia" w:ascii="黑体" w:hAnsi="黑体" w:eastAsia="黑体" w:cs="黑体"/>
              <w:bCs/>
              <w:sz w:val="32"/>
              <w:szCs w:val="32"/>
              <w:lang w:val="en-US" w:eastAsia="zh-CN"/>
            </w:rPr>
            <w:t>+</w:t>
          </w:r>
          <w:r>
            <w:rPr>
              <w:rFonts w:hint="eastAsia" w:ascii="黑体" w:hAnsi="黑体" w:eastAsia="黑体" w:cs="黑体"/>
              <w:bCs/>
              <w:sz w:val="32"/>
              <w:szCs w:val="32"/>
            </w:rPr>
            <w:t>百业协同发展</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_Toc746 \h </w:instrText>
          </w:r>
          <w:r>
            <w:rPr>
              <w:rFonts w:hint="eastAsia" w:ascii="黑体" w:hAnsi="黑体" w:eastAsia="黑体" w:cs="黑体"/>
              <w:sz w:val="32"/>
              <w:szCs w:val="32"/>
            </w:rPr>
            <w:fldChar w:fldCharType="separate"/>
          </w:r>
          <w:r>
            <w:rPr>
              <w:rFonts w:hint="eastAsia" w:ascii="黑体" w:hAnsi="黑体" w:eastAsia="黑体" w:cs="黑体"/>
              <w:sz w:val="32"/>
              <w:szCs w:val="32"/>
            </w:rPr>
            <w:t>33</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7ED73BF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_Toc29825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一、文旅+会展融合发展</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_Toc29825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33</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6FE7790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_Toc42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二、文旅+农业融合发展</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_Toc42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34</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0BD8AC5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_Toc19609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三、文旅+工业融合发展</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_Toc19609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36</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18C73E15">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_Toc9978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四、文旅+研学融合发展</w:t>
          </w:r>
          <w:bookmarkStart w:id="278" w:name="_GoBack"/>
          <w:bookmarkEnd w:id="278"/>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_Toc9978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37</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38A35331">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_Toc28408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五、文旅+生态融合发展</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_Toc28408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38</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0F7AC414">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_Toc3851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六、文旅+康养融合发展</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_Toc3851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38</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557FC60B">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_Toc3672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第八章 完善配套服务，提升综合服务保障水平</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_Toc3672 \h </w:instrText>
          </w:r>
          <w:r>
            <w:rPr>
              <w:rFonts w:hint="eastAsia" w:ascii="黑体" w:hAnsi="黑体" w:eastAsia="黑体" w:cs="黑体"/>
              <w:sz w:val="32"/>
              <w:szCs w:val="32"/>
            </w:rPr>
            <w:fldChar w:fldCharType="separate"/>
          </w:r>
          <w:r>
            <w:rPr>
              <w:rFonts w:hint="eastAsia" w:ascii="黑体" w:hAnsi="黑体" w:eastAsia="黑体" w:cs="黑体"/>
              <w:sz w:val="32"/>
              <w:szCs w:val="32"/>
            </w:rPr>
            <w:t>40</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27986863">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_Toc23249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一、丰富高质量公共文化服务供给</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_Toc23249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40</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7DE760F3">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_Toc7033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二、推动旅游公共服务品质跃升</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_Toc7033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41</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23083C45">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_Toc6075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三、打造全龄友好主客共享服务体系</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_Toc6075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42</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63A53F37">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_Toc5873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第九章 规范市场秩序，健全文旅治理长效机制</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_Toc5873 \h </w:instrText>
          </w:r>
          <w:r>
            <w:rPr>
              <w:rFonts w:hint="eastAsia" w:ascii="黑体" w:hAnsi="黑体" w:eastAsia="黑体" w:cs="黑体"/>
              <w:sz w:val="32"/>
              <w:szCs w:val="32"/>
            </w:rPr>
            <w:fldChar w:fldCharType="separate"/>
          </w:r>
          <w:r>
            <w:rPr>
              <w:rFonts w:hint="eastAsia" w:ascii="黑体" w:hAnsi="黑体" w:eastAsia="黑体" w:cs="黑体"/>
              <w:sz w:val="32"/>
              <w:szCs w:val="32"/>
            </w:rPr>
            <w:t>44</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27C56FBE">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_Toc29002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一、优化营商环境</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_Toc29002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44</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3F81A07C">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_Toc32383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二、强化综合监管</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_Toc32383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44</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28D83E7B">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_Toc21910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三、筑牢安全底线</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_Toc21910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45</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46321452">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_Toc6624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第十章 塑造品牌体系，彰显城市副中心品质形象</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_Toc6624 \h </w:instrText>
          </w:r>
          <w:r>
            <w:rPr>
              <w:rFonts w:hint="eastAsia" w:ascii="黑体" w:hAnsi="黑体" w:eastAsia="黑体" w:cs="黑体"/>
              <w:sz w:val="32"/>
              <w:szCs w:val="32"/>
            </w:rPr>
            <w:fldChar w:fldCharType="separate"/>
          </w:r>
          <w:r>
            <w:rPr>
              <w:rFonts w:hint="eastAsia" w:ascii="黑体" w:hAnsi="黑体" w:eastAsia="黑体" w:cs="黑体"/>
              <w:sz w:val="32"/>
              <w:szCs w:val="32"/>
            </w:rPr>
            <w:t>46</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172654C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_Toc24387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bCs/>
              <w:sz w:val="32"/>
              <w:szCs w:val="32"/>
            </w:rPr>
            <w:t>一、加强品牌宣传推广</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_Toc24387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46</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0087B71C">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_Toc19330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bCs/>
              <w:sz w:val="32"/>
              <w:szCs w:val="32"/>
            </w:rPr>
            <w:t>二、持续提升入境旅游</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_Toc19330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47</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39B5DF2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_Toc14338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bCs/>
              <w:sz w:val="32"/>
              <w:szCs w:val="32"/>
            </w:rPr>
            <w:t>三、全面推进区域合作</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_Toc14338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48</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1B3E56D3">
          <w:pPr>
            <w:pStyle w:val="9"/>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黑体" w:hAnsi="黑体" w:eastAsia="黑体" w:cs="黑体"/>
              <w:sz w:val="32"/>
              <w:szCs w:val="32"/>
            </w:rPr>
          </w:pP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HYPERLINK \l _Toc27519 </w:instrText>
          </w:r>
          <w:r>
            <w:rPr>
              <w:rFonts w:hint="eastAsia" w:ascii="黑体" w:hAnsi="黑体" w:eastAsia="黑体" w:cs="黑体"/>
              <w:sz w:val="32"/>
              <w:szCs w:val="32"/>
            </w:rPr>
            <w:fldChar w:fldCharType="separate"/>
          </w:r>
          <w:r>
            <w:rPr>
              <w:rFonts w:hint="eastAsia" w:ascii="黑体" w:hAnsi="黑体" w:eastAsia="黑体" w:cs="黑体"/>
              <w:bCs/>
              <w:sz w:val="32"/>
              <w:szCs w:val="32"/>
            </w:rPr>
            <w:t>第十一章 强化统筹推进，完善规划实施保障机制</w:t>
          </w:r>
          <w:r>
            <w:rPr>
              <w:rFonts w:hint="eastAsia" w:ascii="黑体" w:hAnsi="黑体" w:eastAsia="黑体" w:cs="黑体"/>
              <w:sz w:val="32"/>
              <w:szCs w:val="32"/>
            </w:rPr>
            <w:tab/>
          </w:r>
          <w:r>
            <w:rPr>
              <w:rFonts w:hint="eastAsia" w:ascii="黑体" w:hAnsi="黑体" w:eastAsia="黑体" w:cs="黑体"/>
              <w:sz w:val="32"/>
              <w:szCs w:val="32"/>
            </w:rPr>
            <w:fldChar w:fldCharType="begin"/>
          </w:r>
          <w:r>
            <w:rPr>
              <w:rFonts w:hint="eastAsia" w:ascii="黑体" w:hAnsi="黑体" w:eastAsia="黑体" w:cs="黑体"/>
              <w:sz w:val="32"/>
              <w:szCs w:val="32"/>
            </w:rPr>
            <w:instrText xml:space="preserve"> PAGEREF _Toc27519 \h </w:instrText>
          </w:r>
          <w:r>
            <w:rPr>
              <w:rFonts w:hint="eastAsia" w:ascii="黑体" w:hAnsi="黑体" w:eastAsia="黑体" w:cs="黑体"/>
              <w:sz w:val="32"/>
              <w:szCs w:val="32"/>
            </w:rPr>
            <w:fldChar w:fldCharType="separate"/>
          </w:r>
          <w:r>
            <w:rPr>
              <w:rFonts w:hint="eastAsia" w:ascii="黑体" w:hAnsi="黑体" w:eastAsia="黑体" w:cs="黑体"/>
              <w:sz w:val="32"/>
              <w:szCs w:val="32"/>
            </w:rPr>
            <w:t>49</w:t>
          </w:r>
          <w:r>
            <w:rPr>
              <w:rFonts w:hint="eastAsia" w:ascii="黑体" w:hAnsi="黑体" w:eastAsia="黑体" w:cs="黑体"/>
              <w:sz w:val="32"/>
              <w:szCs w:val="32"/>
            </w:rPr>
            <w:fldChar w:fldCharType="end"/>
          </w:r>
          <w:r>
            <w:rPr>
              <w:rFonts w:hint="eastAsia" w:ascii="黑体" w:hAnsi="黑体" w:eastAsia="黑体" w:cs="黑体"/>
              <w:sz w:val="32"/>
              <w:szCs w:val="32"/>
            </w:rPr>
            <w:fldChar w:fldCharType="end"/>
          </w:r>
        </w:p>
        <w:p w14:paraId="672C542D">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_Toc32767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一、加强组织领导</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_Toc32767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49</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1AAAE7D0">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_Toc10186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二、完善政策支持</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_Toc10186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49</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728903D6">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_Toc27127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三、强化人才建设</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_Toc27127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49</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02145817">
          <w:pPr>
            <w:pStyle w:val="10"/>
            <w:keepNext w:val="0"/>
            <w:keepLines w:val="0"/>
            <w:pageBreakBefore w:val="0"/>
            <w:widowControl w:val="0"/>
            <w:tabs>
              <w:tab w:val="right" w:leader="dot" w:pos="8306"/>
            </w:tabs>
            <w:kinsoku/>
            <w:wordWrap/>
            <w:overflowPunct/>
            <w:topLinePunct w:val="0"/>
            <w:autoSpaceDE/>
            <w:autoSpaceDN/>
            <w:bidi w:val="0"/>
            <w:adjustRightInd/>
            <w:snapToGrid/>
            <w:spacing w:line="560" w:lineRule="exact"/>
            <w:textAlignment w:val="auto"/>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HYPERLINK \l _Toc31353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四、加强规划实施</w:t>
          </w:r>
          <w:r>
            <w:rPr>
              <w:rFonts w:hint="eastAsia" w:ascii="方正楷体_GB2312" w:hAnsi="方正楷体_GB2312" w:eastAsia="方正楷体_GB2312" w:cs="方正楷体_GB2312"/>
              <w:sz w:val="32"/>
              <w:szCs w:val="32"/>
            </w:rPr>
            <w:tab/>
          </w:r>
          <w:r>
            <w:rPr>
              <w:rFonts w:hint="eastAsia" w:ascii="方正楷体_GB2312" w:hAnsi="方正楷体_GB2312" w:eastAsia="方正楷体_GB2312" w:cs="方正楷体_GB2312"/>
              <w:sz w:val="32"/>
              <w:szCs w:val="32"/>
            </w:rPr>
            <w:fldChar w:fldCharType="begin"/>
          </w:r>
          <w:r>
            <w:rPr>
              <w:rFonts w:hint="eastAsia" w:ascii="方正楷体_GB2312" w:hAnsi="方正楷体_GB2312" w:eastAsia="方正楷体_GB2312" w:cs="方正楷体_GB2312"/>
              <w:sz w:val="32"/>
              <w:szCs w:val="32"/>
            </w:rPr>
            <w:instrText xml:space="preserve"> PAGEREF _Toc31353 \h </w:instrText>
          </w:r>
          <w:r>
            <w:rPr>
              <w:rFonts w:hint="eastAsia" w:ascii="方正楷体_GB2312" w:hAnsi="方正楷体_GB2312" w:eastAsia="方正楷体_GB2312" w:cs="方正楷体_GB2312"/>
              <w:sz w:val="32"/>
              <w:szCs w:val="32"/>
            </w:rPr>
            <w:fldChar w:fldCharType="separate"/>
          </w:r>
          <w:r>
            <w:rPr>
              <w:rFonts w:hint="eastAsia" w:ascii="方正楷体_GB2312" w:hAnsi="方正楷体_GB2312" w:eastAsia="方正楷体_GB2312" w:cs="方正楷体_GB2312"/>
              <w:sz w:val="32"/>
              <w:szCs w:val="32"/>
            </w:rPr>
            <w:t>50</w:t>
          </w:r>
          <w:r>
            <w:rPr>
              <w:rFonts w:hint="eastAsia" w:ascii="方正楷体_GB2312" w:hAnsi="方正楷体_GB2312" w:eastAsia="方正楷体_GB2312" w:cs="方正楷体_GB2312"/>
              <w:sz w:val="32"/>
              <w:szCs w:val="32"/>
            </w:rPr>
            <w:fldChar w:fldCharType="end"/>
          </w:r>
          <w:r>
            <w:rPr>
              <w:rFonts w:hint="eastAsia" w:ascii="方正楷体_GB2312" w:hAnsi="方正楷体_GB2312" w:eastAsia="方正楷体_GB2312" w:cs="方正楷体_GB2312"/>
              <w:sz w:val="32"/>
              <w:szCs w:val="32"/>
            </w:rPr>
            <w:fldChar w:fldCharType="end"/>
          </w:r>
        </w:p>
        <w:p w14:paraId="05C48256">
          <w:pPr>
            <w:spacing w:line="560" w:lineRule="exact"/>
            <w:rPr>
              <w:rFonts w:hint="eastAsia" w:ascii="方正楷体_GB2312" w:hAnsi="方正楷体_GB2312" w:eastAsia="方正楷体_GB2312" w:cs="方正楷体_GB2312"/>
              <w:sz w:val="32"/>
              <w:szCs w:val="32"/>
            </w:rPr>
          </w:pPr>
          <w:r>
            <w:rPr>
              <w:rFonts w:hint="eastAsia" w:ascii="方正楷体_GB2312" w:hAnsi="方正楷体_GB2312" w:eastAsia="方正楷体_GB2312" w:cs="方正楷体_GB2312"/>
              <w:sz w:val="32"/>
              <w:szCs w:val="32"/>
            </w:rPr>
            <w:fldChar w:fldCharType="end"/>
          </w:r>
        </w:p>
      </w:sdtContent>
    </w:sdt>
    <w:p w14:paraId="5EC8E1CD">
      <w:pPr>
        <w:spacing w:line="560" w:lineRule="exact"/>
        <w:ind w:firstLine="420" w:firstLineChars="200"/>
        <w:rPr>
          <w:rFonts w:ascii="仿宋_GB2312" w:hAnsi="Times New Roman" w:eastAsia="仿宋_GB2312" w:cs="Times New Roman"/>
          <w:szCs w:val="32"/>
        </w:rPr>
      </w:pPr>
    </w:p>
    <w:p w14:paraId="5B8B5707">
      <w:pPr>
        <w:keepNext/>
        <w:keepLines/>
        <w:spacing w:before="156" w:beforeLines="50" w:line="560" w:lineRule="exact"/>
        <w:rPr>
          <w:rFonts w:hint="eastAsia" w:ascii="黑体" w:hAnsi="黑体" w:eastAsia="黑体" w:cstheme="majorBidi"/>
          <w:sz w:val="32"/>
          <w:szCs w:val="32"/>
        </w:rPr>
        <w:sectPr>
          <w:footerReference r:id="rId3" w:type="default"/>
          <w:pgSz w:w="11906" w:h="16838"/>
          <w:pgMar w:top="1440" w:right="1800" w:bottom="1440" w:left="1800" w:header="851" w:footer="992" w:gutter="0"/>
          <w:pgNumType w:start="1"/>
          <w:cols w:space="425" w:num="1"/>
          <w:docGrid w:type="lines" w:linePitch="312" w:charSpace="0"/>
        </w:sectPr>
      </w:pPr>
    </w:p>
    <w:p w14:paraId="36834EF0">
      <w:pPr>
        <w:spacing w:line="560" w:lineRule="exact"/>
        <w:ind w:firstLine="640" w:firstLineChars="200"/>
        <w:rPr>
          <w:rFonts w:ascii="仿宋_GB2312" w:hAnsi="Times New Roman" w:eastAsia="仿宋_GB2312" w:cs="Times New Roman"/>
          <w:sz w:val="32"/>
          <w:szCs w:val="32"/>
        </w:rPr>
      </w:pPr>
      <w:bookmarkStart w:id="1" w:name="_Toc23377"/>
      <w:bookmarkStart w:id="2" w:name="_Toc10167"/>
      <w:bookmarkStart w:id="3" w:name="_Toc3324"/>
      <w:bookmarkStart w:id="4" w:name="_Toc817"/>
      <w:r>
        <w:rPr>
          <w:rFonts w:hint="eastAsia" w:ascii="仿宋_GB2312" w:hAnsi="Times New Roman" w:eastAsia="仿宋_GB2312" w:cs="Times New Roman"/>
          <w:sz w:val="32"/>
          <w:szCs w:val="32"/>
        </w:rPr>
        <w:t>为贯彻落实《国务院关于支持北京城市副中心高质量发展的意见》《北京市国民经济和社会发展第十五个五年规划纲要》《北京城市副中心（通州区）国民经济和社会发展第十五个五年规划纲要》《北京城市副中心条例》和《北京市“十五五”时期文化和旅游发展规划》，推动城市副中心文商旅体融合高质量发展，编制本规划。</w:t>
      </w:r>
    </w:p>
    <w:p w14:paraId="68808D0C">
      <w:pPr>
        <w:pStyle w:val="3"/>
        <w:spacing w:before="156" w:beforeLines="50" w:after="156" w:afterLines="50" w:line="560" w:lineRule="exact"/>
        <w:jc w:val="center"/>
        <w:rPr>
          <w:rFonts w:hint="eastAsia" w:ascii="黑体" w:hAnsi="黑体" w:eastAsia="黑体"/>
          <w:b/>
          <w:bCs/>
          <w:color w:val="auto"/>
          <w:sz w:val="32"/>
          <w:szCs w:val="32"/>
        </w:rPr>
      </w:pPr>
      <w:bookmarkStart w:id="5" w:name="_Toc9301"/>
      <w:bookmarkStart w:id="6" w:name="_Toc29775"/>
      <w:bookmarkStart w:id="7" w:name="_Toc2316"/>
      <w:bookmarkStart w:id="8" w:name="_Toc4189"/>
      <w:r>
        <w:rPr>
          <w:rFonts w:hint="eastAsia" w:ascii="黑体" w:hAnsi="黑体" w:eastAsia="黑体"/>
          <w:b/>
          <w:bCs/>
          <w:color w:val="auto"/>
          <w:sz w:val="32"/>
          <w:szCs w:val="32"/>
        </w:rPr>
        <w:t>第一章 发展基础</w:t>
      </w:r>
      <w:bookmarkEnd w:id="0"/>
      <w:bookmarkEnd w:id="1"/>
      <w:bookmarkEnd w:id="2"/>
      <w:bookmarkEnd w:id="3"/>
      <w:bookmarkEnd w:id="4"/>
      <w:bookmarkEnd w:id="5"/>
      <w:bookmarkEnd w:id="6"/>
      <w:bookmarkEnd w:id="7"/>
      <w:bookmarkEnd w:id="8"/>
    </w:p>
    <w:p w14:paraId="26AFE605">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rPr>
        <w:t>“十四五”时期，城市副中心稳步推进</w:t>
      </w:r>
      <w:r>
        <w:rPr>
          <w:rFonts w:hint="eastAsia" w:ascii="仿宋_GB2312" w:hAnsi="Times New Roman" w:eastAsia="仿宋_GB2312" w:cs="Times New Roman"/>
          <w:sz w:val="32"/>
          <w:szCs w:val="32"/>
          <w:lang w:val="en-US" w:eastAsia="zh-CN"/>
        </w:rPr>
        <w:t>国际一流的和谐宜居之都示范区、新型城镇化示范区、京津冀区域协同发展示范区、国家绿色发展示范区和与北三县一体化高质量发展示范区</w:t>
      </w:r>
      <w:r>
        <w:rPr>
          <w:rFonts w:hint="eastAsia" w:ascii="仿宋_GB2312" w:hAnsi="Times New Roman" w:eastAsia="仿宋_GB2312" w:cs="Times New Roman"/>
          <w:sz w:val="32"/>
          <w:szCs w:val="32"/>
        </w:rPr>
        <w:t>“五个示范区”建设</w:t>
      </w: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rPr>
        <w:t>全面落实全市关于建设“全国文化中心”“国际消费中心城市”“书香京城”“博物馆之城”“演艺之都”“双奥国际赛事名城”等工作部署，</w:t>
      </w:r>
      <w:r>
        <w:rPr>
          <w:rFonts w:hint="eastAsia" w:ascii="仿宋_GB2312" w:hAnsi="Times New Roman" w:eastAsia="仿宋_GB2312"/>
          <w:sz w:val="32"/>
          <w:szCs w:val="32"/>
        </w:rPr>
        <w:t>宜居宜业宜商宜游的城市魅力不断显现</w:t>
      </w:r>
      <w:r>
        <w:rPr>
          <w:rFonts w:hint="eastAsia" w:ascii="仿宋_GB2312" w:hAnsi="Times New Roman" w:eastAsia="仿宋_GB2312"/>
          <w:sz w:val="32"/>
          <w:szCs w:val="32"/>
          <w:lang w:eastAsia="zh-CN"/>
        </w:rPr>
        <w:t>。</w:t>
      </w:r>
    </w:p>
    <w:p w14:paraId="45180D6E">
      <w:pPr>
        <w:pStyle w:val="4"/>
        <w:spacing w:before="0" w:after="0" w:line="560" w:lineRule="exact"/>
        <w:ind w:firstLine="640" w:firstLineChars="200"/>
        <w:rPr>
          <w:rFonts w:hint="eastAsia" w:ascii="黑体" w:hAnsi="黑体" w:eastAsia="黑体"/>
          <w:color w:val="auto"/>
          <w:sz w:val="32"/>
          <w:szCs w:val="32"/>
        </w:rPr>
      </w:pPr>
      <w:bookmarkStart w:id="9" w:name="_Toc25370"/>
      <w:bookmarkStart w:id="10" w:name="_Toc3198"/>
      <w:bookmarkStart w:id="11" w:name="_Toc27046"/>
      <w:r>
        <w:rPr>
          <w:rFonts w:hint="eastAsia" w:ascii="黑体" w:hAnsi="黑体" w:eastAsia="黑体"/>
          <w:color w:val="auto"/>
          <w:sz w:val="32"/>
          <w:szCs w:val="32"/>
        </w:rPr>
        <w:t>一、“十四五”时期发展回顾</w:t>
      </w:r>
      <w:bookmarkEnd w:id="9"/>
      <w:bookmarkEnd w:id="10"/>
      <w:bookmarkEnd w:id="11"/>
    </w:p>
    <w:p w14:paraId="46C816F8">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文化带建设焕发新貌，保护传承体系日趋完善。</w:t>
      </w:r>
      <w:r>
        <w:rPr>
          <w:rFonts w:hint="eastAsia" w:ascii="仿宋_GB2312" w:hAnsi="Times New Roman" w:eastAsia="仿宋_GB2312"/>
          <w:sz w:val="32"/>
          <w:szCs w:val="32"/>
        </w:rPr>
        <w:t>“十四五”时期，通州区圆满完成大运河文化带保护建设各项核心任务，实施燃灯塔及周边古建筑群、张家湾城墙与通运桥等近百项文物保护修复工程</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完成“通州运河龙灯会”非遗口述史汇编，持续举办大运河非遗传承系列活动；推动北运河全线旅游互联互通，实现京杭大运河百年</w:t>
      </w:r>
      <w:r>
        <w:rPr>
          <w:rFonts w:hint="eastAsia" w:ascii="仿宋_GB2312" w:hAnsi="仿宋_GB2312" w:eastAsia="仿宋_GB2312" w:cs="仿宋_GB2312"/>
          <w:sz w:val="32"/>
          <w:szCs w:val="32"/>
          <w:lang w:val="en-US" w:eastAsia="zh-CN"/>
        </w:rPr>
        <w:t>来</w:t>
      </w:r>
      <w:r>
        <w:rPr>
          <w:rFonts w:hint="eastAsia" w:ascii="仿宋_GB2312" w:hAnsi="仿宋_GB2312" w:eastAsia="仿宋_GB2312" w:cs="仿宋_GB2312"/>
          <w:sz w:val="32"/>
          <w:szCs w:val="32"/>
        </w:rPr>
        <w:t>首次跨省复航</w:t>
      </w:r>
      <w:r>
        <w:rPr>
          <w:rFonts w:hint="eastAsia" w:ascii="仿宋_GB2312" w:hAnsi="Times New Roman" w:eastAsia="仿宋_GB2312"/>
          <w:sz w:val="32"/>
          <w:szCs w:val="32"/>
        </w:rPr>
        <w:t>。</w:t>
      </w:r>
      <w:r>
        <w:rPr>
          <w:rFonts w:hint="eastAsia" w:ascii="仿宋_GB2312" w:hAnsi="仿宋_GB2312" w:eastAsia="仿宋_GB2312" w:cs="仿宋_GB2312"/>
          <w:sz w:val="32"/>
          <w:szCs w:val="32"/>
        </w:rPr>
        <w:t>高效推进第四次全国文物普查，完成第三次全国文物普查全部文物复核。系统开展大运河古河道、路县故城遗址考古发掘。高标准建成路县故城遗址公园并创新“馆园一体”运营模式，</w:t>
      </w:r>
      <w:r>
        <w:rPr>
          <w:rFonts w:ascii="仿宋_GB2312" w:hAnsi="仿宋_GB2312" w:eastAsia="仿宋_GB2312" w:cs="仿宋_GB2312"/>
          <w:sz w:val="32"/>
          <w:szCs w:val="32"/>
        </w:rPr>
        <w:t>成为北京首个规模化运营的考古遗址公园。</w:t>
      </w:r>
    </w:p>
    <w:p w14:paraId="0525F20D">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产业能级实现跃升，文旅产业体系效益显著。</w:t>
      </w:r>
      <w:r>
        <w:rPr>
          <w:rFonts w:hint="eastAsia" w:ascii="仿宋_GB2312" w:hAnsi="Times New Roman" w:eastAsia="仿宋_GB2312"/>
          <w:sz w:val="32"/>
          <w:szCs w:val="32"/>
        </w:rPr>
        <w:t>“十四五”时期，通州区文化和旅游产业规模与质量实现跨越式发展。产业发展动能强劲，2025年通州区接待游客超2600万人次，文体娱乐业增加值较2020年增长10.5倍；北京环球度假区连续上榜北京入境游十大热门景区；北京（通州）大运河文化旅游景区成功创建为国家5A级旅游景区；城市绿心三大文化设施成为全国文化中心建设标杆。市场主体活力迸发，建成市级文化产业园区6家、区级20家；乡村民宿超120家，“运河小院”品牌影响力</w:t>
      </w:r>
      <w:r>
        <w:rPr>
          <w:rFonts w:hint="eastAsia" w:ascii="仿宋_GB2312" w:hAnsi="Times New Roman" w:eastAsia="仿宋_GB2312"/>
          <w:sz w:val="32"/>
          <w:szCs w:val="32"/>
          <w:lang w:val="en-US" w:eastAsia="zh-CN"/>
        </w:rPr>
        <w:t>持续</w:t>
      </w:r>
      <w:r>
        <w:rPr>
          <w:rFonts w:hint="eastAsia" w:ascii="仿宋_GB2312" w:hAnsi="Times New Roman" w:eastAsia="仿宋_GB2312"/>
          <w:sz w:val="32"/>
          <w:szCs w:val="32"/>
        </w:rPr>
        <w:t>扩大。政策体系</w:t>
      </w:r>
      <w:r>
        <w:rPr>
          <w:rFonts w:hint="eastAsia" w:ascii="仿宋_GB2312" w:hAnsi="Times New Roman" w:eastAsia="仿宋_GB2312"/>
          <w:sz w:val="32"/>
          <w:szCs w:val="32"/>
          <w:lang w:val="en-US" w:eastAsia="zh-CN"/>
        </w:rPr>
        <w:t>逐渐</w:t>
      </w:r>
      <w:r>
        <w:rPr>
          <w:rFonts w:hint="eastAsia" w:ascii="仿宋_GB2312" w:hAnsi="Times New Roman" w:eastAsia="仿宋_GB2312"/>
          <w:sz w:val="32"/>
          <w:szCs w:val="32"/>
        </w:rPr>
        <w:t>完善，发布了《北京城市副中心促进文旅产业高质量发展的实施细则》</w:t>
      </w:r>
      <w:r>
        <w:rPr>
          <w:rFonts w:hint="eastAsia" w:ascii="仿宋_GB2312" w:hAnsi="仿宋_GB2312" w:eastAsia="仿宋_GB2312" w:cs="仿宋_GB2312"/>
          <w:sz w:val="32"/>
          <w:szCs w:val="32"/>
        </w:rPr>
        <w:t>《北京城市副中心酒店行业引导规划》《通州区乡村民宿产业发展引导扶持办法》</w:t>
      </w:r>
      <w:r>
        <w:rPr>
          <w:rFonts w:hint="eastAsia" w:ascii="仿宋_GB2312" w:hAnsi="Times New Roman" w:eastAsia="仿宋_GB2312"/>
          <w:sz w:val="32"/>
          <w:szCs w:val="32"/>
        </w:rPr>
        <w:t>等一系列政策。</w:t>
      </w:r>
    </w:p>
    <w:p w14:paraId="1BC39AEA">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文商旅体深度融合，场景业态创新活力迸发。</w:t>
      </w:r>
      <w:r>
        <w:rPr>
          <w:rFonts w:hint="eastAsia" w:ascii="仿宋_GB2312" w:hAnsi="Times New Roman" w:eastAsia="仿宋_GB2312"/>
          <w:sz w:val="32"/>
          <w:szCs w:val="32"/>
        </w:rPr>
        <w:t>“十四五”时期，通州区深度融合机制不断创新，消费活力持续释放。工作机制与平台高效协同，</w:t>
      </w:r>
      <w:r>
        <w:rPr>
          <w:rFonts w:hint="eastAsia" w:ascii="仿宋_GB2312" w:hAnsi="仿宋_GB2312" w:eastAsia="仿宋_GB2312" w:cs="仿宋_GB2312"/>
          <w:sz w:val="32"/>
          <w:szCs w:val="32"/>
        </w:rPr>
        <w:t>创新设立大文旅发展工作专班、城市绿心工作专班和乡村旅游高质量发展工作专班</w:t>
      </w:r>
      <w:r>
        <w:rPr>
          <w:rFonts w:hint="eastAsia" w:ascii="仿宋_GB2312" w:hAnsi="Times New Roman" w:eastAsia="仿宋_GB2312"/>
          <w:sz w:val="32"/>
          <w:szCs w:val="32"/>
        </w:rPr>
        <w:t>；组建“运河上的通州”文商旅体农共创联盟，</w:t>
      </w:r>
      <w:r>
        <w:rPr>
          <w:rFonts w:ascii="仿宋_GB2312" w:hAnsi="Times New Roman" w:eastAsia="仿宋_GB2312"/>
          <w:sz w:val="32"/>
          <w:szCs w:val="32"/>
        </w:rPr>
        <w:t>推动产业链上下游资源整合。</w:t>
      </w:r>
      <w:r>
        <w:rPr>
          <w:rFonts w:hint="eastAsia" w:ascii="仿宋_GB2312" w:hAnsi="Times New Roman" w:eastAsia="仿宋_GB2312"/>
          <w:sz w:val="32"/>
          <w:szCs w:val="32"/>
        </w:rPr>
        <w:t>运河西岸、台湖音宇宙艺术中心、湾里商业娱乐综合体等重大项目与消费地标相继落成；大运河音乐节成为青年潮玩聚集地；北京（通州）大运河文化旅游景区中区上榜国家级夜间文化和旅游消费集聚区；“</w:t>
      </w:r>
      <w:r>
        <w:rPr>
          <w:rFonts w:ascii="仿宋_GB2312" w:hAnsi="Times New Roman" w:eastAsia="仿宋_GB2312"/>
          <w:sz w:val="32"/>
          <w:szCs w:val="32"/>
        </w:rPr>
        <w:t>运上行</w:t>
      </w:r>
      <w:r>
        <w:rPr>
          <w:rFonts w:hint="eastAsia" w:ascii="仿宋_GB2312" w:hAnsi="Times New Roman" w:eastAsia="仿宋_GB2312"/>
          <w:sz w:val="32"/>
          <w:szCs w:val="32"/>
        </w:rPr>
        <w:t>”</w:t>
      </w:r>
      <w:r>
        <w:rPr>
          <w:rFonts w:ascii="仿宋_GB2312" w:hAnsi="Times New Roman" w:eastAsia="仿宋_GB2312"/>
          <w:sz w:val="32"/>
          <w:szCs w:val="32"/>
        </w:rPr>
        <w:t>水景演艺项目填补夜间文旅空白</w:t>
      </w:r>
      <w:r>
        <w:rPr>
          <w:rFonts w:hint="eastAsia" w:ascii="仿宋_GB2312" w:hAnsi="Times New Roman" w:eastAsia="仿宋_GB2312"/>
          <w:sz w:val="32"/>
          <w:szCs w:val="32"/>
        </w:rPr>
        <w:t>；</w:t>
      </w:r>
      <w:r>
        <w:rPr>
          <w:rFonts w:ascii="仿宋_GB2312" w:hAnsi="Times New Roman" w:eastAsia="仿宋_GB2312"/>
          <w:sz w:val="32"/>
          <w:szCs w:val="32"/>
        </w:rPr>
        <w:t>大运河龙舟赛、</w:t>
      </w:r>
      <w:r>
        <w:rPr>
          <w:rFonts w:hint="eastAsia" w:ascii="仿宋_GB2312" w:hAnsi="Times New Roman" w:eastAsia="仿宋_GB2312"/>
          <w:sz w:val="32"/>
          <w:szCs w:val="32"/>
          <w:lang w:val="en-US" w:eastAsia="zh-CN"/>
        </w:rPr>
        <w:t>城市</w:t>
      </w:r>
      <w:r>
        <w:rPr>
          <w:rFonts w:ascii="仿宋_GB2312" w:hAnsi="Times New Roman" w:eastAsia="仿宋_GB2312"/>
          <w:sz w:val="32"/>
          <w:szCs w:val="32"/>
        </w:rPr>
        <w:t>副中心马拉松等赛事促进</w:t>
      </w:r>
      <w:r>
        <w:rPr>
          <w:rFonts w:hint="eastAsia" w:ascii="仿宋_GB2312" w:hAnsi="Times New Roman" w:eastAsia="仿宋_GB2312"/>
          <w:sz w:val="32"/>
          <w:szCs w:val="32"/>
        </w:rPr>
        <w:t>“跟着赛事去旅行”全域联动。</w:t>
      </w:r>
    </w:p>
    <w:p w14:paraId="3A1AD3B5">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艺术创作丰富多彩，公共服务惠民增效显著。</w:t>
      </w:r>
      <w:r>
        <w:rPr>
          <w:rFonts w:hint="eastAsia" w:ascii="仿宋_GB2312" w:hAnsi="Times New Roman" w:eastAsia="仿宋_GB2312"/>
          <w:sz w:val="32"/>
          <w:szCs w:val="32"/>
        </w:rPr>
        <w:t>“十四五”时期，通州区公共文化服务体系建设迈上新台阶。设施网络与服务效能显著优化，</w:t>
      </w:r>
      <w:r>
        <w:rPr>
          <w:rFonts w:ascii="仿宋_GB2312" w:hAnsi="Times New Roman" w:eastAsia="仿宋_GB2312"/>
          <w:sz w:val="32"/>
          <w:szCs w:val="32"/>
        </w:rPr>
        <w:t>持续推进</w:t>
      </w:r>
      <w:r>
        <w:rPr>
          <w:rFonts w:hint="eastAsia" w:ascii="仿宋_GB2312" w:hAnsi="Times New Roman" w:eastAsia="仿宋_GB2312"/>
          <w:sz w:val="32"/>
          <w:szCs w:val="32"/>
        </w:rPr>
        <w:t>乡镇街道图书馆分馆与</w:t>
      </w:r>
      <w:r>
        <w:rPr>
          <w:rFonts w:ascii="仿宋_GB2312" w:hAnsi="Times New Roman" w:eastAsia="仿宋_GB2312"/>
          <w:sz w:val="32"/>
          <w:szCs w:val="32"/>
        </w:rPr>
        <w:t>24小时智能文化空间建设，</w:t>
      </w:r>
      <w:r>
        <w:rPr>
          <w:rFonts w:hint="eastAsia" w:ascii="仿宋_GB2312" w:hAnsi="Times New Roman" w:eastAsia="仿宋_GB2312"/>
          <w:sz w:val="32"/>
          <w:szCs w:val="32"/>
        </w:rPr>
        <w:t>实现22个乡镇街道分馆全覆盖；</w:t>
      </w:r>
      <w:r>
        <w:rPr>
          <w:rFonts w:ascii="仿宋_GB2312" w:hAnsi="Times New Roman" w:eastAsia="仿宋_GB2312"/>
          <w:sz w:val="32"/>
          <w:szCs w:val="32"/>
        </w:rPr>
        <w:t>区博物馆完成改造升级，区文化馆、图书馆完成无障碍改造并实现夜间延时开放，年服务群众超80万人次</w:t>
      </w:r>
      <w:r>
        <w:rPr>
          <w:rFonts w:hint="eastAsia" w:ascii="仿宋_GB2312" w:hAnsi="Times New Roman" w:eastAsia="仿宋_GB2312"/>
          <w:sz w:val="32"/>
          <w:szCs w:val="32"/>
        </w:rPr>
        <w:t>，</w:t>
      </w:r>
      <w:r>
        <w:rPr>
          <w:rFonts w:ascii="仿宋_GB2312" w:hAnsi="Times New Roman" w:eastAsia="仿宋_GB2312"/>
          <w:sz w:val="32"/>
          <w:szCs w:val="32"/>
        </w:rPr>
        <w:t>人均公共文化服务设施面积位居全市第二。文化惠民活动丰富多彩，圆满完成国家级、市级重大活动筹备组织工作。艺术创作与演艺繁荣发展，推动《北上》《运河清风图》等精品剧目</w:t>
      </w:r>
      <w:r>
        <w:rPr>
          <w:rFonts w:hint="eastAsia" w:ascii="仿宋_GB2312" w:hAnsi="Times New Roman" w:eastAsia="仿宋_GB2312"/>
          <w:sz w:val="32"/>
          <w:szCs w:val="32"/>
        </w:rPr>
        <w:t>演出</w:t>
      </w:r>
      <w:r>
        <w:rPr>
          <w:rFonts w:ascii="仿宋_GB2312" w:hAnsi="Times New Roman" w:eastAsia="仿宋_GB2312"/>
          <w:sz w:val="32"/>
          <w:szCs w:val="32"/>
        </w:rPr>
        <w:t>；</w:t>
      </w:r>
      <w:r>
        <w:rPr>
          <w:rFonts w:hint="eastAsia" w:ascii="仿宋_GB2312" w:hAnsi="Times New Roman" w:eastAsia="仿宋_GB2312"/>
          <w:sz w:val="32"/>
          <w:szCs w:val="32"/>
        </w:rPr>
        <w:t>连</w:t>
      </w:r>
      <w:r>
        <w:rPr>
          <w:rFonts w:ascii="仿宋_GB2312" w:hAnsi="Times New Roman" w:eastAsia="仿宋_GB2312"/>
          <w:sz w:val="32"/>
          <w:szCs w:val="32"/>
        </w:rPr>
        <w:t>续举办“运河有戏”演出季、开心麻花喜剧生活节、</w:t>
      </w:r>
      <w:r>
        <w:rPr>
          <w:rFonts w:hint="eastAsia" w:ascii="仿宋_GB2312" w:hAnsi="Times New Roman" w:eastAsia="仿宋_GB2312"/>
          <w:sz w:val="32"/>
          <w:szCs w:val="32"/>
        </w:rPr>
        <w:t>运河时尚大赏、宋庄艺术节</w:t>
      </w:r>
      <w:r>
        <w:rPr>
          <w:rFonts w:ascii="仿宋_GB2312" w:hAnsi="Times New Roman" w:eastAsia="仿宋_GB2312"/>
          <w:sz w:val="32"/>
          <w:szCs w:val="32"/>
        </w:rPr>
        <w:t>等品牌活动，极大丰富了</w:t>
      </w:r>
      <w:r>
        <w:rPr>
          <w:rFonts w:hint="eastAsia" w:ascii="仿宋_GB2312" w:hAnsi="Times New Roman" w:eastAsia="仿宋_GB2312"/>
          <w:sz w:val="32"/>
          <w:szCs w:val="32"/>
        </w:rPr>
        <w:t>首都</w:t>
      </w:r>
      <w:r>
        <w:rPr>
          <w:rFonts w:ascii="仿宋_GB2312" w:hAnsi="Times New Roman" w:eastAsia="仿宋_GB2312"/>
          <w:sz w:val="32"/>
          <w:szCs w:val="32"/>
        </w:rPr>
        <w:t>市民精神文化生活。</w:t>
      </w:r>
    </w:p>
    <w:p w14:paraId="32389248">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城市形象出圈出海，传播能级实现跨越提升。</w:t>
      </w:r>
      <w:r>
        <w:rPr>
          <w:rFonts w:hint="eastAsia" w:ascii="仿宋_GB2312" w:hAnsi="Times New Roman" w:eastAsia="仿宋_GB2312"/>
          <w:sz w:val="32"/>
          <w:szCs w:val="32"/>
        </w:rPr>
        <w:t>“十四五”时期，通州区城市品牌塑造与传播成效卓著。品牌体系与传播矩阵全面升级，深入打造“运河上的通州”城市文旅品牌，新媒体矩阵总粉丝量突破260万。品牌活动与国际影响力显著增强，成功举办“新区汇”论坛、通州</w:t>
      </w:r>
      <w:r>
        <w:rPr>
          <w:rFonts w:hint="eastAsia" w:ascii="仿宋" w:hAnsi="仿宋" w:eastAsia="仿宋" w:cs="仿宋"/>
          <w:sz w:val="32"/>
          <w:szCs w:val="32"/>
        </w:rPr>
        <w:t>·</w:t>
      </w:r>
      <w:r>
        <w:rPr>
          <w:rFonts w:hint="eastAsia" w:ascii="仿宋_GB2312" w:hAnsi="Times New Roman" w:eastAsia="仿宋_GB2312"/>
          <w:sz w:val="32"/>
          <w:szCs w:val="32"/>
        </w:rPr>
        <w:t>全球发展论坛等高规格活动；召开</w:t>
      </w:r>
      <w:r>
        <w:rPr>
          <w:rFonts w:hint="eastAsia" w:ascii="仿宋_GB2312" w:hAnsi="Times New Roman" w:eastAsia="仿宋_GB2312"/>
          <w:sz w:val="32"/>
          <w:szCs w:val="32"/>
          <w:lang w:val="en-US" w:eastAsia="zh-CN"/>
        </w:rPr>
        <w:t>北京城市副中心</w:t>
      </w:r>
      <w:r>
        <w:rPr>
          <w:rFonts w:hint="eastAsia" w:ascii="仿宋_GB2312" w:hAnsi="Times New Roman" w:eastAsia="仿宋_GB2312"/>
          <w:sz w:val="32"/>
          <w:szCs w:val="32"/>
        </w:rPr>
        <w:t>首届研学旅游发展大会；持续开展“遇见</w:t>
      </w:r>
      <w:r>
        <w:rPr>
          <w:rFonts w:hint="eastAsia" w:ascii="仿宋" w:hAnsi="仿宋" w:eastAsia="仿宋" w:cs="仿宋"/>
          <w:sz w:val="32"/>
          <w:szCs w:val="32"/>
        </w:rPr>
        <w:t>·</w:t>
      </w:r>
      <w:r>
        <w:rPr>
          <w:rFonts w:hint="eastAsia" w:ascii="仿宋_GB2312" w:hAnsi="Times New Roman" w:eastAsia="仿宋_GB2312"/>
          <w:sz w:val="32"/>
          <w:szCs w:val="32"/>
        </w:rPr>
        <w:t>运河”城市探访系列活动，策划推出多条精品线路并获国家级殊荣；</w:t>
      </w:r>
      <w:r>
        <w:rPr>
          <w:rFonts w:hint="eastAsia" w:ascii="仿宋_GB2312" w:hAnsi="Times New Roman" w:eastAsia="仿宋_GB2312"/>
          <w:sz w:val="32"/>
          <w:szCs w:val="32"/>
          <w:lang w:val="en-US" w:eastAsia="zh-CN"/>
        </w:rPr>
        <w:t>2025</w:t>
      </w:r>
      <w:r>
        <w:rPr>
          <w:rFonts w:hint="eastAsia" w:ascii="仿宋_GB2312" w:hAnsi="Times New Roman" w:eastAsia="仿宋_GB2312"/>
          <w:sz w:val="32"/>
          <w:szCs w:val="32"/>
        </w:rPr>
        <w:t>北京国际非遗周吸引60余国参与，全网</w:t>
      </w:r>
      <w:r>
        <w:rPr>
          <w:rFonts w:hint="eastAsia" w:ascii="仿宋_GB2312" w:hAnsi="Times New Roman" w:eastAsia="仿宋_GB2312"/>
          <w:sz w:val="32"/>
          <w:szCs w:val="32"/>
          <w:lang w:val="en-US" w:eastAsia="zh-CN"/>
        </w:rPr>
        <w:t>传播</w:t>
      </w:r>
      <w:r>
        <w:rPr>
          <w:rFonts w:hint="eastAsia" w:ascii="仿宋_GB2312" w:hAnsi="Times New Roman" w:eastAsia="仿宋_GB2312"/>
          <w:sz w:val="32"/>
          <w:szCs w:val="32"/>
        </w:rPr>
        <w:t>覆盖超1亿人次，</w:t>
      </w:r>
      <w:r>
        <w:rPr>
          <w:rFonts w:hint="eastAsia" w:ascii="仿宋_GB2312" w:hAnsi="Times New Roman" w:eastAsia="仿宋_GB2312"/>
          <w:sz w:val="32"/>
          <w:szCs w:val="32"/>
          <w:lang w:val="en-US" w:eastAsia="zh-CN"/>
        </w:rPr>
        <w:t>北京</w:t>
      </w:r>
      <w:r>
        <w:rPr>
          <w:rFonts w:hint="eastAsia" w:ascii="仿宋_GB2312" w:hAnsi="Times New Roman" w:eastAsia="仿宋_GB2312"/>
          <w:sz w:val="32"/>
          <w:szCs w:val="32"/>
        </w:rPr>
        <w:t>城市副中心的国际辨识度与</w:t>
      </w:r>
      <w:r>
        <w:rPr>
          <w:rFonts w:hint="eastAsia" w:ascii="仿宋_GB2312" w:hAnsi="Times New Roman" w:eastAsia="仿宋_GB2312"/>
          <w:sz w:val="32"/>
          <w:szCs w:val="32"/>
          <w:lang w:val="en-US" w:eastAsia="zh-CN"/>
        </w:rPr>
        <w:t>影响力</w:t>
      </w:r>
      <w:r>
        <w:rPr>
          <w:rFonts w:hint="eastAsia" w:ascii="仿宋_GB2312" w:hAnsi="Times New Roman" w:eastAsia="仿宋_GB2312"/>
          <w:sz w:val="32"/>
          <w:szCs w:val="32"/>
        </w:rPr>
        <w:t>大幅提升。</w:t>
      </w:r>
    </w:p>
    <w:p w14:paraId="3F50B198">
      <w:pPr>
        <w:pStyle w:val="4"/>
        <w:spacing w:before="0" w:after="0" w:line="560" w:lineRule="exact"/>
        <w:ind w:firstLine="640" w:firstLineChars="200"/>
        <w:rPr>
          <w:rFonts w:hint="eastAsia" w:ascii="黑体" w:hAnsi="黑体" w:eastAsia="黑体"/>
          <w:color w:val="auto"/>
          <w:sz w:val="32"/>
          <w:szCs w:val="32"/>
        </w:rPr>
      </w:pPr>
      <w:bookmarkStart w:id="12" w:name="_Toc24945"/>
      <w:bookmarkStart w:id="13" w:name="_Toc15430"/>
      <w:bookmarkStart w:id="14" w:name="_Toc14651"/>
      <w:r>
        <w:rPr>
          <w:rFonts w:hint="eastAsia" w:ascii="黑体" w:hAnsi="黑体" w:eastAsia="黑体"/>
          <w:color w:val="auto"/>
          <w:sz w:val="32"/>
          <w:szCs w:val="32"/>
        </w:rPr>
        <w:t>二、“十五五”时期发展形势</w:t>
      </w:r>
      <w:bookmarkEnd w:id="12"/>
      <w:bookmarkEnd w:id="13"/>
      <w:bookmarkEnd w:id="14"/>
    </w:p>
    <w:p w14:paraId="15B9DB1B">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“十五五”时期是北京城市副中心</w:t>
      </w:r>
      <w:r>
        <w:rPr>
          <w:rFonts w:hint="eastAsia" w:ascii="仿宋_GB2312" w:hAnsi="Times New Roman" w:eastAsia="仿宋_GB2312"/>
          <w:sz w:val="32"/>
          <w:szCs w:val="32"/>
          <w:lang w:eastAsia="zh-CN"/>
        </w:rPr>
        <w:t>为</w:t>
      </w:r>
      <w:r>
        <w:rPr>
          <w:rFonts w:hint="eastAsia" w:ascii="仿宋_GB2312" w:hAnsi="Times New Roman" w:eastAsia="仿宋_GB2312"/>
          <w:sz w:val="32"/>
          <w:szCs w:val="32"/>
        </w:rPr>
        <w:t>打造中国式现代化建设进程中</w:t>
      </w:r>
      <w:r>
        <w:rPr>
          <w:rFonts w:hint="eastAsia" w:ascii="仿宋_GB2312" w:hAnsi="Times New Roman" w:eastAsia="仿宋_GB2312"/>
          <w:sz w:val="32"/>
          <w:szCs w:val="32"/>
          <w:lang w:eastAsia="zh-CN"/>
        </w:rPr>
        <w:t>的</w:t>
      </w:r>
      <w:r>
        <w:rPr>
          <w:rFonts w:hint="eastAsia" w:ascii="仿宋_GB2312" w:hAnsi="Times New Roman" w:eastAsia="仿宋_GB2312"/>
          <w:sz w:val="32"/>
          <w:szCs w:val="32"/>
        </w:rPr>
        <w:t>城市发展样板积蓄冲刺力量、奠定坚实基础的全面加力期。</w:t>
      </w:r>
    </w:p>
    <w:p w14:paraId="161747D8">
      <w:pPr>
        <w:spacing w:line="560" w:lineRule="exact"/>
        <w:ind w:firstLine="643"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从国际形势看</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世界百年变局加速演进，新一轮科技革命和产业变革加速突破。全球旅游业整体呈现回暖趋势，但区域恢复情况并不均衡，呈现出复苏与压力并存的复杂态势。伴随我国文化软实力和中华文化影响力不断提升，旅游发展步入快车道，形成全球最大国内旅游市场，</w:t>
      </w:r>
      <w:r>
        <w:rPr>
          <w:rFonts w:hint="eastAsia" w:ascii="仿宋_GB2312" w:hAnsi="仿宋_GB2312" w:eastAsia="仿宋_GB2312" w:cs="仿宋_GB2312"/>
          <w:sz w:val="32"/>
          <w:szCs w:val="32"/>
          <w:shd w:val="clear" w:color="auto" w:fill="FFFFFF"/>
          <w:lang w:val="en-US" w:eastAsia="zh-CN"/>
        </w:rPr>
        <w:t>我国</w:t>
      </w:r>
      <w:r>
        <w:rPr>
          <w:rFonts w:hint="eastAsia" w:ascii="仿宋_GB2312" w:hAnsi="仿宋_GB2312" w:eastAsia="仿宋_GB2312" w:cs="仿宋_GB2312"/>
          <w:sz w:val="32"/>
          <w:szCs w:val="32"/>
          <w:shd w:val="clear" w:color="auto" w:fill="FFFFFF"/>
        </w:rPr>
        <w:t>成为国际旅游最大客源国和主要目的地。</w:t>
      </w:r>
    </w:p>
    <w:p w14:paraId="162BE351">
      <w:pPr>
        <w:spacing w:line="560" w:lineRule="exact"/>
        <w:ind w:firstLine="643"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从国内形势看</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我国经济基础稳、优势多、韧性强、潜能大，长期向好的支撑条件和基本趋势没有变。文化旅游从传统“看山看水看风景”向“体验生活之美”</w:t>
      </w:r>
      <w:r>
        <w:rPr>
          <w:rFonts w:hint="eastAsia" w:ascii="仿宋_GB2312" w:hAnsi="仿宋_GB2312" w:eastAsia="仿宋_GB2312" w:cs="仿宋_GB2312"/>
          <w:sz w:val="32"/>
          <w:szCs w:val="32"/>
          <w:shd w:val="clear" w:color="auto" w:fill="FFFFFF"/>
          <w:lang w:val="en-US" w:eastAsia="zh-CN"/>
        </w:rPr>
        <w:t>转型</w:t>
      </w:r>
      <w:r>
        <w:rPr>
          <w:rFonts w:hint="eastAsia" w:ascii="仿宋_GB2312" w:hAnsi="仿宋_GB2312" w:eastAsia="仿宋_GB2312" w:cs="仿宋_GB2312"/>
          <w:sz w:val="32"/>
          <w:szCs w:val="32"/>
          <w:shd w:val="clear" w:color="auto" w:fill="FFFFFF"/>
        </w:rPr>
        <w:t>，深度融入城乡居民的美好生活。县域旅游、自驾旅游持续升温，游客需求更加多元，情绪消费带动潮玩经济、宠物经济快速发展。科技赋能文旅作用更加彰显，文化和旅游在拉动内需方面作用更加显著，国内旅游已从复苏进入强劲增长阶段。</w:t>
      </w:r>
    </w:p>
    <w:p w14:paraId="2CBC5698">
      <w:pPr>
        <w:pStyle w:val="2"/>
        <w:spacing w:after="0" w:line="560" w:lineRule="exact"/>
        <w:ind w:left="0" w:leftChars="0" w:firstLine="643" w:firstLineChars="200"/>
        <w:rPr>
          <w:rFonts w:hint="eastAsia" w:ascii="仿宋_GB2312" w:hAnsi="仿宋_GB2312" w:eastAsia="仿宋_GB2312" w:cs="仿宋_GB2312"/>
          <w:sz w:val="32"/>
          <w:szCs w:val="32"/>
          <w:shd w:val="clear" w:color="auto" w:fill="FFFFFF"/>
        </w:rPr>
      </w:pPr>
      <w:r>
        <w:rPr>
          <w:rFonts w:hint="eastAsia" w:ascii="仿宋_GB2312" w:hAnsi="仿宋_GB2312" w:eastAsia="仿宋_GB2312" w:cs="仿宋_GB2312"/>
          <w:b/>
          <w:bCs/>
          <w:sz w:val="32"/>
          <w:szCs w:val="32"/>
          <w:shd w:val="clear" w:color="auto" w:fill="FFFFFF"/>
        </w:rPr>
        <w:t>从区域形势看</w:t>
      </w:r>
      <w:r>
        <w:rPr>
          <w:rFonts w:hint="eastAsia" w:ascii="仿宋_GB2312" w:hAnsi="仿宋_GB2312" w:eastAsia="仿宋_GB2312" w:cs="仿宋_GB2312"/>
          <w:b/>
          <w:bCs/>
          <w:sz w:val="32"/>
          <w:szCs w:val="32"/>
          <w:shd w:val="clear" w:color="auto" w:fill="FFFFFF"/>
          <w:lang w:eastAsia="zh-CN"/>
        </w:rPr>
        <w:t>，</w:t>
      </w:r>
      <w:r>
        <w:rPr>
          <w:rFonts w:hint="eastAsia" w:ascii="仿宋_GB2312" w:hAnsi="仿宋_GB2312" w:eastAsia="仿宋_GB2312" w:cs="仿宋_GB2312"/>
          <w:sz w:val="32"/>
          <w:szCs w:val="32"/>
          <w:shd w:val="clear" w:color="auto" w:fill="FFFFFF"/>
          <w:lang w:val="en-US" w:eastAsia="zh-CN"/>
        </w:rPr>
        <w:t>北京</w:t>
      </w:r>
      <w:r>
        <w:rPr>
          <w:rFonts w:hint="eastAsia" w:ascii="仿宋_GB2312" w:hAnsi="仿宋_GB2312" w:eastAsia="仿宋_GB2312" w:cs="仿宋_GB2312"/>
          <w:sz w:val="32"/>
          <w:szCs w:val="32"/>
          <w:shd w:val="clear" w:color="auto" w:fill="FFFFFF"/>
        </w:rPr>
        <w:t>城市副中心因改革而生，肩负建设“五个示范区”战略任务，</w:t>
      </w:r>
      <w:r>
        <w:rPr>
          <w:rFonts w:hint="eastAsia" w:ascii="仿宋_GB2312" w:hAnsi="Times New Roman" w:eastAsia="仿宋_GB2312" w:cs="Times New Roman"/>
          <w:sz w:val="32"/>
          <w:szCs w:val="32"/>
          <w:lang w:val="en-US" w:eastAsia="zh-CN"/>
        </w:rPr>
        <w:t>即国际一流的和谐宜居之都示范区、新型城镇化示范区、京津冀区域协同发展示范区、国家绿色发展示范区和与北三县一体化高质量发展示范区。</w:t>
      </w:r>
      <w:r>
        <w:rPr>
          <w:rFonts w:hint="eastAsia" w:ascii="仿宋_GB2312" w:hAnsi="仿宋_GB2312" w:eastAsia="仿宋_GB2312" w:cs="仿宋_GB2312"/>
          <w:sz w:val="32"/>
          <w:szCs w:val="32"/>
          <w:shd w:val="clear" w:color="auto" w:fill="FFFFFF"/>
        </w:rPr>
        <w:t>随着京津冀协同发展向纵深推进、现代化首都都市圈加快构建和要素市场化配置综合改革试点深化实施，通州区将</w:t>
      </w:r>
      <w:r>
        <w:rPr>
          <w:rFonts w:hint="eastAsia" w:ascii="仿宋_GB2312" w:hAnsi="Times New Roman" w:eastAsia="仿宋_GB2312"/>
          <w:sz w:val="32"/>
          <w:szCs w:val="32"/>
        </w:rPr>
        <w:t>充分发挥北京环球度假区外溢效应，推动由重大项目集群向世界级旅游目的地跃升，实现从“流量吸引”到“留量转化”。</w:t>
      </w:r>
    </w:p>
    <w:p w14:paraId="5052D996">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与此同时，</w:t>
      </w:r>
      <w:r>
        <w:rPr>
          <w:rFonts w:hint="eastAsia" w:ascii="仿宋_GB2312" w:hAnsi="Times New Roman" w:eastAsia="仿宋_GB2312"/>
          <w:sz w:val="32"/>
          <w:szCs w:val="32"/>
          <w:lang w:val="en-US" w:eastAsia="zh-CN"/>
        </w:rPr>
        <w:t>北京</w:t>
      </w:r>
      <w:r>
        <w:rPr>
          <w:rFonts w:hint="eastAsia" w:ascii="仿宋_GB2312" w:hAnsi="Times New Roman" w:eastAsia="仿宋_GB2312"/>
          <w:sz w:val="32"/>
          <w:szCs w:val="32"/>
        </w:rPr>
        <w:t>城市副中心文商旅体融合发展还面临诸多挑战：</w:t>
      </w:r>
      <w:r>
        <w:rPr>
          <w:rFonts w:hint="eastAsia" w:ascii="仿宋_GB2312" w:hAnsi="Times New Roman" w:eastAsia="仿宋_GB2312"/>
          <w:b/>
          <w:bCs/>
          <w:sz w:val="32"/>
          <w:szCs w:val="32"/>
        </w:rPr>
        <w:t>一是文化资源挖掘与转化不足。</w:t>
      </w:r>
      <w:r>
        <w:rPr>
          <w:rFonts w:hint="eastAsia" w:ascii="仿宋_GB2312" w:hAnsi="Times New Roman" w:eastAsia="仿宋_GB2312"/>
          <w:sz w:val="32"/>
          <w:szCs w:val="32"/>
        </w:rPr>
        <w:t>文化价值提炼与资源转化能力较弱，围绕运河IP的文创产品及特色服务未成体系，文化资源尚未有效转化为品牌优势与消费动力。</w:t>
      </w:r>
      <w:r>
        <w:rPr>
          <w:rFonts w:hint="eastAsia" w:ascii="仿宋_GB2312" w:hAnsi="Times New Roman" w:eastAsia="仿宋_GB2312"/>
          <w:b/>
          <w:bCs/>
          <w:sz w:val="32"/>
          <w:szCs w:val="32"/>
        </w:rPr>
        <w:t>二是产业规模与融合度有待提高。</w:t>
      </w:r>
      <w:r>
        <w:rPr>
          <w:rFonts w:hint="eastAsia" w:ascii="仿宋_GB2312" w:hAnsi="Times New Roman" w:eastAsia="仿宋_GB2312"/>
          <w:sz w:val="32"/>
          <w:szCs w:val="32"/>
        </w:rPr>
        <w:t>规上文体娱乐业单位数量和营业收入在全市占比较低</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产业联动效应未能充分释放，文化旅游区、城市绿心片区与宋庄艺术创意小镇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台湖演艺小镇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张家湾设计小镇的协同</w:t>
      </w:r>
      <w:r>
        <w:rPr>
          <w:rFonts w:hint="eastAsia" w:ascii="仿宋_GB2312" w:hAnsi="Times New Roman" w:eastAsia="仿宋_GB2312"/>
          <w:sz w:val="32"/>
          <w:szCs w:val="32"/>
          <w:lang w:val="en-US" w:eastAsia="zh-CN"/>
        </w:rPr>
        <w:t>功能</w:t>
      </w:r>
      <w:r>
        <w:rPr>
          <w:rFonts w:hint="eastAsia" w:ascii="仿宋_GB2312" w:hAnsi="Times New Roman" w:eastAsia="仿宋_GB2312"/>
          <w:sz w:val="32"/>
          <w:szCs w:val="32"/>
        </w:rPr>
        <w:t>尚待优化。</w:t>
      </w:r>
      <w:r>
        <w:rPr>
          <w:rFonts w:hint="eastAsia" w:ascii="仿宋_GB2312" w:hAnsi="Times New Roman" w:eastAsia="仿宋_GB2312"/>
          <w:b/>
          <w:bCs/>
          <w:sz w:val="32"/>
          <w:szCs w:val="32"/>
        </w:rPr>
        <w:t>三是消费业态创新与引流能力较弱。</w:t>
      </w:r>
      <w:r>
        <w:rPr>
          <w:rFonts w:hint="eastAsia" w:ascii="仿宋_GB2312" w:hAnsi="Times New Roman" w:eastAsia="仿宋_GB2312"/>
          <w:sz w:val="32"/>
          <w:szCs w:val="32"/>
        </w:rPr>
        <w:t>高品质、多样化</w:t>
      </w:r>
      <w:r>
        <w:rPr>
          <w:rFonts w:hint="eastAsia" w:ascii="仿宋_GB2312" w:hAnsi="Times New Roman" w:eastAsia="仿宋_GB2312"/>
          <w:sz w:val="32"/>
          <w:szCs w:val="32"/>
          <w:lang w:val="en-US" w:eastAsia="zh-CN"/>
        </w:rPr>
        <w:t>文旅</w:t>
      </w:r>
      <w:r>
        <w:rPr>
          <w:rFonts w:hint="eastAsia" w:ascii="仿宋_GB2312" w:hAnsi="Times New Roman" w:eastAsia="仿宋_GB2312"/>
          <w:sz w:val="32"/>
          <w:szCs w:val="32"/>
        </w:rPr>
        <w:t>产品供给不足，文化演艺、体育赛事等与旅游消费的转化通道不畅，未能有效激发多层次消费活力。</w:t>
      </w:r>
      <w:r>
        <w:rPr>
          <w:rFonts w:hint="eastAsia" w:ascii="仿宋_GB2312" w:hAnsi="Times New Roman" w:eastAsia="仿宋_GB2312"/>
          <w:b/>
          <w:bCs/>
          <w:sz w:val="32"/>
          <w:szCs w:val="32"/>
        </w:rPr>
        <w:t>四是服务配套设施与运营效能不足。</w:t>
      </w:r>
      <w:r>
        <w:rPr>
          <w:rFonts w:hint="eastAsia" w:ascii="仿宋_GB2312" w:hAnsi="Times New Roman" w:eastAsia="仿宋_GB2312"/>
          <w:sz w:val="32"/>
          <w:szCs w:val="32"/>
        </w:rPr>
        <w:t>旅游公共服务设施不完善，</w:t>
      </w:r>
      <w:r>
        <w:rPr>
          <w:rFonts w:hint="eastAsia" w:ascii="仿宋_GB2312" w:hAnsi="Times New Roman" w:eastAsia="仿宋_GB2312"/>
          <w:sz w:val="32"/>
          <w:szCs w:val="32"/>
          <w:lang w:val="en-US" w:eastAsia="zh-CN"/>
        </w:rPr>
        <w:t>重要旅游区</w:t>
      </w:r>
      <w:r>
        <w:rPr>
          <w:rFonts w:hint="eastAsia" w:ascii="仿宋_GB2312" w:hAnsi="Times New Roman" w:eastAsia="仿宋_GB2312"/>
          <w:sz w:val="32"/>
          <w:szCs w:val="32"/>
        </w:rPr>
        <w:t>停车资源分布不均，餐饮业态特色</w:t>
      </w:r>
      <w:r>
        <w:rPr>
          <w:rFonts w:hint="eastAsia" w:ascii="仿宋_GB2312" w:hAnsi="Times New Roman" w:eastAsia="仿宋_GB2312"/>
          <w:sz w:val="32"/>
          <w:szCs w:val="32"/>
          <w:lang w:val="en-US" w:eastAsia="zh-CN"/>
        </w:rPr>
        <w:t>不足</w:t>
      </w:r>
      <w:r>
        <w:rPr>
          <w:rFonts w:hint="eastAsia" w:ascii="仿宋_GB2312" w:hAnsi="Times New Roman" w:eastAsia="仿宋_GB2312"/>
          <w:sz w:val="32"/>
          <w:szCs w:val="32"/>
        </w:rPr>
        <w:t>，住宿结构有待优化，入境旅游接待设施</w:t>
      </w:r>
      <w:r>
        <w:rPr>
          <w:rFonts w:hint="eastAsia" w:ascii="仿宋_GB2312" w:hAnsi="Times New Roman" w:eastAsia="仿宋_GB2312"/>
          <w:sz w:val="32"/>
          <w:szCs w:val="32"/>
          <w:lang w:val="en-US" w:eastAsia="zh-CN"/>
        </w:rPr>
        <w:t>有待提升</w:t>
      </w:r>
      <w:r>
        <w:rPr>
          <w:rFonts w:hint="eastAsia" w:ascii="仿宋_GB2312" w:hAnsi="Times New Roman" w:eastAsia="仿宋_GB2312"/>
          <w:sz w:val="32"/>
          <w:szCs w:val="32"/>
        </w:rPr>
        <w:t>。</w:t>
      </w:r>
    </w:p>
    <w:p w14:paraId="15723D91">
      <w:pPr>
        <w:spacing w:line="560" w:lineRule="exact"/>
        <w:ind w:firstLine="562" w:firstLineChars="200"/>
        <w:rPr>
          <w:b/>
          <w:bCs/>
          <w:sz w:val="28"/>
          <w:szCs w:val="32"/>
        </w:rPr>
      </w:pPr>
      <w:r>
        <w:rPr>
          <w:rFonts w:hint="eastAsia"/>
          <w:b/>
          <w:bCs/>
          <w:sz w:val="28"/>
          <w:szCs w:val="32"/>
        </w:rPr>
        <w:br w:type="page"/>
      </w:r>
    </w:p>
    <w:p w14:paraId="5AB090A2">
      <w:pPr>
        <w:pStyle w:val="3"/>
        <w:spacing w:before="156" w:beforeLines="50" w:after="156" w:afterLines="50" w:line="560" w:lineRule="exact"/>
        <w:jc w:val="center"/>
        <w:rPr>
          <w:rFonts w:hint="eastAsia" w:ascii="黑体" w:hAnsi="黑体" w:eastAsia="黑体"/>
          <w:b/>
          <w:bCs/>
          <w:color w:val="auto"/>
          <w:sz w:val="32"/>
          <w:szCs w:val="32"/>
        </w:rPr>
      </w:pPr>
      <w:bookmarkStart w:id="15" w:name="_Toc20926"/>
      <w:bookmarkStart w:id="16" w:name="_Toc9665"/>
      <w:bookmarkStart w:id="17" w:name="_Toc10305"/>
      <w:bookmarkStart w:id="18" w:name="_Toc31596"/>
      <w:bookmarkStart w:id="19" w:name="_Toc23992"/>
      <w:bookmarkStart w:id="20" w:name="_Toc23324"/>
      <w:bookmarkStart w:id="21" w:name="_Toc2996"/>
      <w:bookmarkStart w:id="22" w:name="_Toc20961"/>
      <w:r>
        <w:rPr>
          <w:rFonts w:hint="eastAsia" w:ascii="黑体" w:hAnsi="黑体" w:eastAsia="黑体"/>
          <w:b/>
          <w:bCs/>
          <w:color w:val="auto"/>
          <w:sz w:val="32"/>
          <w:szCs w:val="32"/>
        </w:rPr>
        <w:t>第二章 总体要求</w:t>
      </w:r>
      <w:bookmarkEnd w:id="15"/>
      <w:bookmarkEnd w:id="16"/>
      <w:bookmarkEnd w:id="17"/>
      <w:bookmarkEnd w:id="18"/>
      <w:bookmarkEnd w:id="19"/>
      <w:bookmarkEnd w:id="20"/>
      <w:bookmarkEnd w:id="21"/>
      <w:bookmarkEnd w:id="22"/>
    </w:p>
    <w:p w14:paraId="42A97017">
      <w:pPr>
        <w:pStyle w:val="4"/>
        <w:spacing w:before="0" w:after="0" w:line="560" w:lineRule="exact"/>
        <w:ind w:firstLine="640" w:firstLineChars="200"/>
        <w:rPr>
          <w:rFonts w:hint="eastAsia" w:ascii="黑体" w:hAnsi="黑体" w:eastAsia="黑体"/>
          <w:color w:val="auto"/>
          <w:sz w:val="32"/>
          <w:szCs w:val="32"/>
        </w:rPr>
      </w:pPr>
      <w:bookmarkStart w:id="23" w:name="_Toc32490"/>
      <w:bookmarkStart w:id="24" w:name="_Toc6574"/>
      <w:bookmarkStart w:id="25" w:name="_Toc10413"/>
      <w:bookmarkStart w:id="26" w:name="_Toc16964"/>
      <w:bookmarkStart w:id="27" w:name="_Toc12976"/>
      <w:bookmarkStart w:id="28" w:name="_Toc1262"/>
      <w:bookmarkStart w:id="29" w:name="_Toc21646"/>
      <w:bookmarkStart w:id="30" w:name="_Toc16462"/>
      <w:r>
        <w:rPr>
          <w:rFonts w:hint="eastAsia" w:ascii="黑体" w:hAnsi="黑体" w:eastAsia="黑体"/>
          <w:color w:val="auto"/>
          <w:sz w:val="32"/>
          <w:szCs w:val="32"/>
        </w:rPr>
        <w:t>一、指导思想</w:t>
      </w:r>
      <w:bookmarkEnd w:id="23"/>
      <w:bookmarkEnd w:id="24"/>
      <w:bookmarkEnd w:id="25"/>
      <w:bookmarkEnd w:id="26"/>
      <w:bookmarkEnd w:id="27"/>
      <w:bookmarkEnd w:id="28"/>
      <w:bookmarkEnd w:id="29"/>
      <w:bookmarkEnd w:id="30"/>
    </w:p>
    <w:p w14:paraId="793E0901">
      <w:pPr>
        <w:spacing w:line="560" w:lineRule="exact"/>
        <w:ind w:firstLine="640" w:firstLineChars="200"/>
        <w:rPr>
          <w:rFonts w:hint="eastAsia" w:ascii="仿宋_GB2312" w:hAnsi="仿宋_GB2312" w:eastAsia="仿宋_GB2312" w:cs="仿宋_GB2312"/>
          <w:sz w:val="32"/>
          <w:szCs w:val="32"/>
          <w:shd w:val="clear" w:color="auto" w:fill="FFFFFF"/>
        </w:rPr>
      </w:pPr>
      <w:r>
        <w:rPr>
          <w:rFonts w:hint="eastAsia" w:ascii="仿宋_GB2312" w:hAnsi="Times New Roman" w:eastAsia="仿宋_GB2312"/>
          <w:sz w:val="32"/>
          <w:szCs w:val="32"/>
        </w:rPr>
        <w:t>坚持以习近平新时代中国特色社会主义思想为指导，全面贯彻落实党的二十大和二十届历次全会精神，深入落实习近平总书记对北京重要讲话和对</w:t>
      </w:r>
      <w:r>
        <w:rPr>
          <w:rFonts w:hint="eastAsia" w:ascii="仿宋_GB2312" w:hAnsi="Times New Roman" w:eastAsia="仿宋_GB2312"/>
          <w:sz w:val="32"/>
          <w:szCs w:val="32"/>
          <w:lang w:val="en-US" w:eastAsia="zh-CN"/>
        </w:rPr>
        <w:t>北京</w:t>
      </w:r>
      <w:r>
        <w:rPr>
          <w:rFonts w:hint="eastAsia" w:ascii="仿宋_GB2312" w:hAnsi="Times New Roman" w:eastAsia="仿宋_GB2312"/>
          <w:sz w:val="32"/>
          <w:szCs w:val="32"/>
        </w:rPr>
        <w:t>城市副中心重要指示批示精神，不折不扣落实好市委十三届历次全会精神及各项决策部署，</w:t>
      </w:r>
      <w:bookmarkStart w:id="31" w:name="OLE_LINK3"/>
      <w:bookmarkStart w:id="32" w:name="OLE_LINK4"/>
      <w:r>
        <w:rPr>
          <w:rFonts w:hint="eastAsia" w:ascii="仿宋_GB2312" w:hAnsi="仿宋_GB2312" w:eastAsia="仿宋_GB2312" w:cs="仿宋_GB2312"/>
          <w:sz w:val="32"/>
          <w:szCs w:val="32"/>
          <w:shd w:val="clear" w:color="auto" w:fill="FFFFFF"/>
        </w:rPr>
        <w:t>完整准确全面贯彻新发展理</w:t>
      </w:r>
      <w:r>
        <w:rPr>
          <w:rFonts w:hint="eastAsia" w:ascii="仿宋_GB2312" w:hAnsi="Times New Roman" w:eastAsia="仿宋_GB2312"/>
          <w:sz w:val="32"/>
          <w:szCs w:val="32"/>
        </w:rPr>
        <w:t>念，主动融入首都都市圈建设，深度服务京津冀</w:t>
      </w:r>
      <w:r>
        <w:rPr>
          <w:rFonts w:hint="eastAsia" w:ascii="仿宋_GB2312" w:hAnsi="Times New Roman" w:eastAsia="仿宋_GB2312"/>
          <w:sz w:val="32"/>
          <w:szCs w:val="32"/>
          <w:lang w:val="en-US" w:eastAsia="zh-CN"/>
        </w:rPr>
        <w:t>协同</w:t>
      </w:r>
      <w:r>
        <w:rPr>
          <w:rFonts w:hint="eastAsia" w:ascii="仿宋_GB2312" w:hAnsi="Times New Roman" w:eastAsia="仿宋_GB2312"/>
          <w:sz w:val="32"/>
          <w:szCs w:val="32"/>
        </w:rPr>
        <w:t>发展大局，坚持稳中求进工作总基调，以文</w:t>
      </w:r>
      <w:r>
        <w:rPr>
          <w:rFonts w:hint="eastAsia" w:ascii="仿宋_GB2312" w:hAnsi="仿宋_GB2312" w:eastAsia="仿宋_GB2312" w:cs="仿宋_GB2312"/>
          <w:sz w:val="32"/>
          <w:szCs w:val="32"/>
          <w:shd w:val="clear" w:color="auto" w:fill="FFFFFF"/>
        </w:rPr>
        <w:t>商旅体高质量融合发展为主题，以改革创新为根本动力，以满足人民日益增长的美好生活需要为根本目的，形成“文化引领、旅游聚势、赛事引流、商贸增效”的融合发展新模式，建设成为世界级文化旅游目的地。</w:t>
      </w:r>
      <w:bookmarkEnd w:id="31"/>
      <w:bookmarkEnd w:id="32"/>
    </w:p>
    <w:p w14:paraId="5BEC65B8">
      <w:pPr>
        <w:pStyle w:val="4"/>
        <w:spacing w:before="0" w:after="0" w:line="560" w:lineRule="exact"/>
        <w:ind w:firstLine="640" w:firstLineChars="200"/>
        <w:rPr>
          <w:rFonts w:hint="eastAsia" w:ascii="黑体" w:hAnsi="黑体" w:eastAsia="黑体"/>
          <w:color w:val="auto"/>
          <w:sz w:val="32"/>
          <w:szCs w:val="32"/>
        </w:rPr>
      </w:pPr>
      <w:bookmarkStart w:id="33" w:name="_Toc20218"/>
      <w:bookmarkStart w:id="34" w:name="_Toc27517"/>
      <w:bookmarkStart w:id="35" w:name="_Toc19854"/>
      <w:bookmarkStart w:id="36" w:name="_Toc20422"/>
      <w:bookmarkStart w:id="37" w:name="_Toc11931"/>
      <w:bookmarkStart w:id="38" w:name="_Toc30677"/>
      <w:bookmarkStart w:id="39" w:name="_Toc17610"/>
      <w:bookmarkStart w:id="40" w:name="_Toc17189"/>
      <w:r>
        <w:rPr>
          <w:rFonts w:hint="eastAsia" w:ascii="黑体" w:hAnsi="黑体" w:eastAsia="黑体"/>
          <w:color w:val="auto"/>
          <w:sz w:val="32"/>
          <w:szCs w:val="32"/>
        </w:rPr>
        <w:t>二、发展原则</w:t>
      </w:r>
      <w:bookmarkEnd w:id="33"/>
      <w:bookmarkEnd w:id="34"/>
      <w:bookmarkEnd w:id="35"/>
      <w:bookmarkEnd w:id="36"/>
      <w:bookmarkEnd w:id="37"/>
      <w:bookmarkEnd w:id="38"/>
      <w:bookmarkEnd w:id="39"/>
      <w:bookmarkEnd w:id="40"/>
    </w:p>
    <w:p w14:paraId="17073583">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坚持党的领导。</w:t>
      </w:r>
      <w:r>
        <w:rPr>
          <w:rFonts w:hint="eastAsia" w:ascii="仿宋_GB2312" w:hAnsi="Times New Roman" w:eastAsia="仿宋_GB2312"/>
          <w:sz w:val="32"/>
          <w:szCs w:val="32"/>
        </w:rPr>
        <w:t>坚持以习近平新时代中国特色社会主义思想为引领，深入学习贯彻习近平文化思想，始终把党的领导贯穿于文商旅体融合发展全过程。</w:t>
      </w:r>
    </w:p>
    <w:p w14:paraId="0A9CAB20">
      <w:pPr>
        <w:spacing w:line="560" w:lineRule="exact"/>
        <w:ind w:firstLine="643" w:firstLineChars="200"/>
        <w:rPr>
          <w:rFonts w:hint="eastAsia" w:ascii="仿宋_GB2312" w:hAnsi="Times New Roman" w:eastAsia="仿宋_GB2312"/>
          <w:sz w:val="32"/>
          <w:szCs w:val="32"/>
          <w:highlight w:val="yellow"/>
          <w:lang w:val="en-US" w:eastAsia="zh-CN"/>
        </w:rPr>
      </w:pPr>
      <w:r>
        <w:rPr>
          <w:rFonts w:hint="eastAsia" w:ascii="仿宋_GB2312" w:hAnsi="Times New Roman" w:eastAsia="仿宋_GB2312"/>
          <w:b/>
          <w:bCs/>
          <w:sz w:val="32"/>
          <w:szCs w:val="32"/>
        </w:rPr>
        <w:t>坚持人民至上。</w:t>
      </w:r>
      <w:r>
        <w:rPr>
          <w:rFonts w:hint="eastAsia" w:ascii="仿宋_GB2312" w:hAnsi="Times New Roman" w:eastAsia="仿宋_GB2312"/>
          <w:sz w:val="32"/>
          <w:szCs w:val="32"/>
        </w:rPr>
        <w:t>立足人民群众对高品质文化旅游、运动休闲和商品服务的新期待，</w:t>
      </w:r>
      <w:r>
        <w:rPr>
          <w:rFonts w:hint="eastAsia" w:ascii="仿宋_GB2312" w:hAnsi="Times New Roman" w:eastAsia="仿宋_GB2312"/>
          <w:sz w:val="32"/>
          <w:szCs w:val="32"/>
          <w:lang w:val="en-US" w:eastAsia="zh-CN"/>
        </w:rPr>
        <w:t>树立正确的政绩观，</w:t>
      </w:r>
      <w:r>
        <w:rPr>
          <w:rFonts w:hint="eastAsia" w:ascii="仿宋_GB2312" w:hAnsi="Times New Roman" w:eastAsia="仿宋_GB2312"/>
          <w:sz w:val="32"/>
          <w:szCs w:val="32"/>
        </w:rPr>
        <w:t>以“投资于人、服务于人”为核心导向，优化公共空间布局，完善便民生活圈，持续提升人民的获得感、幸福感。</w:t>
      </w:r>
    </w:p>
    <w:p w14:paraId="375D9782">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坚持高质量发展。</w:t>
      </w:r>
      <w:r>
        <w:rPr>
          <w:rFonts w:hint="eastAsia" w:ascii="仿宋_GB2312" w:hAnsi="Times New Roman" w:eastAsia="仿宋_GB2312"/>
          <w:sz w:val="32"/>
          <w:szCs w:val="32"/>
        </w:rPr>
        <w:t>因地制宜发展新质生产力，推动数智技术与产业深度融合，打造智慧文旅平台，推动文体娱乐业向智能化、绿色化、融合化升级，实现经济提质增效与社会全面进步相统一。</w:t>
      </w:r>
    </w:p>
    <w:p w14:paraId="1C8A2880">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坚持守正创新。</w:t>
      </w:r>
      <w:r>
        <w:rPr>
          <w:rFonts w:hint="eastAsia" w:ascii="仿宋_GB2312" w:hAnsi="Times New Roman" w:eastAsia="仿宋_GB2312"/>
          <w:sz w:val="32"/>
          <w:szCs w:val="32"/>
        </w:rPr>
        <w:t>坚守中华优秀传统文化、革命文化和社会主义先进文化等文化根脉与精神内核，深度挖掘大运河文化，加强理念创新、模式创新、制度创新、科技创新，不断催生新产品、新业态、新场景、新服务。</w:t>
      </w:r>
    </w:p>
    <w:p w14:paraId="7B407AE8">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坚持融合发展。</w:t>
      </w:r>
      <w:r>
        <w:rPr>
          <w:rFonts w:hint="eastAsia" w:ascii="仿宋_GB2312" w:hAnsi="仿宋_GB2312" w:eastAsia="仿宋_GB2312" w:cs="仿宋_GB2312"/>
          <w:sz w:val="32"/>
          <w:szCs w:val="32"/>
          <w:shd w:val="clear" w:color="auto" w:fill="FFFFFF"/>
        </w:rPr>
        <w:t>强化以文塑旅、以旅彰文，推进文化和旅游在更广范围、更深层次、更高水平融合发展，</w:t>
      </w:r>
      <w:r>
        <w:rPr>
          <w:rFonts w:hint="eastAsia" w:ascii="仿宋_GB2312" w:hAnsi="Times New Roman" w:eastAsia="仿宋_GB2312"/>
          <w:sz w:val="32"/>
          <w:szCs w:val="32"/>
        </w:rPr>
        <w:t>推动文商旅体深度融合，</w:t>
      </w:r>
      <w:r>
        <w:rPr>
          <w:rFonts w:hint="eastAsia" w:ascii="仿宋_GB2312" w:hAnsi="仿宋_GB2312" w:eastAsia="仿宋_GB2312" w:cs="仿宋_GB2312"/>
          <w:sz w:val="32"/>
          <w:szCs w:val="32"/>
          <w:shd w:val="clear" w:color="auto" w:fill="FFFFFF"/>
        </w:rPr>
        <w:t>推动文化和旅游与其他领域融合互促，不断激发新动能、开拓新空间。</w:t>
      </w:r>
    </w:p>
    <w:p w14:paraId="73B81043">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坚持深化改革。</w:t>
      </w:r>
      <w:r>
        <w:rPr>
          <w:rFonts w:hint="eastAsia" w:ascii="仿宋_GB2312" w:hAnsi="Times New Roman" w:eastAsia="仿宋_GB2312"/>
          <w:sz w:val="32"/>
          <w:szCs w:val="32"/>
        </w:rPr>
        <w:t>聚焦融合发展的制度瓶颈，推进深层次改革，创新跨部门协同机制，充分发挥市场在资源配置中的决定性作用，激发国有资本与社会资本活力，完善融合发展政策包，持续增强发展动力与活力。</w:t>
      </w:r>
    </w:p>
    <w:p w14:paraId="7754CF73">
      <w:pPr>
        <w:pStyle w:val="4"/>
        <w:spacing w:before="0" w:after="0" w:line="560" w:lineRule="exact"/>
        <w:ind w:firstLine="640" w:firstLineChars="200"/>
        <w:rPr>
          <w:rFonts w:hint="eastAsia" w:ascii="黑体" w:hAnsi="黑体" w:eastAsia="黑体"/>
          <w:color w:val="auto"/>
          <w:sz w:val="32"/>
          <w:szCs w:val="32"/>
        </w:rPr>
      </w:pPr>
      <w:bookmarkStart w:id="41" w:name="_Toc17162"/>
      <w:bookmarkStart w:id="42" w:name="_Toc23304"/>
      <w:bookmarkStart w:id="43" w:name="_Toc1303"/>
      <w:bookmarkStart w:id="44" w:name="_Toc9950"/>
      <w:bookmarkStart w:id="45" w:name="_Toc14940"/>
      <w:bookmarkStart w:id="46" w:name="_Toc26202"/>
      <w:bookmarkStart w:id="47" w:name="_Toc3940"/>
      <w:bookmarkStart w:id="48" w:name="_Toc21955"/>
      <w:r>
        <w:rPr>
          <w:rFonts w:hint="eastAsia" w:ascii="黑体" w:hAnsi="黑体" w:eastAsia="黑体"/>
          <w:color w:val="auto"/>
          <w:sz w:val="32"/>
          <w:szCs w:val="32"/>
        </w:rPr>
        <w:t>三、发展目标</w:t>
      </w:r>
      <w:bookmarkEnd w:id="41"/>
      <w:bookmarkEnd w:id="42"/>
      <w:bookmarkEnd w:id="43"/>
      <w:bookmarkEnd w:id="44"/>
      <w:bookmarkEnd w:id="45"/>
      <w:bookmarkEnd w:id="46"/>
      <w:bookmarkEnd w:id="47"/>
      <w:bookmarkEnd w:id="48"/>
    </w:p>
    <w:p w14:paraId="0BA76B63">
      <w:pPr>
        <w:spacing w:line="560" w:lineRule="exact"/>
        <w:ind w:firstLine="640" w:firstLineChars="200"/>
        <w:rPr>
          <w:rFonts w:hint="eastAsia" w:ascii="仿宋_GB2312" w:hAnsi="仿宋_GB2312" w:eastAsia="仿宋_GB2312" w:cs="仿宋_GB2312"/>
          <w:sz w:val="32"/>
          <w:szCs w:val="32"/>
          <w:shd w:val="clear" w:color="auto" w:fill="FFFFFF"/>
        </w:rPr>
      </w:pPr>
      <w:bookmarkStart w:id="49" w:name="_Hlk204681161"/>
      <w:bookmarkStart w:id="50" w:name="_Hlk205565108"/>
      <w:r>
        <w:rPr>
          <w:rFonts w:hint="eastAsia" w:ascii="仿宋_GB2312" w:hAnsi="仿宋_GB2312" w:eastAsia="仿宋_GB2312" w:cs="仿宋_GB2312"/>
          <w:sz w:val="32"/>
          <w:szCs w:val="32"/>
          <w:shd w:val="clear" w:color="auto" w:fill="FFFFFF"/>
        </w:rPr>
        <w:t>到“十五五”末期，通州区文化和旅游高质量发展迈上新台阶</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文商旅体融合发展成效显著，</w:t>
      </w:r>
      <w:r>
        <w:rPr>
          <w:rFonts w:hint="eastAsia" w:ascii="仿宋_GB2312" w:hAnsi="仿宋_GB2312" w:eastAsia="仿宋_GB2312" w:cs="仿宋_GB2312"/>
          <w:sz w:val="32"/>
          <w:szCs w:val="32"/>
          <w:shd w:val="clear" w:color="auto" w:fill="FFFFFF"/>
          <w:lang w:val="en-US" w:eastAsia="zh-CN"/>
        </w:rPr>
        <w:t>人民精神文化生活更加丰富，文化和旅游治理能力持续提高，</w:t>
      </w:r>
      <w:r>
        <w:rPr>
          <w:rFonts w:hint="eastAsia" w:ascii="仿宋_GB2312" w:hAnsi="仿宋_GB2312" w:eastAsia="仿宋_GB2312" w:cs="仿宋_GB2312"/>
          <w:sz w:val="32"/>
          <w:szCs w:val="32"/>
          <w:shd w:val="clear" w:color="auto" w:fill="FFFFFF"/>
        </w:rPr>
        <w:t>城市品牌辨识度与核心竞争力显著提升，</w:t>
      </w:r>
      <w:r>
        <w:rPr>
          <w:rFonts w:hint="eastAsia" w:ascii="仿宋_GB2312" w:hAnsi="仿宋_GB2312" w:eastAsia="仿宋_GB2312" w:cs="仿宋_GB2312"/>
          <w:sz w:val="32"/>
          <w:szCs w:val="32"/>
          <w:shd w:val="clear" w:color="auto" w:fill="FFFFFF"/>
          <w:lang w:val="en-US" w:eastAsia="zh-CN"/>
        </w:rPr>
        <w:t>逐步</w:t>
      </w:r>
      <w:r>
        <w:rPr>
          <w:rFonts w:hint="eastAsia" w:ascii="仿宋_GB2312" w:hAnsi="仿宋_GB2312" w:eastAsia="仿宋_GB2312" w:cs="仿宋_GB2312"/>
          <w:sz w:val="32"/>
          <w:szCs w:val="32"/>
          <w:shd w:val="clear" w:color="auto" w:fill="FFFFFF"/>
        </w:rPr>
        <w:t>将通州区建设成为</w:t>
      </w:r>
      <w:r>
        <w:rPr>
          <w:rFonts w:hint="eastAsia" w:ascii="仿宋_GB2312" w:hAnsi="仿宋_GB2312" w:eastAsia="仿宋_GB2312" w:cs="仿宋_GB2312"/>
          <w:sz w:val="32"/>
          <w:szCs w:val="32"/>
          <w:shd w:val="clear" w:color="auto" w:fill="FFFFFF"/>
          <w:lang w:val="en-US" w:eastAsia="zh-CN"/>
        </w:rPr>
        <w:t>北京市</w:t>
      </w:r>
      <w:r>
        <w:rPr>
          <w:rFonts w:hint="eastAsia" w:ascii="仿宋_GB2312" w:hAnsi="仿宋_GB2312" w:eastAsia="仿宋_GB2312" w:cs="仿宋_GB2312"/>
          <w:sz w:val="32"/>
          <w:szCs w:val="32"/>
          <w:shd w:val="clear" w:color="auto" w:fill="FFFFFF"/>
        </w:rPr>
        <w:t>东部城市副中心文化旅游活力区</w:t>
      </w:r>
      <w:r>
        <w:rPr>
          <w:rFonts w:hint="eastAsia" w:ascii="仿宋_GB2312" w:hAnsi="仿宋_GB2312" w:eastAsia="仿宋_GB2312" w:cs="仿宋_GB2312"/>
          <w:sz w:val="32"/>
          <w:szCs w:val="32"/>
          <w:shd w:val="clear" w:color="auto" w:fill="FFFFFF"/>
          <w:lang w:eastAsia="zh-CN"/>
        </w:rPr>
        <w:t>、</w:t>
      </w:r>
      <w:r>
        <w:rPr>
          <w:rFonts w:hint="eastAsia" w:ascii="仿宋_GB2312" w:hAnsi="仿宋_GB2312" w:eastAsia="仿宋_GB2312" w:cs="仿宋_GB2312"/>
          <w:sz w:val="32"/>
          <w:szCs w:val="32"/>
          <w:shd w:val="clear" w:color="auto" w:fill="FFFFFF"/>
        </w:rPr>
        <w:t>北京市文旅发展新增长极、京津冀文商旅体融合发展新标杆和世界级文化旅游目的地。</w:t>
      </w:r>
    </w:p>
    <w:bookmarkEnd w:id="49"/>
    <w:bookmarkEnd w:id="50"/>
    <w:p w14:paraId="30CF6B24">
      <w:pPr>
        <w:spacing w:line="560" w:lineRule="exact"/>
        <w:ind w:firstLine="643" w:firstLineChars="200"/>
        <w:rPr>
          <w:rFonts w:ascii="仿宋_GB2312" w:hAnsi="Calibri" w:eastAsia="仿宋_GB2312" w:cs="Arial"/>
          <w:b/>
          <w:bCs/>
          <w:sz w:val="32"/>
          <w:szCs w:val="32"/>
        </w:rPr>
      </w:pPr>
      <w:r>
        <w:rPr>
          <w:rFonts w:hint="eastAsia" w:ascii="仿宋_GB2312" w:hAnsi="Calibri" w:eastAsia="仿宋_GB2312" w:cs="Arial"/>
          <w:b/>
          <w:bCs/>
          <w:sz w:val="32"/>
          <w:szCs w:val="32"/>
        </w:rPr>
        <w:t>文化事业发展步入新阶段。</w:t>
      </w:r>
      <w:r>
        <w:rPr>
          <w:rFonts w:hint="eastAsia" w:ascii="仿宋_GB2312" w:hAnsi="Calibri" w:eastAsia="仿宋_GB2312" w:cs="Arial"/>
          <w:sz w:val="32"/>
          <w:szCs w:val="32"/>
        </w:rPr>
        <w:t>新时代文艺精品创作不断推陈出新，历史文化保护传承工作取得新进展，大运河国家文化公园建设取得新成效。公共文化服务效能显著提升，推动城市绿心三大文化设施能级提升，实现由“公共文化地标群”向“国际人文会客厅”跃升。</w:t>
      </w:r>
    </w:p>
    <w:p w14:paraId="19A6193A">
      <w:pPr>
        <w:spacing w:line="560" w:lineRule="exact"/>
        <w:ind w:firstLine="643" w:firstLineChars="200"/>
        <w:rPr>
          <w:rFonts w:hint="eastAsia" w:ascii="仿宋_GB2312" w:hAnsi="Calibri" w:eastAsia="仿宋_GB2312" w:cs="Arial"/>
          <w:sz w:val="32"/>
          <w:szCs w:val="32"/>
        </w:rPr>
      </w:pPr>
      <w:r>
        <w:rPr>
          <w:rFonts w:hint="eastAsia" w:ascii="仿宋_GB2312" w:hAnsi="Calibri" w:eastAsia="仿宋_GB2312" w:cs="Arial"/>
          <w:b/>
          <w:bCs/>
          <w:sz w:val="32"/>
          <w:szCs w:val="32"/>
        </w:rPr>
        <w:t>产业发展规模迈上新台阶。</w:t>
      </w:r>
      <w:r>
        <w:rPr>
          <w:rFonts w:hint="eastAsia" w:ascii="仿宋_GB2312" w:hAnsi="Calibri" w:eastAsia="仿宋_GB2312" w:cs="Arial"/>
          <w:sz w:val="32"/>
          <w:szCs w:val="32"/>
        </w:rPr>
        <w:t>产业能级实现跨越式提升，规模以上文化企业数量实现倍增</w:t>
      </w:r>
      <w:r>
        <w:rPr>
          <w:rFonts w:hint="eastAsia" w:ascii="仿宋_GB2312" w:hAnsi="Calibri" w:eastAsia="仿宋_GB2312" w:cs="Arial"/>
          <w:sz w:val="32"/>
          <w:szCs w:val="32"/>
          <w:lang w:eastAsia="zh-CN"/>
        </w:rPr>
        <w:t>，</w:t>
      </w:r>
      <w:r>
        <w:rPr>
          <w:rFonts w:hint="eastAsia" w:ascii="仿宋_GB2312" w:hAnsi="Calibri" w:eastAsia="仿宋_GB2312" w:cs="Arial"/>
          <w:sz w:val="32"/>
          <w:szCs w:val="32"/>
        </w:rPr>
        <w:t>文体娱乐业收入</w:t>
      </w:r>
      <w:r>
        <w:rPr>
          <w:rFonts w:hint="eastAsia" w:ascii="仿宋_GB2312" w:hAnsi="Calibri" w:eastAsia="仿宋_GB2312" w:cs="Arial"/>
          <w:sz w:val="32"/>
          <w:szCs w:val="32"/>
          <w:lang w:val="en-US" w:eastAsia="zh-CN"/>
        </w:rPr>
        <w:t>和</w:t>
      </w:r>
      <w:r>
        <w:rPr>
          <w:rFonts w:hint="eastAsia" w:ascii="仿宋_GB2312" w:hAnsi="Calibri" w:eastAsia="仿宋_GB2312" w:cs="Arial"/>
          <w:sz w:val="32"/>
          <w:szCs w:val="32"/>
        </w:rPr>
        <w:t>旅游综合收入年均增速</w:t>
      </w:r>
      <w:r>
        <w:rPr>
          <w:rFonts w:hint="eastAsia" w:ascii="仿宋_GB2312" w:hAnsi="Calibri" w:eastAsia="仿宋_GB2312" w:cs="Arial"/>
          <w:sz w:val="32"/>
          <w:szCs w:val="32"/>
          <w:lang w:val="en-US" w:eastAsia="zh-CN"/>
        </w:rPr>
        <w:t>均保持在</w:t>
      </w:r>
      <w:r>
        <w:rPr>
          <w:rFonts w:hint="eastAsia" w:ascii="仿宋_GB2312" w:hAnsi="Calibri" w:eastAsia="仿宋_GB2312" w:cs="Arial"/>
          <w:sz w:val="32"/>
          <w:szCs w:val="32"/>
        </w:rPr>
        <w:t>15%左右，</w:t>
      </w:r>
      <w:r>
        <w:rPr>
          <w:rFonts w:hint="eastAsia" w:ascii="仿宋_GB2312" w:hAnsi="Calibri" w:eastAsia="仿宋_GB2312" w:cs="Arial"/>
          <w:sz w:val="32"/>
          <w:szCs w:val="32"/>
          <w:lang w:val="en-US" w:eastAsia="zh-CN"/>
        </w:rPr>
        <w:t>文化及相关产业增加值、旅游及相关产业增加值占GDP比重稳步提高，对国民经济增长的支撑和带动作用充分发挥</w:t>
      </w:r>
      <w:r>
        <w:rPr>
          <w:rFonts w:hint="eastAsia" w:ascii="仿宋_GB2312" w:hAnsi="Calibri" w:eastAsia="仿宋_GB2312" w:cs="Arial"/>
          <w:sz w:val="32"/>
          <w:szCs w:val="32"/>
        </w:rPr>
        <w:t>。</w:t>
      </w:r>
    </w:p>
    <w:p w14:paraId="6BFEDEA8">
      <w:pPr>
        <w:spacing w:line="560" w:lineRule="exact"/>
        <w:ind w:firstLine="643" w:firstLineChars="200"/>
        <w:rPr>
          <w:rFonts w:ascii="仿宋_GB2312" w:hAnsi="Calibri" w:eastAsia="仿宋_GB2312" w:cs="Arial"/>
          <w:b/>
          <w:bCs/>
          <w:sz w:val="32"/>
          <w:szCs w:val="32"/>
        </w:rPr>
      </w:pPr>
      <w:r>
        <w:rPr>
          <w:rFonts w:hint="eastAsia" w:ascii="仿宋_GB2312" w:hAnsi="Calibri" w:eastAsia="仿宋_GB2312" w:cs="Arial"/>
          <w:b/>
          <w:bCs/>
          <w:sz w:val="32"/>
          <w:szCs w:val="32"/>
        </w:rPr>
        <w:t>深度融合发展取得新成效。</w:t>
      </w:r>
      <w:r>
        <w:rPr>
          <w:rFonts w:hint="eastAsia" w:ascii="仿宋_GB2312" w:hAnsi="Calibri" w:eastAsia="仿宋_GB2312" w:cs="Arial"/>
          <w:sz w:val="32"/>
          <w:szCs w:val="32"/>
          <w:lang w:val="en-US" w:eastAsia="zh-CN"/>
        </w:rPr>
        <w:t>深入践行文旅+百业、百业+文旅发展理念，文商旅体深度融合不断走深走实，推出一批以副中心六环高线公园为代表、广受市民和游客好评的融合产品，</w:t>
      </w:r>
      <w:r>
        <w:rPr>
          <w:rFonts w:hint="eastAsia" w:ascii="仿宋_GB2312" w:hAnsi="Calibri" w:eastAsia="仿宋_GB2312" w:cs="Arial"/>
          <w:sz w:val="32"/>
          <w:szCs w:val="32"/>
        </w:rPr>
        <w:t>深入推进“运河上的通州”文商旅体农共创联盟建设，实现跨领域资源共享和优势互补。</w:t>
      </w:r>
    </w:p>
    <w:p w14:paraId="395E9236">
      <w:pPr>
        <w:spacing w:line="560" w:lineRule="exact"/>
        <w:ind w:firstLine="643" w:firstLineChars="200"/>
        <w:rPr>
          <w:rFonts w:ascii="仿宋_GB2312" w:hAnsi="Calibri" w:eastAsia="仿宋_GB2312" w:cs="Arial"/>
          <w:sz w:val="32"/>
          <w:szCs w:val="32"/>
        </w:rPr>
      </w:pPr>
      <w:r>
        <w:rPr>
          <w:rFonts w:hint="eastAsia" w:ascii="仿宋_GB2312" w:hAnsi="Calibri" w:eastAsia="仿宋_GB2312" w:cs="Arial"/>
          <w:b/>
          <w:bCs/>
          <w:sz w:val="32"/>
          <w:szCs w:val="32"/>
        </w:rPr>
        <w:t>城市品牌宣传跃升新高度。</w:t>
      </w:r>
      <w:r>
        <w:rPr>
          <w:rFonts w:hint="eastAsia" w:ascii="仿宋_GB2312" w:hAnsi="Calibri" w:eastAsia="仿宋_GB2312" w:cs="Arial"/>
          <w:sz w:val="32"/>
          <w:szCs w:val="32"/>
        </w:rPr>
        <w:t>品牌影响力实现新突破，立体化传播格局全面形成，“运河上的通州”文旅品牌辨识度显著增强，全媒体传播体系建设迈上新台阶，内容生产与传播效能实现跃升。城市文化软实力和旅游吸引力持续增强，将通州区建设成为展示首都形象、讲好中国故事的重要窗口。</w:t>
      </w:r>
    </w:p>
    <w:p w14:paraId="61636D02">
      <w:pPr>
        <w:pStyle w:val="2"/>
      </w:pPr>
      <w:r>
        <w:br w:type="page"/>
      </w:r>
    </w:p>
    <w:p w14:paraId="39EC533C">
      <w:pPr>
        <w:spacing w:before="156" w:beforeLines="50" w:after="156" w:afterLines="50" w:line="560" w:lineRule="exact"/>
        <w:jc w:val="center"/>
        <w:rPr>
          <w:rFonts w:hint="eastAsia" w:ascii="黑体" w:hAnsi="黑体" w:eastAsia="黑体" w:cs="仿宋_GB2312"/>
          <w:sz w:val="28"/>
          <w:szCs w:val="28"/>
          <w:highlight w:val="yellow"/>
          <w:lang w:eastAsia="zh-CN"/>
        </w:rPr>
      </w:pPr>
      <w:r>
        <w:rPr>
          <w:rFonts w:hint="eastAsia" w:ascii="黑体" w:hAnsi="黑体" w:eastAsia="黑体" w:cs="仿宋_GB2312"/>
          <w:sz w:val="28"/>
          <w:szCs w:val="28"/>
        </w:rPr>
        <w:t>表2-1：</w:t>
      </w:r>
      <w:r>
        <w:rPr>
          <w:rFonts w:ascii="黑体" w:hAnsi="黑体" w:eastAsia="黑体" w:cs="仿宋_GB2312"/>
          <w:sz w:val="28"/>
          <w:szCs w:val="28"/>
        </w:rPr>
        <w:t>“</w:t>
      </w:r>
      <w:r>
        <w:rPr>
          <w:rFonts w:hint="eastAsia" w:ascii="黑体" w:hAnsi="黑体" w:eastAsia="黑体" w:cs="仿宋_GB2312"/>
          <w:sz w:val="28"/>
          <w:szCs w:val="28"/>
        </w:rPr>
        <w:t>十五五</w:t>
      </w:r>
      <w:r>
        <w:rPr>
          <w:rFonts w:ascii="黑体" w:hAnsi="黑体" w:eastAsia="黑体" w:cs="仿宋_GB2312"/>
          <w:sz w:val="28"/>
          <w:szCs w:val="28"/>
        </w:rPr>
        <w:t>”</w:t>
      </w:r>
      <w:r>
        <w:rPr>
          <w:rFonts w:hint="eastAsia" w:ascii="黑体" w:hAnsi="黑体" w:eastAsia="黑体" w:cs="仿宋_GB2312"/>
          <w:sz w:val="28"/>
          <w:szCs w:val="28"/>
        </w:rPr>
        <w:t>时期文商旅体融合发展主要</w:t>
      </w:r>
      <w:r>
        <w:rPr>
          <w:rFonts w:ascii="黑体" w:hAnsi="黑体" w:eastAsia="黑体" w:cs="仿宋_GB2312"/>
          <w:sz w:val="28"/>
          <w:szCs w:val="28"/>
        </w:rPr>
        <w:t>指标</w:t>
      </w:r>
    </w:p>
    <w:tbl>
      <w:tblPr>
        <w:tblStyle w:val="11"/>
        <w:tblW w:w="919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699"/>
        <w:gridCol w:w="4097"/>
        <w:gridCol w:w="890"/>
        <w:gridCol w:w="1312"/>
        <w:gridCol w:w="1312"/>
      </w:tblGrid>
      <w:tr w14:paraId="0F28E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89" w:type="dxa"/>
            <w:vAlign w:val="center"/>
          </w:tcPr>
          <w:p w14:paraId="6FAFAAB1">
            <w:pPr>
              <w:widowControl/>
              <w:jc w:val="center"/>
              <w:rPr>
                <w:rFonts w:hint="eastAsia" w:ascii="仿宋_GB2312" w:hAnsi="宋体" w:eastAsia="仿宋_GB2312" w:cs="宋体"/>
                <w:b/>
                <w:bCs/>
                <w:kern w:val="0"/>
                <w:sz w:val="28"/>
                <w:szCs w:val="28"/>
                <w:lang w:val="en-US" w:eastAsia="zh-CN"/>
              </w:rPr>
            </w:pPr>
            <w:r>
              <w:rPr>
                <w:rFonts w:hint="eastAsia" w:ascii="仿宋_GB2312" w:hAnsi="宋体" w:eastAsia="仿宋_GB2312" w:cs="宋体"/>
                <w:b/>
                <w:bCs/>
                <w:kern w:val="0"/>
                <w:sz w:val="28"/>
                <w:szCs w:val="28"/>
                <w:lang w:val="en-US" w:eastAsia="zh-CN"/>
              </w:rPr>
              <w:t>类型</w:t>
            </w:r>
          </w:p>
        </w:tc>
        <w:tc>
          <w:tcPr>
            <w:tcW w:w="699" w:type="dxa"/>
            <w:vAlign w:val="center"/>
          </w:tcPr>
          <w:p w14:paraId="3A420A40">
            <w:pPr>
              <w:widowControl/>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序号</w:t>
            </w:r>
          </w:p>
        </w:tc>
        <w:tc>
          <w:tcPr>
            <w:tcW w:w="4097" w:type="dxa"/>
            <w:vAlign w:val="center"/>
          </w:tcPr>
          <w:p w14:paraId="129010D8">
            <w:pPr>
              <w:widowControl/>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指标名称</w:t>
            </w:r>
          </w:p>
        </w:tc>
        <w:tc>
          <w:tcPr>
            <w:tcW w:w="890" w:type="dxa"/>
            <w:vAlign w:val="center"/>
          </w:tcPr>
          <w:p w14:paraId="3BE2EEE8">
            <w:pPr>
              <w:widowControl/>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单位</w:t>
            </w:r>
          </w:p>
        </w:tc>
        <w:tc>
          <w:tcPr>
            <w:tcW w:w="1312" w:type="dxa"/>
            <w:vAlign w:val="center"/>
          </w:tcPr>
          <w:p w14:paraId="0BF41C37">
            <w:pPr>
              <w:widowControl/>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目标值</w:t>
            </w:r>
          </w:p>
        </w:tc>
        <w:tc>
          <w:tcPr>
            <w:tcW w:w="1312" w:type="dxa"/>
            <w:vAlign w:val="center"/>
          </w:tcPr>
          <w:p w14:paraId="2EEB2CF8">
            <w:pPr>
              <w:widowControl/>
              <w:jc w:val="center"/>
              <w:rPr>
                <w:rFonts w:hint="eastAsia" w:ascii="仿宋_GB2312" w:hAnsi="宋体" w:eastAsia="仿宋_GB2312" w:cs="宋体"/>
                <w:b/>
                <w:bCs/>
                <w:kern w:val="0"/>
                <w:sz w:val="28"/>
                <w:szCs w:val="28"/>
              </w:rPr>
            </w:pPr>
            <w:r>
              <w:rPr>
                <w:rFonts w:hint="eastAsia" w:ascii="仿宋_GB2312" w:hAnsi="宋体" w:eastAsia="仿宋_GB2312" w:cs="宋体"/>
                <w:b/>
                <w:bCs/>
                <w:kern w:val="0"/>
                <w:sz w:val="28"/>
                <w:szCs w:val="28"/>
              </w:rPr>
              <w:t>属性</w:t>
            </w:r>
          </w:p>
        </w:tc>
      </w:tr>
      <w:tr w14:paraId="6A7D8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89" w:type="dxa"/>
            <w:vMerge w:val="restart"/>
            <w:vAlign w:val="center"/>
          </w:tcPr>
          <w:p w14:paraId="706CD7B9">
            <w:pPr>
              <w:widowControl/>
              <w:jc w:val="center"/>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文化和旅游相关指标</w:t>
            </w:r>
          </w:p>
        </w:tc>
        <w:tc>
          <w:tcPr>
            <w:tcW w:w="699" w:type="dxa"/>
            <w:vAlign w:val="center"/>
          </w:tcPr>
          <w:p w14:paraId="2F68AE1B">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w:t>
            </w:r>
          </w:p>
        </w:tc>
        <w:tc>
          <w:tcPr>
            <w:tcW w:w="4097" w:type="dxa"/>
            <w:vAlign w:val="center"/>
          </w:tcPr>
          <w:p w14:paraId="5DEC10DB">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文体娱乐业收入年均增速</w:t>
            </w:r>
          </w:p>
        </w:tc>
        <w:tc>
          <w:tcPr>
            <w:tcW w:w="890" w:type="dxa"/>
            <w:vAlign w:val="center"/>
          </w:tcPr>
          <w:p w14:paraId="444F9399">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w:t>
            </w:r>
          </w:p>
        </w:tc>
        <w:tc>
          <w:tcPr>
            <w:tcW w:w="1312" w:type="dxa"/>
            <w:vAlign w:val="center"/>
          </w:tcPr>
          <w:p w14:paraId="3BDE3FF4">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15左右</w:t>
            </w:r>
          </w:p>
        </w:tc>
        <w:tc>
          <w:tcPr>
            <w:tcW w:w="1312" w:type="dxa"/>
            <w:vAlign w:val="center"/>
          </w:tcPr>
          <w:p w14:paraId="584858A5">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预期性</w:t>
            </w:r>
          </w:p>
        </w:tc>
      </w:tr>
      <w:tr w14:paraId="0BB37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889" w:type="dxa"/>
            <w:vMerge w:val="continue"/>
            <w:vAlign w:val="center"/>
          </w:tcPr>
          <w:p w14:paraId="51CEE55E">
            <w:pPr>
              <w:widowControl/>
              <w:jc w:val="center"/>
              <w:rPr>
                <w:rFonts w:hint="eastAsia" w:ascii="仿宋_GB2312" w:hAnsi="宋体" w:eastAsia="仿宋_GB2312" w:cs="宋体"/>
                <w:kern w:val="0"/>
                <w:sz w:val="28"/>
                <w:szCs w:val="28"/>
              </w:rPr>
            </w:pPr>
          </w:p>
        </w:tc>
        <w:tc>
          <w:tcPr>
            <w:tcW w:w="699" w:type="dxa"/>
            <w:vAlign w:val="center"/>
          </w:tcPr>
          <w:p w14:paraId="6C8DD328">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2</w:t>
            </w:r>
          </w:p>
        </w:tc>
        <w:tc>
          <w:tcPr>
            <w:tcW w:w="4097" w:type="dxa"/>
            <w:vAlign w:val="center"/>
          </w:tcPr>
          <w:p w14:paraId="17EA8538">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旅游综合收入年均增速</w:t>
            </w:r>
          </w:p>
        </w:tc>
        <w:tc>
          <w:tcPr>
            <w:tcW w:w="890" w:type="dxa"/>
            <w:vAlign w:val="center"/>
          </w:tcPr>
          <w:p w14:paraId="1B05672C">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w:t>
            </w:r>
          </w:p>
        </w:tc>
        <w:tc>
          <w:tcPr>
            <w:tcW w:w="1312" w:type="dxa"/>
            <w:vAlign w:val="center"/>
          </w:tcPr>
          <w:p w14:paraId="3953D4CF">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15左右</w:t>
            </w:r>
          </w:p>
        </w:tc>
        <w:tc>
          <w:tcPr>
            <w:tcW w:w="1312" w:type="dxa"/>
            <w:vAlign w:val="center"/>
          </w:tcPr>
          <w:p w14:paraId="6017CA29">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预期性</w:t>
            </w:r>
          </w:p>
        </w:tc>
      </w:tr>
      <w:tr w14:paraId="61A76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89" w:type="dxa"/>
            <w:vMerge w:val="continue"/>
            <w:vAlign w:val="center"/>
          </w:tcPr>
          <w:p w14:paraId="6A837B72">
            <w:pPr>
              <w:widowControl/>
              <w:jc w:val="center"/>
              <w:rPr>
                <w:rFonts w:hint="eastAsia" w:ascii="仿宋_GB2312" w:hAnsi="宋体" w:eastAsia="仿宋_GB2312" w:cs="宋体"/>
                <w:kern w:val="0"/>
                <w:sz w:val="28"/>
                <w:szCs w:val="28"/>
              </w:rPr>
            </w:pPr>
          </w:p>
        </w:tc>
        <w:tc>
          <w:tcPr>
            <w:tcW w:w="699" w:type="dxa"/>
            <w:vAlign w:val="center"/>
          </w:tcPr>
          <w:p w14:paraId="7E58DE06">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3</w:t>
            </w:r>
          </w:p>
        </w:tc>
        <w:tc>
          <w:tcPr>
            <w:tcW w:w="4097" w:type="dxa"/>
            <w:vAlign w:val="center"/>
          </w:tcPr>
          <w:p w14:paraId="324A777A">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lang w:val="en-US" w:eastAsia="zh-CN"/>
              </w:rPr>
              <w:t>新增</w:t>
            </w:r>
            <w:r>
              <w:rPr>
                <w:rFonts w:hint="eastAsia" w:ascii="仿宋_GB2312" w:hAnsi="宋体" w:eastAsia="仿宋_GB2312" w:cs="宋体"/>
                <w:kern w:val="0"/>
                <w:sz w:val="28"/>
                <w:szCs w:val="28"/>
              </w:rPr>
              <w:t>全国等级旅游民宿</w:t>
            </w:r>
          </w:p>
        </w:tc>
        <w:tc>
          <w:tcPr>
            <w:tcW w:w="890" w:type="dxa"/>
            <w:vAlign w:val="center"/>
          </w:tcPr>
          <w:p w14:paraId="6DD6615A">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个</w:t>
            </w:r>
          </w:p>
        </w:tc>
        <w:tc>
          <w:tcPr>
            <w:tcW w:w="1312" w:type="dxa"/>
            <w:vAlign w:val="center"/>
          </w:tcPr>
          <w:p w14:paraId="5461B853">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1左右</w:t>
            </w:r>
          </w:p>
        </w:tc>
        <w:tc>
          <w:tcPr>
            <w:tcW w:w="1312" w:type="dxa"/>
            <w:vAlign w:val="center"/>
          </w:tcPr>
          <w:p w14:paraId="43E92118">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预期性</w:t>
            </w:r>
          </w:p>
        </w:tc>
      </w:tr>
      <w:tr w14:paraId="05D13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89" w:type="dxa"/>
            <w:vMerge w:val="continue"/>
            <w:vAlign w:val="center"/>
          </w:tcPr>
          <w:p w14:paraId="1778E3B0">
            <w:pPr>
              <w:widowControl/>
              <w:jc w:val="center"/>
              <w:rPr>
                <w:rFonts w:hint="eastAsia" w:ascii="仿宋_GB2312" w:hAnsi="宋体" w:eastAsia="仿宋_GB2312" w:cs="宋体"/>
                <w:kern w:val="0"/>
                <w:sz w:val="28"/>
                <w:szCs w:val="28"/>
              </w:rPr>
            </w:pPr>
          </w:p>
        </w:tc>
        <w:tc>
          <w:tcPr>
            <w:tcW w:w="699" w:type="dxa"/>
            <w:vAlign w:val="center"/>
          </w:tcPr>
          <w:p w14:paraId="6D2DCC9D">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4</w:t>
            </w:r>
          </w:p>
        </w:tc>
        <w:tc>
          <w:tcPr>
            <w:tcW w:w="4097" w:type="dxa"/>
            <w:vAlign w:val="center"/>
          </w:tcPr>
          <w:p w14:paraId="110F9322">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lang w:val="en-US" w:eastAsia="zh-CN"/>
              </w:rPr>
              <w:t>新增</w:t>
            </w:r>
            <w:r>
              <w:rPr>
                <w:rFonts w:hint="eastAsia" w:ascii="仿宋_GB2312" w:hAnsi="宋体" w:eastAsia="仿宋_GB2312" w:cs="宋体"/>
                <w:kern w:val="0"/>
                <w:sz w:val="28"/>
                <w:szCs w:val="28"/>
              </w:rPr>
              <w:t>演艺新空间</w:t>
            </w:r>
          </w:p>
        </w:tc>
        <w:tc>
          <w:tcPr>
            <w:tcW w:w="890" w:type="dxa"/>
            <w:vAlign w:val="center"/>
          </w:tcPr>
          <w:p w14:paraId="1D8C28A4">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个</w:t>
            </w:r>
          </w:p>
        </w:tc>
        <w:tc>
          <w:tcPr>
            <w:tcW w:w="1312" w:type="dxa"/>
            <w:vAlign w:val="center"/>
          </w:tcPr>
          <w:p w14:paraId="24FFD247">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6左右</w:t>
            </w:r>
          </w:p>
        </w:tc>
        <w:tc>
          <w:tcPr>
            <w:tcW w:w="1312" w:type="dxa"/>
            <w:vAlign w:val="center"/>
          </w:tcPr>
          <w:p w14:paraId="0532B833">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预期性</w:t>
            </w:r>
          </w:p>
        </w:tc>
      </w:tr>
      <w:tr w14:paraId="3060A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89" w:type="dxa"/>
            <w:vMerge w:val="continue"/>
            <w:vAlign w:val="center"/>
          </w:tcPr>
          <w:p w14:paraId="7446CD7A">
            <w:pPr>
              <w:widowControl/>
              <w:jc w:val="center"/>
              <w:rPr>
                <w:rFonts w:hint="eastAsia" w:ascii="仿宋_GB2312" w:hAnsi="宋体" w:eastAsia="仿宋_GB2312" w:cs="宋体"/>
                <w:kern w:val="0"/>
                <w:sz w:val="28"/>
                <w:szCs w:val="28"/>
              </w:rPr>
            </w:pPr>
          </w:p>
        </w:tc>
        <w:tc>
          <w:tcPr>
            <w:tcW w:w="699" w:type="dxa"/>
            <w:vAlign w:val="center"/>
          </w:tcPr>
          <w:p w14:paraId="40FF7FCA">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lang w:val="en-US" w:eastAsia="zh-CN"/>
              </w:rPr>
              <w:t>5</w:t>
            </w:r>
          </w:p>
        </w:tc>
        <w:tc>
          <w:tcPr>
            <w:tcW w:w="4097" w:type="dxa"/>
            <w:vAlign w:val="center"/>
          </w:tcPr>
          <w:p w14:paraId="62307E14">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lang w:val="en-US" w:eastAsia="zh-CN"/>
              </w:rPr>
              <w:t>新增</w:t>
            </w:r>
            <w:r>
              <w:rPr>
                <w:rFonts w:hint="eastAsia" w:ascii="仿宋_GB2312" w:hAnsi="宋体" w:eastAsia="仿宋_GB2312" w:cs="宋体"/>
                <w:kern w:val="0"/>
                <w:sz w:val="28"/>
                <w:szCs w:val="28"/>
              </w:rPr>
              <w:t>市级休闲农业</w:t>
            </w:r>
            <w:r>
              <w:rPr>
                <w:rFonts w:hint="eastAsia" w:ascii="仿宋_GB2312" w:hAnsi="宋体" w:eastAsia="仿宋_GB2312" w:cs="宋体"/>
                <w:kern w:val="0"/>
                <w:sz w:val="28"/>
                <w:szCs w:val="28"/>
                <w:lang w:val="en-US" w:eastAsia="zh-CN"/>
              </w:rPr>
              <w:t>星级</w:t>
            </w:r>
            <w:r>
              <w:rPr>
                <w:rFonts w:hint="eastAsia" w:ascii="仿宋_GB2312" w:hAnsi="宋体" w:eastAsia="仿宋_GB2312" w:cs="宋体"/>
                <w:kern w:val="0"/>
                <w:sz w:val="28"/>
                <w:szCs w:val="28"/>
              </w:rPr>
              <w:t>园区</w:t>
            </w:r>
          </w:p>
        </w:tc>
        <w:tc>
          <w:tcPr>
            <w:tcW w:w="890" w:type="dxa"/>
            <w:vAlign w:val="center"/>
          </w:tcPr>
          <w:p w14:paraId="32E01E49">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个</w:t>
            </w:r>
          </w:p>
        </w:tc>
        <w:tc>
          <w:tcPr>
            <w:tcW w:w="1312" w:type="dxa"/>
            <w:vAlign w:val="center"/>
          </w:tcPr>
          <w:p w14:paraId="335EB7BD">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lang w:val="en-US" w:eastAsia="zh-CN"/>
              </w:rPr>
              <w:t>5</w:t>
            </w:r>
            <w:r>
              <w:rPr>
                <w:rFonts w:hint="eastAsia" w:ascii="仿宋_GB2312" w:hAnsi="宋体" w:eastAsia="仿宋_GB2312" w:cs="宋体"/>
                <w:kern w:val="0"/>
                <w:sz w:val="28"/>
                <w:szCs w:val="28"/>
              </w:rPr>
              <w:t>左右</w:t>
            </w:r>
          </w:p>
        </w:tc>
        <w:tc>
          <w:tcPr>
            <w:tcW w:w="1312" w:type="dxa"/>
            <w:vAlign w:val="center"/>
          </w:tcPr>
          <w:p w14:paraId="1F8E2946">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预期性</w:t>
            </w:r>
          </w:p>
        </w:tc>
      </w:tr>
      <w:tr w14:paraId="7B6D2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89" w:type="dxa"/>
            <w:vMerge w:val="restart"/>
            <w:vAlign w:val="center"/>
          </w:tcPr>
          <w:p w14:paraId="44DE975F">
            <w:pPr>
              <w:widowControl/>
              <w:jc w:val="center"/>
              <w:rPr>
                <w:rFonts w:hint="default"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商务相关指标</w:t>
            </w:r>
          </w:p>
        </w:tc>
        <w:tc>
          <w:tcPr>
            <w:tcW w:w="699" w:type="dxa"/>
            <w:vAlign w:val="center"/>
          </w:tcPr>
          <w:p w14:paraId="27A94B69">
            <w:pPr>
              <w:widowControl/>
              <w:jc w:val="center"/>
              <w:rPr>
                <w:rFonts w:hint="eastAsia"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6</w:t>
            </w:r>
          </w:p>
        </w:tc>
        <w:tc>
          <w:tcPr>
            <w:tcW w:w="4097" w:type="dxa"/>
            <w:vAlign w:val="center"/>
          </w:tcPr>
          <w:p w14:paraId="1BCEF61A">
            <w:pPr>
              <w:widowControl/>
              <w:jc w:val="center"/>
              <w:rPr>
                <w:rFonts w:hint="eastAsia"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lang w:val="en-US" w:eastAsia="zh-CN"/>
              </w:rPr>
              <w:t>新增</w:t>
            </w:r>
            <w:r>
              <w:rPr>
                <w:rFonts w:hint="eastAsia" w:ascii="仿宋_GB2312" w:hAnsi="宋体" w:eastAsia="仿宋_GB2312" w:cs="宋体"/>
                <w:kern w:val="0"/>
                <w:sz w:val="28"/>
                <w:szCs w:val="28"/>
                <w:highlight w:val="none"/>
                <w:lang w:val="en-US" w:eastAsia="zh-CN"/>
              </w:rPr>
              <w:t>特色休闲街区</w:t>
            </w:r>
          </w:p>
        </w:tc>
        <w:tc>
          <w:tcPr>
            <w:tcW w:w="890" w:type="dxa"/>
            <w:vAlign w:val="center"/>
          </w:tcPr>
          <w:p w14:paraId="0DD76BD6">
            <w:pPr>
              <w:widowControl/>
              <w:jc w:val="center"/>
              <w:rPr>
                <w:rFonts w:hint="eastAsia" w:ascii="仿宋_GB2312" w:hAnsi="宋体" w:eastAsia="仿宋_GB2312" w:cs="宋体"/>
                <w:kern w:val="0"/>
                <w:sz w:val="28"/>
                <w:szCs w:val="28"/>
                <w:highlight w:val="none"/>
              </w:rPr>
            </w:pPr>
            <w:r>
              <w:rPr>
                <w:rFonts w:hint="eastAsia" w:ascii="仿宋_GB2312" w:hAnsi="宋体" w:eastAsia="仿宋_GB2312" w:cs="宋体"/>
                <w:kern w:val="0"/>
                <w:sz w:val="28"/>
                <w:szCs w:val="28"/>
                <w:highlight w:val="none"/>
              </w:rPr>
              <w:t>个</w:t>
            </w:r>
          </w:p>
        </w:tc>
        <w:tc>
          <w:tcPr>
            <w:tcW w:w="1312" w:type="dxa"/>
            <w:vAlign w:val="center"/>
          </w:tcPr>
          <w:p w14:paraId="1254A71F">
            <w:pPr>
              <w:widowControl/>
              <w:jc w:val="center"/>
              <w:rPr>
                <w:rFonts w:hint="eastAsia"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2</w:t>
            </w:r>
            <w:r>
              <w:rPr>
                <w:rFonts w:hint="eastAsia" w:ascii="仿宋_GB2312" w:hAnsi="宋体" w:eastAsia="仿宋_GB2312" w:cs="宋体"/>
                <w:kern w:val="0"/>
                <w:sz w:val="28"/>
                <w:szCs w:val="28"/>
                <w:highlight w:val="none"/>
              </w:rPr>
              <w:t>左右</w:t>
            </w:r>
          </w:p>
        </w:tc>
        <w:tc>
          <w:tcPr>
            <w:tcW w:w="1312" w:type="dxa"/>
            <w:vAlign w:val="center"/>
          </w:tcPr>
          <w:p w14:paraId="405C9D0D">
            <w:pPr>
              <w:widowControl/>
              <w:jc w:val="center"/>
              <w:rPr>
                <w:rFonts w:hint="eastAsia" w:ascii="仿宋_GB2312" w:hAnsi="宋体" w:eastAsia="仿宋_GB2312" w:cs="宋体"/>
                <w:kern w:val="0"/>
                <w:sz w:val="28"/>
                <w:szCs w:val="28"/>
                <w:highlight w:val="none"/>
              </w:rPr>
            </w:pPr>
            <w:r>
              <w:rPr>
                <w:rFonts w:hint="eastAsia" w:ascii="仿宋_GB2312" w:hAnsi="宋体" w:eastAsia="仿宋_GB2312" w:cs="宋体"/>
                <w:kern w:val="0"/>
                <w:sz w:val="28"/>
                <w:szCs w:val="28"/>
                <w:highlight w:val="none"/>
              </w:rPr>
              <w:t>预期性</w:t>
            </w:r>
          </w:p>
        </w:tc>
      </w:tr>
      <w:tr w14:paraId="1690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89" w:type="dxa"/>
            <w:vMerge w:val="continue"/>
            <w:vAlign w:val="center"/>
          </w:tcPr>
          <w:p w14:paraId="25BCD725">
            <w:pPr>
              <w:widowControl/>
              <w:jc w:val="center"/>
              <w:rPr>
                <w:rFonts w:hint="eastAsia" w:ascii="仿宋_GB2312" w:hAnsi="宋体" w:eastAsia="仿宋_GB2312" w:cs="宋体"/>
                <w:kern w:val="0"/>
                <w:sz w:val="28"/>
                <w:szCs w:val="28"/>
                <w:highlight w:val="none"/>
                <w:lang w:val="en-US" w:eastAsia="zh-CN"/>
              </w:rPr>
            </w:pPr>
          </w:p>
        </w:tc>
        <w:tc>
          <w:tcPr>
            <w:tcW w:w="699" w:type="dxa"/>
            <w:vAlign w:val="center"/>
          </w:tcPr>
          <w:p w14:paraId="5DAF9BF3">
            <w:pPr>
              <w:widowControl/>
              <w:jc w:val="center"/>
              <w:rPr>
                <w:rFonts w:hint="default"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7</w:t>
            </w:r>
          </w:p>
        </w:tc>
        <w:tc>
          <w:tcPr>
            <w:tcW w:w="4097" w:type="dxa"/>
            <w:vAlign w:val="center"/>
          </w:tcPr>
          <w:p w14:paraId="05312044">
            <w:pPr>
              <w:widowControl/>
              <w:jc w:val="center"/>
              <w:rPr>
                <w:rFonts w:hint="eastAsia"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lang w:val="en-US" w:eastAsia="zh-CN"/>
              </w:rPr>
              <w:t>新增</w:t>
            </w:r>
            <w:r>
              <w:rPr>
                <w:rFonts w:hint="eastAsia" w:ascii="仿宋_GB2312" w:hAnsi="宋体" w:eastAsia="仿宋_GB2312" w:cs="宋体"/>
                <w:kern w:val="0"/>
                <w:sz w:val="28"/>
                <w:szCs w:val="28"/>
                <w:highlight w:val="none"/>
                <w:lang w:val="en-US" w:eastAsia="zh-CN"/>
              </w:rPr>
              <w:t>市区两级国内外品牌首店</w:t>
            </w:r>
          </w:p>
        </w:tc>
        <w:tc>
          <w:tcPr>
            <w:tcW w:w="890" w:type="dxa"/>
            <w:vAlign w:val="center"/>
          </w:tcPr>
          <w:p w14:paraId="52E2CC6E">
            <w:pPr>
              <w:widowControl/>
              <w:jc w:val="center"/>
              <w:rPr>
                <w:rFonts w:hint="eastAsia"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个</w:t>
            </w:r>
          </w:p>
        </w:tc>
        <w:tc>
          <w:tcPr>
            <w:tcW w:w="1312" w:type="dxa"/>
            <w:vAlign w:val="center"/>
          </w:tcPr>
          <w:p w14:paraId="4668F87E">
            <w:pPr>
              <w:widowControl/>
              <w:jc w:val="center"/>
              <w:rPr>
                <w:rFonts w:hint="default"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80左右</w:t>
            </w:r>
          </w:p>
        </w:tc>
        <w:tc>
          <w:tcPr>
            <w:tcW w:w="1312" w:type="dxa"/>
            <w:vAlign w:val="center"/>
          </w:tcPr>
          <w:p w14:paraId="56036282">
            <w:pPr>
              <w:widowControl/>
              <w:jc w:val="center"/>
              <w:rPr>
                <w:rFonts w:hint="eastAsia" w:ascii="仿宋_GB2312" w:hAnsi="宋体" w:eastAsia="仿宋_GB2312" w:cs="宋体"/>
                <w:kern w:val="0"/>
                <w:sz w:val="28"/>
                <w:szCs w:val="28"/>
                <w:highlight w:val="none"/>
              </w:rPr>
            </w:pPr>
            <w:r>
              <w:rPr>
                <w:rFonts w:hint="eastAsia" w:ascii="仿宋_GB2312" w:hAnsi="宋体" w:eastAsia="仿宋_GB2312" w:cs="宋体"/>
                <w:kern w:val="0"/>
                <w:sz w:val="28"/>
                <w:szCs w:val="28"/>
                <w:highlight w:val="none"/>
              </w:rPr>
              <w:t>预期性</w:t>
            </w:r>
          </w:p>
        </w:tc>
      </w:tr>
      <w:tr w14:paraId="73EF3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889" w:type="dxa"/>
            <w:vMerge w:val="continue"/>
            <w:vAlign w:val="center"/>
          </w:tcPr>
          <w:p w14:paraId="573D2638">
            <w:pPr>
              <w:widowControl/>
              <w:jc w:val="center"/>
              <w:rPr>
                <w:rFonts w:hint="default" w:ascii="仿宋_GB2312" w:hAnsi="宋体" w:eastAsia="仿宋_GB2312" w:cs="宋体"/>
                <w:kern w:val="0"/>
                <w:sz w:val="28"/>
                <w:szCs w:val="28"/>
                <w:highlight w:val="none"/>
                <w:lang w:val="en-US" w:eastAsia="zh-CN"/>
              </w:rPr>
            </w:pPr>
          </w:p>
        </w:tc>
        <w:tc>
          <w:tcPr>
            <w:tcW w:w="699" w:type="dxa"/>
            <w:vAlign w:val="center"/>
          </w:tcPr>
          <w:p w14:paraId="74D14232">
            <w:pPr>
              <w:widowControl/>
              <w:jc w:val="center"/>
              <w:rPr>
                <w:rFonts w:hint="default"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8</w:t>
            </w:r>
          </w:p>
        </w:tc>
        <w:tc>
          <w:tcPr>
            <w:tcW w:w="4097" w:type="dxa"/>
            <w:vAlign w:val="center"/>
          </w:tcPr>
          <w:p w14:paraId="6E63B9A3">
            <w:pPr>
              <w:widowControl/>
              <w:jc w:val="center"/>
              <w:rPr>
                <w:rFonts w:hint="default"/>
                <w:highlight w:val="none"/>
                <w:lang w:val="en-US" w:eastAsia="zh-CN"/>
              </w:rPr>
            </w:pPr>
            <w:r>
              <w:rPr>
                <w:rFonts w:hint="eastAsia" w:ascii="仿宋_GB2312" w:hAnsi="宋体" w:eastAsia="仿宋_GB2312" w:cs="宋体"/>
                <w:kern w:val="0"/>
                <w:sz w:val="28"/>
                <w:szCs w:val="28"/>
                <w:lang w:val="en-US" w:eastAsia="zh-CN"/>
              </w:rPr>
              <w:t>新增</w:t>
            </w:r>
            <w:r>
              <w:rPr>
                <w:rFonts w:hint="default" w:ascii="仿宋_GB2312" w:hAnsi="宋体" w:eastAsia="仿宋_GB2312" w:cs="宋体"/>
                <w:kern w:val="0"/>
                <w:sz w:val="28"/>
                <w:szCs w:val="28"/>
                <w:highlight w:val="none"/>
                <w:lang w:val="en-US" w:eastAsia="zh-CN"/>
              </w:rPr>
              <w:t>离境退税商店</w:t>
            </w:r>
          </w:p>
        </w:tc>
        <w:tc>
          <w:tcPr>
            <w:tcW w:w="890" w:type="dxa"/>
            <w:vAlign w:val="center"/>
          </w:tcPr>
          <w:p w14:paraId="7976D950">
            <w:pPr>
              <w:widowControl/>
              <w:jc w:val="center"/>
              <w:rPr>
                <w:rFonts w:hint="eastAsia"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个</w:t>
            </w:r>
          </w:p>
        </w:tc>
        <w:tc>
          <w:tcPr>
            <w:tcW w:w="1312" w:type="dxa"/>
            <w:vAlign w:val="center"/>
          </w:tcPr>
          <w:p w14:paraId="4F3564DF">
            <w:pPr>
              <w:widowControl/>
              <w:jc w:val="center"/>
              <w:rPr>
                <w:rFonts w:hint="default" w:ascii="仿宋_GB2312" w:hAnsi="宋体" w:eastAsia="仿宋_GB2312" w:cs="宋体"/>
                <w:kern w:val="0"/>
                <w:sz w:val="28"/>
                <w:szCs w:val="28"/>
                <w:highlight w:val="none"/>
                <w:lang w:val="en-US" w:eastAsia="zh-CN"/>
              </w:rPr>
            </w:pPr>
            <w:r>
              <w:rPr>
                <w:rFonts w:hint="eastAsia" w:ascii="仿宋_GB2312" w:hAnsi="宋体" w:eastAsia="仿宋_GB2312" w:cs="宋体"/>
                <w:kern w:val="0"/>
                <w:sz w:val="28"/>
                <w:szCs w:val="28"/>
                <w:highlight w:val="none"/>
                <w:lang w:val="en-US" w:eastAsia="zh-CN"/>
              </w:rPr>
              <w:t>40左右</w:t>
            </w:r>
          </w:p>
        </w:tc>
        <w:tc>
          <w:tcPr>
            <w:tcW w:w="1312" w:type="dxa"/>
            <w:vAlign w:val="center"/>
          </w:tcPr>
          <w:p w14:paraId="2CE3C42D">
            <w:pPr>
              <w:widowControl/>
              <w:jc w:val="center"/>
              <w:rPr>
                <w:rFonts w:hint="eastAsia" w:ascii="仿宋_GB2312" w:hAnsi="宋体" w:eastAsia="仿宋_GB2312" w:cs="宋体"/>
                <w:kern w:val="0"/>
                <w:sz w:val="28"/>
                <w:szCs w:val="28"/>
                <w:highlight w:val="none"/>
              </w:rPr>
            </w:pPr>
            <w:r>
              <w:rPr>
                <w:rFonts w:hint="eastAsia" w:ascii="仿宋_GB2312" w:hAnsi="宋体" w:eastAsia="仿宋_GB2312" w:cs="宋体"/>
                <w:kern w:val="0"/>
                <w:sz w:val="28"/>
                <w:szCs w:val="28"/>
                <w:highlight w:val="none"/>
              </w:rPr>
              <w:t>预期性</w:t>
            </w:r>
          </w:p>
        </w:tc>
      </w:tr>
      <w:tr w14:paraId="4F18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889" w:type="dxa"/>
            <w:vMerge w:val="restart"/>
            <w:vAlign w:val="center"/>
          </w:tcPr>
          <w:p w14:paraId="64A2EE12">
            <w:pPr>
              <w:widowControl/>
              <w:jc w:val="center"/>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体育相关指标</w:t>
            </w:r>
          </w:p>
        </w:tc>
        <w:tc>
          <w:tcPr>
            <w:tcW w:w="699" w:type="dxa"/>
            <w:vAlign w:val="center"/>
          </w:tcPr>
          <w:p w14:paraId="474AAF98">
            <w:pPr>
              <w:widowControl/>
              <w:jc w:val="center"/>
              <w:rPr>
                <w:rFonts w:hint="eastAsia" w:ascii="仿宋_GB2312" w:hAnsi="宋体" w:eastAsia="仿宋_GB2312" w:cs="宋体"/>
                <w:kern w:val="0"/>
                <w:sz w:val="28"/>
                <w:szCs w:val="28"/>
                <w:lang w:eastAsia="zh-CN"/>
              </w:rPr>
            </w:pPr>
            <w:r>
              <w:rPr>
                <w:rFonts w:hint="eastAsia" w:ascii="仿宋_GB2312" w:hAnsi="宋体" w:eastAsia="仿宋_GB2312" w:cs="宋体"/>
                <w:kern w:val="0"/>
                <w:sz w:val="28"/>
                <w:szCs w:val="28"/>
                <w:lang w:val="en-US" w:eastAsia="zh-CN"/>
              </w:rPr>
              <w:t>9</w:t>
            </w:r>
          </w:p>
        </w:tc>
        <w:tc>
          <w:tcPr>
            <w:tcW w:w="4097" w:type="dxa"/>
            <w:vAlign w:val="center"/>
          </w:tcPr>
          <w:p w14:paraId="173F27FF">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lang w:val="en-US" w:eastAsia="zh-CN"/>
              </w:rPr>
              <w:t>新增</w:t>
            </w:r>
            <w:r>
              <w:rPr>
                <w:rFonts w:hint="eastAsia" w:ascii="仿宋_GB2312" w:hAnsi="宋体" w:eastAsia="仿宋_GB2312" w:cs="宋体"/>
                <w:kern w:val="0"/>
                <w:sz w:val="28"/>
                <w:szCs w:val="28"/>
              </w:rPr>
              <w:t>全国高水平电竞赛事</w:t>
            </w:r>
          </w:p>
        </w:tc>
        <w:tc>
          <w:tcPr>
            <w:tcW w:w="890" w:type="dxa"/>
            <w:vAlign w:val="center"/>
          </w:tcPr>
          <w:p w14:paraId="6CEE29F1">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个</w:t>
            </w:r>
          </w:p>
        </w:tc>
        <w:tc>
          <w:tcPr>
            <w:tcW w:w="1312" w:type="dxa"/>
            <w:vAlign w:val="center"/>
          </w:tcPr>
          <w:p w14:paraId="07CBE742">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3左右</w:t>
            </w:r>
          </w:p>
        </w:tc>
        <w:tc>
          <w:tcPr>
            <w:tcW w:w="1312" w:type="dxa"/>
            <w:vAlign w:val="center"/>
          </w:tcPr>
          <w:p w14:paraId="34738740">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预期性</w:t>
            </w:r>
          </w:p>
        </w:tc>
      </w:tr>
      <w:tr w14:paraId="22DF2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89" w:type="dxa"/>
            <w:vMerge w:val="continue"/>
            <w:vAlign w:val="center"/>
          </w:tcPr>
          <w:p w14:paraId="1393F276">
            <w:pPr>
              <w:widowControl/>
              <w:jc w:val="center"/>
              <w:rPr>
                <w:rFonts w:hint="eastAsia" w:ascii="仿宋_GB2312" w:hAnsi="宋体" w:eastAsia="仿宋_GB2312" w:cs="宋体"/>
                <w:kern w:val="0"/>
                <w:sz w:val="28"/>
                <w:szCs w:val="28"/>
                <w:lang w:val="en-US" w:eastAsia="zh-CN"/>
              </w:rPr>
            </w:pPr>
          </w:p>
        </w:tc>
        <w:tc>
          <w:tcPr>
            <w:tcW w:w="699" w:type="dxa"/>
            <w:vAlign w:val="center"/>
          </w:tcPr>
          <w:p w14:paraId="6710E836">
            <w:pPr>
              <w:widowControl/>
              <w:jc w:val="center"/>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10</w:t>
            </w:r>
          </w:p>
        </w:tc>
        <w:tc>
          <w:tcPr>
            <w:tcW w:w="4097" w:type="dxa"/>
            <w:vAlign w:val="center"/>
          </w:tcPr>
          <w:p w14:paraId="0EA94825">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人均体育场地面积</w:t>
            </w:r>
          </w:p>
        </w:tc>
        <w:tc>
          <w:tcPr>
            <w:tcW w:w="890" w:type="dxa"/>
            <w:vAlign w:val="center"/>
          </w:tcPr>
          <w:p w14:paraId="0F4175D5">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m</w:t>
            </w:r>
            <w:r>
              <w:rPr>
                <w:rFonts w:hint="eastAsia" w:ascii="仿宋_GB2312" w:hAnsi="宋体" w:eastAsia="仿宋_GB2312" w:cs="宋体"/>
                <w:kern w:val="0"/>
                <w:sz w:val="28"/>
                <w:szCs w:val="28"/>
                <w:vertAlign w:val="superscript"/>
              </w:rPr>
              <w:t>2</w:t>
            </w:r>
            <w:r>
              <w:rPr>
                <w:rFonts w:hint="eastAsia" w:ascii="仿宋_GB2312" w:hAnsi="宋体" w:eastAsia="仿宋_GB2312" w:cs="宋体"/>
                <w:kern w:val="0"/>
                <w:sz w:val="28"/>
                <w:szCs w:val="28"/>
              </w:rPr>
              <w:t>/人</w:t>
            </w:r>
          </w:p>
        </w:tc>
        <w:tc>
          <w:tcPr>
            <w:tcW w:w="1312" w:type="dxa"/>
            <w:vAlign w:val="center"/>
          </w:tcPr>
          <w:p w14:paraId="5D521D4E">
            <w:pPr>
              <w:widowControl/>
              <w:jc w:val="center"/>
              <w:rPr>
                <w:rFonts w:hint="eastAsia" w:ascii="仿宋_GB2312" w:hAnsi="宋体" w:cs="宋体"/>
                <w:kern w:val="0"/>
                <w:sz w:val="28"/>
                <w:szCs w:val="28"/>
              </w:rPr>
            </w:pPr>
            <w:r>
              <w:rPr>
                <w:rFonts w:hint="eastAsia" w:ascii="仿宋_GB2312" w:hAnsi="宋体" w:eastAsia="仿宋_GB2312" w:cs="宋体"/>
                <w:kern w:val="0"/>
                <w:sz w:val="28"/>
                <w:szCs w:val="28"/>
              </w:rPr>
              <w:t>3左右</w:t>
            </w:r>
          </w:p>
        </w:tc>
        <w:tc>
          <w:tcPr>
            <w:tcW w:w="1312" w:type="dxa"/>
            <w:vAlign w:val="center"/>
          </w:tcPr>
          <w:p w14:paraId="323B2AA1">
            <w:pPr>
              <w:widowControl/>
              <w:jc w:val="center"/>
              <w:rPr>
                <w:rFonts w:hint="eastAsia" w:ascii="仿宋_GB2312" w:hAnsi="宋体" w:eastAsia="仿宋_GB2312" w:cs="宋体"/>
                <w:kern w:val="0"/>
                <w:sz w:val="28"/>
                <w:szCs w:val="28"/>
              </w:rPr>
            </w:pPr>
            <w:r>
              <w:rPr>
                <w:rFonts w:hint="eastAsia" w:ascii="仿宋_GB2312" w:hAnsi="宋体" w:eastAsia="仿宋_GB2312" w:cs="宋体"/>
                <w:kern w:val="0"/>
                <w:sz w:val="28"/>
                <w:szCs w:val="28"/>
              </w:rPr>
              <w:t>预期性</w:t>
            </w:r>
          </w:p>
        </w:tc>
      </w:tr>
      <w:tr w14:paraId="21684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trPr>
        <w:tc>
          <w:tcPr>
            <w:tcW w:w="889" w:type="dxa"/>
            <w:vMerge w:val="continue"/>
            <w:vAlign w:val="center"/>
          </w:tcPr>
          <w:p w14:paraId="39D853C6">
            <w:pPr>
              <w:widowControl/>
              <w:jc w:val="center"/>
              <w:rPr>
                <w:rFonts w:hint="eastAsia" w:ascii="仿宋_GB2312" w:hAnsi="宋体" w:eastAsia="仿宋_GB2312" w:cs="宋体"/>
                <w:kern w:val="0"/>
                <w:sz w:val="28"/>
                <w:szCs w:val="28"/>
                <w:lang w:val="en-US" w:eastAsia="zh-CN"/>
              </w:rPr>
            </w:pPr>
            <w:bookmarkStart w:id="51" w:name="_Toc2826"/>
            <w:bookmarkStart w:id="52" w:name="_Toc17299"/>
            <w:bookmarkStart w:id="53" w:name="_Toc21823"/>
            <w:bookmarkStart w:id="54" w:name="_Toc19593"/>
            <w:bookmarkStart w:id="55" w:name="_Toc16892"/>
          </w:p>
        </w:tc>
        <w:tc>
          <w:tcPr>
            <w:tcW w:w="699" w:type="dxa"/>
            <w:vAlign w:val="center"/>
          </w:tcPr>
          <w:p w14:paraId="7A321EDF">
            <w:pPr>
              <w:widowControl/>
              <w:jc w:val="center"/>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11</w:t>
            </w:r>
          </w:p>
        </w:tc>
        <w:tc>
          <w:tcPr>
            <w:tcW w:w="4097" w:type="dxa"/>
            <w:vAlign w:val="center"/>
          </w:tcPr>
          <w:p w14:paraId="71E0A579">
            <w:pPr>
              <w:widowControl/>
              <w:jc w:val="center"/>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经常参加体育锻炼人数比例</w:t>
            </w:r>
          </w:p>
        </w:tc>
        <w:tc>
          <w:tcPr>
            <w:tcW w:w="890" w:type="dxa"/>
            <w:vAlign w:val="center"/>
          </w:tcPr>
          <w:p w14:paraId="472D3C42">
            <w:pPr>
              <w:widowControl/>
              <w:jc w:val="center"/>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w:t>
            </w:r>
          </w:p>
        </w:tc>
        <w:tc>
          <w:tcPr>
            <w:tcW w:w="1312" w:type="dxa"/>
            <w:vAlign w:val="center"/>
          </w:tcPr>
          <w:p w14:paraId="3C0C0DFA">
            <w:pPr>
              <w:widowControl/>
              <w:jc w:val="center"/>
              <w:rPr>
                <w:rFonts w:hint="default"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55左右</w:t>
            </w:r>
          </w:p>
        </w:tc>
        <w:tc>
          <w:tcPr>
            <w:tcW w:w="1312" w:type="dxa"/>
            <w:vAlign w:val="center"/>
          </w:tcPr>
          <w:p w14:paraId="4DA4D022">
            <w:pPr>
              <w:widowControl/>
              <w:jc w:val="center"/>
              <w:rPr>
                <w:rFonts w:hint="eastAsia" w:ascii="仿宋_GB2312" w:hAnsi="宋体" w:eastAsia="仿宋_GB2312" w:cs="宋体"/>
                <w:kern w:val="0"/>
                <w:sz w:val="28"/>
                <w:szCs w:val="28"/>
                <w:lang w:val="en-US" w:eastAsia="zh-CN"/>
              </w:rPr>
            </w:pPr>
            <w:r>
              <w:rPr>
                <w:rFonts w:hint="eastAsia" w:ascii="仿宋_GB2312" w:hAnsi="宋体" w:eastAsia="仿宋_GB2312" w:cs="宋体"/>
                <w:kern w:val="0"/>
                <w:sz w:val="28"/>
                <w:szCs w:val="28"/>
                <w:lang w:val="en-US" w:eastAsia="zh-CN"/>
              </w:rPr>
              <w:t>预期性</w:t>
            </w:r>
          </w:p>
        </w:tc>
      </w:tr>
    </w:tbl>
    <w:p w14:paraId="67094BFB">
      <w:pPr>
        <w:pStyle w:val="4"/>
        <w:spacing w:before="0" w:after="0" w:line="560" w:lineRule="exact"/>
        <w:ind w:firstLine="640" w:firstLineChars="200"/>
        <w:rPr>
          <w:rFonts w:hint="eastAsia" w:ascii="黑体" w:hAnsi="黑体" w:eastAsia="黑体"/>
          <w:color w:val="auto"/>
          <w:sz w:val="32"/>
          <w:szCs w:val="32"/>
        </w:rPr>
      </w:pPr>
      <w:bookmarkStart w:id="56" w:name="_Toc20954"/>
      <w:bookmarkStart w:id="57" w:name="_Toc3263"/>
      <w:bookmarkStart w:id="58" w:name="_Toc15261"/>
      <w:r>
        <w:rPr>
          <w:rFonts w:hint="eastAsia" w:ascii="黑体" w:hAnsi="黑体" w:eastAsia="黑体"/>
          <w:color w:val="auto"/>
          <w:sz w:val="32"/>
          <w:szCs w:val="32"/>
        </w:rPr>
        <w:t>四、空间布局</w:t>
      </w:r>
      <w:bookmarkEnd w:id="51"/>
      <w:bookmarkEnd w:id="52"/>
      <w:bookmarkEnd w:id="53"/>
      <w:bookmarkEnd w:id="54"/>
      <w:bookmarkEnd w:id="55"/>
      <w:bookmarkEnd w:id="56"/>
      <w:bookmarkEnd w:id="57"/>
      <w:bookmarkEnd w:id="58"/>
    </w:p>
    <w:p w14:paraId="6AB4D2F1">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按照功能提升、重点突破、全域联动的思路，</w:t>
      </w:r>
      <w:bookmarkStart w:id="59" w:name="_Hlk204157607"/>
      <w:r>
        <w:rPr>
          <w:rFonts w:hint="eastAsia" w:ascii="仿宋_GB2312" w:hAnsi="Times New Roman" w:eastAsia="仿宋_GB2312"/>
          <w:sz w:val="32"/>
          <w:szCs w:val="32"/>
        </w:rPr>
        <w:t>形成</w:t>
      </w:r>
      <w:r>
        <w:rPr>
          <w:rFonts w:hint="eastAsia" w:ascii="仿宋_GB2312" w:hAnsi="Times New Roman" w:eastAsia="仿宋_GB2312"/>
          <w:b/>
          <w:bCs/>
          <w:sz w:val="32"/>
          <w:szCs w:val="32"/>
        </w:rPr>
        <w:t>“一带、一轴水陆交织，一区、三镇联动</w:t>
      </w:r>
      <w:r>
        <w:rPr>
          <w:rFonts w:hint="eastAsia" w:ascii="仿宋_GB2312" w:hAnsi="Times New Roman" w:eastAsia="仿宋_GB2312"/>
          <w:b/>
          <w:bCs/>
          <w:sz w:val="32"/>
          <w:szCs w:val="32"/>
          <w:lang w:val="en-US" w:eastAsia="zh-CN"/>
        </w:rPr>
        <w:t>协同，多点支撑、全域发展</w:t>
      </w:r>
      <w:r>
        <w:rPr>
          <w:rFonts w:hint="eastAsia" w:ascii="仿宋_GB2312" w:hAnsi="Times New Roman" w:eastAsia="仿宋_GB2312"/>
          <w:b/>
          <w:bCs/>
          <w:sz w:val="32"/>
          <w:szCs w:val="32"/>
        </w:rPr>
        <w:t>”</w:t>
      </w:r>
      <w:r>
        <w:rPr>
          <w:rFonts w:hint="eastAsia" w:ascii="仿宋_GB2312" w:hAnsi="Times New Roman" w:eastAsia="仿宋_GB2312"/>
          <w:sz w:val="32"/>
          <w:szCs w:val="32"/>
        </w:rPr>
        <w:t>的格局。</w:t>
      </w:r>
      <w:bookmarkEnd w:id="59"/>
    </w:p>
    <w:p w14:paraId="218777ED">
      <w:pPr>
        <w:spacing w:line="560" w:lineRule="exact"/>
        <w:ind w:firstLine="643" w:firstLineChars="200"/>
        <w:rPr>
          <w:rFonts w:ascii="仿宋_GB2312" w:hAnsi="Times New Roman" w:eastAsia="仿宋_GB2312"/>
          <w:sz w:val="32"/>
          <w:szCs w:val="32"/>
        </w:rPr>
      </w:pPr>
      <w:bookmarkStart w:id="60" w:name="_Hlk205564496"/>
      <w:r>
        <w:rPr>
          <w:rFonts w:hint="eastAsia" w:ascii="仿宋_GB2312" w:hAnsi="Times New Roman" w:eastAsia="仿宋_GB2312"/>
          <w:b/>
          <w:bCs/>
          <w:sz w:val="32"/>
          <w:szCs w:val="32"/>
        </w:rPr>
        <w:t>“一带”</w:t>
      </w:r>
      <w:r>
        <w:rPr>
          <w:rFonts w:hint="eastAsia" w:ascii="仿宋_GB2312" w:hAnsi="Times New Roman" w:eastAsia="仿宋_GB2312"/>
          <w:sz w:val="32"/>
          <w:szCs w:val="32"/>
        </w:rPr>
        <w:t>即大运河文化旅游带。依托大运河</w:t>
      </w:r>
      <w:r>
        <w:rPr>
          <w:rFonts w:hint="eastAsia" w:ascii="仿宋_GB2312" w:hAnsi="Times New Roman" w:eastAsia="仿宋_GB2312"/>
          <w:sz w:val="32"/>
          <w:szCs w:val="32"/>
          <w:lang w:val="en-US" w:eastAsia="zh-CN"/>
        </w:rPr>
        <w:t>蓝</w:t>
      </w:r>
      <w:r>
        <w:rPr>
          <w:rFonts w:hint="eastAsia" w:ascii="仿宋_GB2312" w:hAnsi="Times New Roman" w:eastAsia="仿宋_GB2312"/>
          <w:sz w:val="32"/>
          <w:szCs w:val="32"/>
        </w:rPr>
        <w:t>绿基底，深挖文化内涵，串联核心资源，完善文化体验、滨水休闲、夜间经济等多元业态，打造精品游览线路，形成流动的文化地标、宜居的乐活水岸、活力的经济走廊。</w:t>
      </w:r>
    </w:p>
    <w:p w14:paraId="490A1B54">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“一轴”</w:t>
      </w:r>
      <w:r>
        <w:rPr>
          <w:rFonts w:hint="eastAsia" w:ascii="仿宋_GB2312" w:hAnsi="Times New Roman" w:eastAsia="仿宋_GB2312"/>
          <w:sz w:val="32"/>
          <w:szCs w:val="32"/>
        </w:rPr>
        <w:t>即东六环创新发展轴。依托</w:t>
      </w:r>
      <w:r>
        <w:rPr>
          <w:rFonts w:hint="eastAsia" w:ascii="仿宋_GB2312" w:hAnsi="Times New Roman" w:eastAsia="仿宋_GB2312"/>
          <w:sz w:val="32"/>
          <w:szCs w:val="32"/>
          <w:lang w:val="en-US" w:eastAsia="zh-CN"/>
        </w:rPr>
        <w:t>副中心</w:t>
      </w:r>
      <w:r>
        <w:rPr>
          <w:rFonts w:hint="eastAsia" w:ascii="仿宋_GB2312" w:hAnsi="Times New Roman" w:eastAsia="仿宋_GB2312"/>
          <w:sz w:val="32"/>
          <w:szCs w:val="32"/>
        </w:rPr>
        <w:t>六环高线公园高标准</w:t>
      </w:r>
      <w:r>
        <w:rPr>
          <w:rFonts w:hint="eastAsia" w:ascii="仿宋_GB2312" w:hAnsi="Times New Roman" w:eastAsia="仿宋_GB2312"/>
          <w:sz w:val="32"/>
          <w:szCs w:val="32"/>
          <w:lang w:val="en-US" w:eastAsia="zh-CN"/>
        </w:rPr>
        <w:t>规划</w:t>
      </w:r>
      <w:r>
        <w:rPr>
          <w:rFonts w:hint="eastAsia" w:ascii="仿宋_GB2312" w:hAnsi="Times New Roman" w:eastAsia="仿宋_GB2312"/>
          <w:sz w:val="32"/>
          <w:szCs w:val="32"/>
        </w:rPr>
        <w:t>建设，打造连接南北、贯通古今、功能汇聚的高质量发展轴，串联起大运河文化旅游景区、运河商务区、文化旅游区、城市绿心片区、三大特色小镇等重点功能区，融合文化休闲、潮玩消费、体育运动等多重功能。</w:t>
      </w:r>
    </w:p>
    <w:bookmarkEnd w:id="60"/>
    <w:p w14:paraId="61EC67FC">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“一区”</w:t>
      </w:r>
      <w:r>
        <w:rPr>
          <w:rFonts w:hint="eastAsia" w:ascii="仿宋_GB2312" w:hAnsi="Times New Roman" w:eastAsia="仿宋_GB2312"/>
          <w:sz w:val="32"/>
          <w:szCs w:val="32"/>
        </w:rPr>
        <w:t>即文化旅游区。</w:t>
      </w:r>
      <w:bookmarkStart w:id="61" w:name="_Hlk205564550"/>
      <w:r>
        <w:rPr>
          <w:rFonts w:hint="eastAsia" w:ascii="仿宋_GB2312" w:hAnsi="Times New Roman" w:eastAsia="仿宋_GB2312"/>
          <w:sz w:val="32"/>
          <w:szCs w:val="32"/>
        </w:rPr>
        <w:t>以北京环球度假区为核心，</w:t>
      </w:r>
      <w:r>
        <w:rPr>
          <w:rFonts w:hint="eastAsia" w:ascii="仿宋_GB2312" w:eastAsia="仿宋_GB2312"/>
          <w:sz w:val="32"/>
          <w:szCs w:val="32"/>
        </w:rPr>
        <w:t>全力打造高品质世界级旅游目的地。北部产业带不断丰富体验业态，协同</w:t>
      </w:r>
      <w:r>
        <w:rPr>
          <w:rFonts w:hint="eastAsia" w:ascii="仿宋_GB2312" w:hAnsi="Times New Roman" w:eastAsia="仿宋_GB2312"/>
          <w:sz w:val="32"/>
          <w:szCs w:val="32"/>
        </w:rPr>
        <w:t>推进“环球影城×大运河”国际消费体验区建设。南部萧太后河夜经济带依托优质</w:t>
      </w:r>
      <w:r>
        <w:rPr>
          <w:rFonts w:hint="eastAsia" w:ascii="仿宋_GB2312" w:hAnsi="Times New Roman" w:eastAsia="仿宋_GB2312"/>
          <w:sz w:val="32"/>
          <w:szCs w:val="32"/>
          <w:lang w:val="en-US" w:eastAsia="zh-CN"/>
        </w:rPr>
        <w:t>滨水资源</w:t>
      </w:r>
      <w:r>
        <w:rPr>
          <w:rFonts w:hint="eastAsia" w:ascii="仿宋_GB2312" w:hAnsi="Times New Roman" w:eastAsia="仿宋_GB2312"/>
          <w:sz w:val="32"/>
          <w:szCs w:val="32"/>
        </w:rPr>
        <w:t>，</w:t>
      </w:r>
      <w:r>
        <w:rPr>
          <w:rFonts w:hint="eastAsia" w:ascii="仿宋_GB2312" w:eastAsia="仿宋_GB2312"/>
          <w:sz w:val="32"/>
          <w:szCs w:val="32"/>
        </w:rPr>
        <w:t>带动区域文旅消费提质升级</w:t>
      </w:r>
      <w:r>
        <w:rPr>
          <w:rFonts w:hint="eastAsia" w:ascii="仿宋_GB2312" w:hAnsi="Times New Roman" w:eastAsia="仿宋_GB2312"/>
          <w:sz w:val="32"/>
          <w:szCs w:val="32"/>
        </w:rPr>
        <w:t>。同时与邻近城市绿心片区联动，围绕北京艺术中心、北京城市图书馆、北京大运河博物馆</w:t>
      </w:r>
      <w:bookmarkStart w:id="62" w:name="OLE_LINK1"/>
      <w:r>
        <w:rPr>
          <w:rFonts w:hint="eastAsia" w:ascii="仿宋_GB2312" w:hAnsi="Times New Roman" w:eastAsia="仿宋_GB2312"/>
          <w:sz w:val="32"/>
          <w:szCs w:val="32"/>
        </w:rPr>
        <w:t>和北京艺术博物馆</w:t>
      </w:r>
      <w:bookmarkEnd w:id="62"/>
      <w:r>
        <w:rPr>
          <w:rFonts w:hint="eastAsia" w:ascii="仿宋_GB2312" w:hAnsi="Times New Roman" w:eastAsia="仿宋_GB2312"/>
          <w:sz w:val="32"/>
          <w:szCs w:val="32"/>
        </w:rPr>
        <w:t>，持续增强文化设施的辐射力，打造首都当代文化交流与时尚文化展示的窗口。</w:t>
      </w:r>
    </w:p>
    <w:p w14:paraId="4327CCC3">
      <w:pPr>
        <w:spacing w:line="560" w:lineRule="exact"/>
        <w:ind w:firstLine="643" w:firstLineChars="200"/>
        <w:rPr>
          <w:rFonts w:hint="eastAsia" w:ascii="仿宋_GB2312" w:hAnsi="Times New Roman" w:eastAsia="仿宋_GB2312"/>
          <w:sz w:val="32"/>
          <w:szCs w:val="32"/>
          <w:lang w:val="en-US" w:eastAsia="zh-CN"/>
        </w:rPr>
      </w:pPr>
      <w:r>
        <w:rPr>
          <w:rFonts w:hint="eastAsia" w:ascii="仿宋_GB2312" w:hAnsi="Times New Roman" w:eastAsia="仿宋_GB2312"/>
          <w:b/>
          <w:bCs/>
          <w:sz w:val="32"/>
          <w:szCs w:val="32"/>
        </w:rPr>
        <w:t>“三镇”</w:t>
      </w:r>
      <w:r>
        <w:rPr>
          <w:rFonts w:hint="eastAsia" w:ascii="仿宋_GB2312" w:hAnsi="Times New Roman" w:eastAsia="仿宋_GB2312"/>
          <w:sz w:val="32"/>
          <w:szCs w:val="32"/>
        </w:rPr>
        <w:t>即宋庄艺术创意小镇、台湖演艺小镇、张家湾设计小镇。</w:t>
      </w:r>
      <w:bookmarkEnd w:id="61"/>
      <w:r>
        <w:rPr>
          <w:rFonts w:hint="eastAsia" w:ascii="仿宋_GB2312" w:hAnsi="Times New Roman" w:eastAsia="仿宋_GB2312"/>
          <w:b/>
          <w:bCs/>
          <w:sz w:val="32"/>
          <w:szCs w:val="32"/>
        </w:rPr>
        <w:t>宋庄艺术创意小镇</w:t>
      </w:r>
      <w:r>
        <w:rPr>
          <w:rFonts w:hint="eastAsia" w:ascii="仿宋_GB2312" w:hAnsi="Times New Roman" w:eastAsia="仿宋_GB2312"/>
          <w:sz w:val="32"/>
          <w:szCs w:val="32"/>
          <w:lang w:eastAsia="zh-CN"/>
        </w:rPr>
        <w:t>依托</w:t>
      </w:r>
      <w:r>
        <w:rPr>
          <w:rFonts w:hint="eastAsia" w:ascii="仿宋_GB2312" w:hAnsi="Times New Roman" w:eastAsia="仿宋_GB2312"/>
          <w:sz w:val="32"/>
          <w:szCs w:val="32"/>
        </w:rPr>
        <w:t>艺术家集聚优势，围绕原创艺术核心特色，</w:t>
      </w:r>
      <w:r>
        <w:rPr>
          <w:rFonts w:hint="eastAsia" w:ascii="仿宋_GB2312" w:hAnsi="Times New Roman" w:eastAsia="仿宋_GB2312"/>
          <w:sz w:val="32"/>
          <w:szCs w:val="32"/>
          <w:lang w:val="en-US" w:eastAsia="zh-CN"/>
        </w:rPr>
        <w:t>实施“艺术+”跨界融合工程，持续培育新产品、新业态，打造一批</w:t>
      </w:r>
      <w:r>
        <w:rPr>
          <w:rFonts w:hint="eastAsia" w:ascii="仿宋_GB2312" w:hAnsi="Times New Roman" w:eastAsia="仿宋_GB2312"/>
          <w:sz w:val="32"/>
          <w:szCs w:val="32"/>
        </w:rPr>
        <w:t>高品质艺术消费场景</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着力</w:t>
      </w:r>
      <w:r>
        <w:rPr>
          <w:rFonts w:hint="eastAsia" w:ascii="仿宋_GB2312" w:hAnsi="Times New Roman" w:eastAsia="仿宋_GB2312"/>
          <w:sz w:val="32"/>
          <w:szCs w:val="32"/>
          <w:lang w:eastAsia="zh-CN"/>
        </w:rPr>
        <w:t>建设</w:t>
      </w:r>
      <w:r>
        <w:rPr>
          <w:rFonts w:hint="eastAsia" w:ascii="仿宋_GB2312" w:hAnsi="Times New Roman" w:eastAsia="仿宋_GB2312"/>
          <w:sz w:val="32"/>
          <w:szCs w:val="32"/>
        </w:rPr>
        <w:t>艺术创意产业发展高地</w:t>
      </w:r>
      <w:r>
        <w:rPr>
          <w:rFonts w:hint="eastAsia" w:ascii="仿宋_GB2312" w:hAnsi="Times New Roman" w:eastAsia="仿宋_GB2312"/>
          <w:sz w:val="32"/>
          <w:szCs w:val="32"/>
          <w:lang w:eastAsia="zh-CN"/>
        </w:rPr>
        <w:t>。</w:t>
      </w:r>
      <w:r>
        <w:rPr>
          <w:rFonts w:hint="eastAsia" w:ascii="仿宋_GB2312" w:hAnsi="Times New Roman" w:eastAsia="仿宋_GB2312"/>
          <w:b/>
          <w:bCs/>
          <w:sz w:val="32"/>
          <w:szCs w:val="32"/>
          <w:lang w:eastAsia="zh-CN"/>
        </w:rPr>
        <w:t>台湖演艺小镇</w:t>
      </w:r>
      <w:r>
        <w:rPr>
          <w:rFonts w:hint="eastAsia" w:ascii="仿宋_GB2312" w:hAnsi="Times New Roman" w:eastAsia="仿宋_GB2312"/>
          <w:sz w:val="32"/>
          <w:szCs w:val="32"/>
          <w:lang w:val="en-US" w:eastAsia="zh-CN"/>
        </w:rPr>
        <w:t>充分发挥国家大剧院舞美艺术中心与北京交响乐团的引领作用，加速推进“文旅+演艺”产业集聚区建设。</w:t>
      </w:r>
      <w:r>
        <w:rPr>
          <w:rFonts w:hint="eastAsia" w:ascii="仿宋_GB2312" w:hAnsi="Times New Roman" w:eastAsia="仿宋_GB2312" w:cstheme="minorBidi"/>
          <w:sz w:val="32"/>
          <w:szCs w:val="32"/>
          <w:lang w:val="en-US" w:eastAsia="zh-CN"/>
        </w:rPr>
        <w:t>稳步推动北京舞蹈学院通州校区落地实施，</w:t>
      </w:r>
      <w:r>
        <w:rPr>
          <w:rFonts w:hint="eastAsia" w:ascii="仿宋_GB2312" w:hAnsi="Times New Roman" w:eastAsia="仿宋_GB2312"/>
          <w:sz w:val="32"/>
          <w:szCs w:val="32"/>
          <w:lang w:val="en-US" w:eastAsia="zh-CN"/>
        </w:rPr>
        <w:t>加快塑造具有通州特色的演艺文化品牌。</w:t>
      </w:r>
      <w:r>
        <w:rPr>
          <w:rFonts w:hint="eastAsia" w:ascii="仿宋_GB2312" w:hAnsi="Times New Roman" w:eastAsia="仿宋_GB2312"/>
          <w:b/>
          <w:bCs/>
          <w:sz w:val="32"/>
          <w:szCs w:val="32"/>
          <w:lang w:val="en-US" w:eastAsia="zh-CN"/>
        </w:rPr>
        <w:t>张家湾设计小镇</w:t>
      </w:r>
      <w:r>
        <w:rPr>
          <w:rFonts w:hint="eastAsia" w:ascii="仿宋_GB2312" w:hAnsi="Times New Roman" w:eastAsia="仿宋_GB2312"/>
          <w:sz w:val="32"/>
          <w:szCs w:val="32"/>
          <w:lang w:val="en-US" w:eastAsia="zh-CN"/>
        </w:rPr>
        <w:t>以时尚研发、创意设计、时尚智造、文化体验为核心发展方向，持续擦亮“设计之都”品牌名片；有序推进</w:t>
      </w:r>
      <w:r>
        <w:rPr>
          <w:rFonts w:hint="eastAsia" w:ascii="仿宋_GB2312" w:hAnsi="Times New Roman" w:eastAsia="仿宋_GB2312" w:cstheme="minorBidi"/>
          <w:sz w:val="32"/>
          <w:szCs w:val="32"/>
          <w:lang w:val="en-US" w:eastAsia="zh-CN"/>
        </w:rPr>
        <w:t>北京服装学院通州校区建设，着力</w:t>
      </w:r>
      <w:r>
        <w:rPr>
          <w:rFonts w:hint="eastAsia" w:ascii="仿宋_GB2312" w:hAnsi="Times New Roman" w:eastAsia="仿宋_GB2312"/>
          <w:sz w:val="32"/>
          <w:szCs w:val="32"/>
          <w:lang w:val="en-US" w:eastAsia="zh-CN"/>
        </w:rPr>
        <w:t>打造全国时尚产业创新发展策源地与首都时尚潮流新目的地。</w:t>
      </w:r>
    </w:p>
    <w:p w14:paraId="24962E6B">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Times New Roman" w:eastAsia="仿宋_GB2312"/>
          <w:sz w:val="32"/>
          <w:szCs w:val="32"/>
          <w:lang w:val="en-US" w:eastAsia="zh-CN"/>
        </w:rPr>
      </w:pPr>
      <w:r>
        <w:rPr>
          <w:rFonts w:hint="eastAsia" w:ascii="仿宋_GB2312" w:hAnsi="Times New Roman" w:eastAsia="仿宋_GB2312"/>
          <w:b/>
          <w:bCs/>
          <w:sz w:val="32"/>
          <w:szCs w:val="32"/>
          <w:lang w:val="en-US" w:eastAsia="zh-CN"/>
        </w:rPr>
        <w:t>“多点”</w:t>
      </w:r>
      <w:r>
        <w:rPr>
          <w:rFonts w:hint="eastAsia" w:ascii="仿宋_GB2312" w:hAnsi="Times New Roman" w:eastAsia="仿宋_GB2312"/>
          <w:sz w:val="32"/>
          <w:szCs w:val="32"/>
          <w:lang w:val="en-US" w:eastAsia="zh-CN"/>
        </w:rPr>
        <w:t>即重点推进北京环球度假区、北京海昌海洋公园、顶点公园、副中心六环高线公园、路县故城遗址公园、通州古城南大街历史片区、张家湾古镇、中国人民革命军事博物馆通州分馆、北京艺术博物馆、湾里国际商业娱乐综合体、</w:t>
      </w:r>
      <w:r>
        <w:rPr>
          <w:rFonts w:hint="eastAsia" w:ascii="仿宋_GB2312" w:eastAsia="仿宋_GB2312"/>
          <w:sz w:val="32"/>
          <w:szCs w:val="32"/>
        </w:rPr>
        <w:t>D.P.ONE源</w:t>
      </w:r>
      <w:r>
        <w:rPr>
          <w:rFonts w:hint="eastAsia" w:ascii="仿宋_GB2312" w:eastAsia="仿宋_GB2312"/>
          <w:sz w:val="32"/>
          <w:szCs w:val="32"/>
          <w:lang w:eastAsia="zh-CN"/>
        </w:rPr>
        <w:t>·</w:t>
      </w:r>
      <w:r>
        <w:rPr>
          <w:rFonts w:hint="eastAsia" w:ascii="仿宋_GB2312" w:eastAsia="仿宋_GB2312"/>
          <w:sz w:val="32"/>
          <w:szCs w:val="32"/>
        </w:rPr>
        <w:t>心</w:t>
      </w:r>
      <w:r>
        <w:rPr>
          <w:rFonts w:hint="eastAsia" w:ascii="仿宋_GB2312" w:eastAsia="仿宋_GB2312"/>
          <w:sz w:val="32"/>
          <w:szCs w:val="32"/>
          <w:lang w:eastAsia="zh-CN"/>
        </w:rPr>
        <w:t>、</w:t>
      </w:r>
      <w:r>
        <w:rPr>
          <w:rFonts w:hint="eastAsia" w:ascii="仿宋_GB2312" w:hAnsi="Times New Roman" w:eastAsia="仿宋_GB2312"/>
          <w:sz w:val="32"/>
          <w:szCs w:val="32"/>
          <w:lang w:val="en-US" w:eastAsia="zh-CN"/>
        </w:rPr>
        <w:t>星耀中心、</w:t>
      </w:r>
      <w:r>
        <w:rPr>
          <w:rFonts w:hint="eastAsia" w:ascii="仿宋_GB2312" w:hAnsi="Times New Roman" w:eastAsia="仿宋_GB2312"/>
          <w:sz w:val="32"/>
          <w:szCs w:val="32"/>
        </w:rPr>
        <w:t>绿心体育综合体</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北光厂</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同仁堂总部</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第五季农业生态观光园</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花仙子万花园</w:t>
      </w:r>
      <w:r>
        <w:rPr>
          <w:rFonts w:hint="eastAsia" w:ascii="仿宋_GB2312" w:hAnsi="Times New Roman" w:eastAsia="仿宋_GB2312"/>
          <w:sz w:val="32"/>
          <w:szCs w:val="32"/>
          <w:lang w:eastAsia="zh-CN"/>
        </w:rPr>
        <w:t>、</w:t>
      </w:r>
      <w:r>
        <w:rPr>
          <w:rFonts w:hint="eastAsia" w:ascii="仿宋_GB2312" w:hAnsi="Times New Roman" w:eastAsia="仿宋_GB2312"/>
          <w:sz w:val="32"/>
          <w:szCs w:val="32"/>
          <w:lang w:val="en-US" w:eastAsia="zh-CN"/>
        </w:rPr>
        <w:t>北京国际都市农业科技园等重要文旅项目，共同促进通州区全域文旅高质量发展。</w:t>
      </w:r>
    </w:p>
    <w:p w14:paraId="6E0E7448">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hint="eastAsia" w:ascii="仿宋_GB2312" w:hAnsi="Times New Roman" w:eastAsia="仿宋_GB2312"/>
          <w:sz w:val="32"/>
          <w:szCs w:val="32"/>
          <w:lang w:val="en-US" w:eastAsia="zh-CN"/>
        </w:rPr>
      </w:pPr>
      <w:r>
        <w:rPr>
          <w:rFonts w:hint="eastAsia" w:ascii="仿宋_GB2312" w:hAnsi="Times New Roman" w:eastAsia="仿宋_GB2312"/>
          <w:sz w:val="32"/>
          <w:szCs w:val="32"/>
          <w:lang w:val="en-US" w:eastAsia="zh-CN"/>
        </w:rPr>
        <w:drawing>
          <wp:anchor distT="0" distB="0" distL="114300" distR="114300" simplePos="0" relativeHeight="251659264" behindDoc="0" locked="0" layoutInCell="1" allowOverlap="1">
            <wp:simplePos x="0" y="0"/>
            <wp:positionH relativeFrom="column">
              <wp:posOffset>-3175</wp:posOffset>
            </wp:positionH>
            <wp:positionV relativeFrom="paragraph">
              <wp:posOffset>-2828290</wp:posOffset>
            </wp:positionV>
            <wp:extent cx="5257165" cy="7938770"/>
            <wp:effectExtent l="0" t="0" r="635" b="11430"/>
            <wp:wrapTopAndBottom/>
            <wp:docPr id="4" name="图片 4" descr="微信图片_20260513154954_855_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60513154954_855_164"/>
                    <pic:cNvPicPr>
                      <a:picLocks noChangeAspect="1"/>
                    </pic:cNvPicPr>
                  </pic:nvPicPr>
                  <pic:blipFill>
                    <a:blip r:embed="rId6"/>
                    <a:stretch>
                      <a:fillRect/>
                    </a:stretch>
                  </pic:blipFill>
                  <pic:spPr>
                    <a:xfrm>
                      <a:off x="0" y="0"/>
                      <a:ext cx="5257165" cy="7938770"/>
                    </a:xfrm>
                    <a:prstGeom prst="rect">
                      <a:avLst/>
                    </a:prstGeom>
                  </pic:spPr>
                </pic:pic>
              </a:graphicData>
            </a:graphic>
          </wp:anchor>
        </w:drawing>
      </w:r>
    </w:p>
    <w:p w14:paraId="088EDE00">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420" w:firstLineChars="200"/>
        <w:jc w:val="center"/>
        <w:textAlignment w:val="auto"/>
      </w:pPr>
      <w:r>
        <w:br w:type="page"/>
      </w:r>
    </w:p>
    <w:p w14:paraId="0591B238">
      <w:pPr>
        <w:pStyle w:val="3"/>
        <w:keepNext w:val="0"/>
        <w:keepLines w:val="0"/>
        <w:widowControl/>
        <w:spacing w:before="156" w:beforeLines="50" w:after="156" w:afterLines="50" w:line="560" w:lineRule="exact"/>
        <w:jc w:val="center"/>
        <w:rPr>
          <w:rFonts w:hint="eastAsia" w:ascii="黑体" w:hAnsi="黑体" w:eastAsia="黑体"/>
          <w:b/>
          <w:bCs/>
          <w:color w:val="auto"/>
          <w:sz w:val="32"/>
          <w:szCs w:val="32"/>
        </w:rPr>
      </w:pPr>
      <w:bookmarkStart w:id="63" w:name="_Toc11738"/>
      <w:bookmarkStart w:id="64" w:name="_Toc29346"/>
      <w:bookmarkStart w:id="65" w:name="_Toc16876"/>
      <w:bookmarkStart w:id="66" w:name="_Toc10990"/>
      <w:bookmarkStart w:id="67" w:name="_Toc18093"/>
      <w:bookmarkStart w:id="68" w:name="_Toc9194"/>
      <w:bookmarkStart w:id="69" w:name="_Toc22920"/>
      <w:bookmarkStart w:id="70" w:name="_Toc7150"/>
      <w:r>
        <w:rPr>
          <w:rFonts w:hint="eastAsia" w:ascii="黑体" w:hAnsi="黑体" w:eastAsia="黑体"/>
          <w:b/>
          <w:bCs/>
          <w:color w:val="auto"/>
          <w:sz w:val="32"/>
          <w:szCs w:val="32"/>
        </w:rPr>
        <w:t>第三章 以文铸魂，构筑首都文化发展新高地</w:t>
      </w:r>
      <w:bookmarkEnd w:id="63"/>
      <w:bookmarkEnd w:id="64"/>
      <w:bookmarkEnd w:id="65"/>
      <w:bookmarkEnd w:id="66"/>
      <w:bookmarkEnd w:id="67"/>
      <w:bookmarkEnd w:id="68"/>
      <w:bookmarkEnd w:id="69"/>
      <w:bookmarkEnd w:id="70"/>
    </w:p>
    <w:p w14:paraId="21489B0D">
      <w:pPr>
        <w:pStyle w:val="2"/>
        <w:spacing w:after="0" w:line="560" w:lineRule="exact"/>
        <w:ind w:left="0" w:leftChars="0" w:firstLine="640" w:firstLineChars="200"/>
        <w:rPr>
          <w:rFonts w:hint="default" w:ascii="仿宋_GB2312" w:hAnsi="Times New Roman" w:eastAsia="仿宋_GB2312"/>
          <w:sz w:val="32"/>
          <w:szCs w:val="32"/>
          <w:lang w:val="en-US" w:eastAsia="zh-CN"/>
        </w:rPr>
      </w:pPr>
      <w:r>
        <w:rPr>
          <w:rFonts w:hint="eastAsia" w:ascii="仿宋_GB2312" w:hAnsi="Times New Roman" w:eastAsia="仿宋_GB2312"/>
          <w:sz w:val="32"/>
          <w:szCs w:val="32"/>
        </w:rPr>
        <w:t>立足</w:t>
      </w:r>
      <w:r>
        <w:rPr>
          <w:rFonts w:hint="eastAsia" w:ascii="仿宋_GB2312" w:hAnsi="Times New Roman" w:eastAsia="仿宋_GB2312"/>
          <w:sz w:val="32"/>
          <w:szCs w:val="32"/>
          <w:lang w:val="en-US" w:eastAsia="zh-CN"/>
        </w:rPr>
        <w:t>北京</w:t>
      </w:r>
      <w:r>
        <w:rPr>
          <w:rFonts w:hint="eastAsia" w:ascii="仿宋_GB2312" w:hAnsi="Times New Roman" w:eastAsia="仿宋_GB2312"/>
          <w:sz w:val="32"/>
          <w:szCs w:val="32"/>
        </w:rPr>
        <w:t>城市副中心“千年运河”</w:t>
      </w:r>
      <w:r>
        <w:rPr>
          <w:rFonts w:hint="eastAsia" w:ascii="仿宋_GB2312" w:hAnsi="Times New Roman" w:eastAsia="仿宋_GB2312"/>
          <w:sz w:val="32"/>
          <w:szCs w:val="32"/>
          <w:lang w:val="en-US" w:eastAsia="zh-CN"/>
        </w:rPr>
        <w:t>文化品牌，有序推进大运河国家文化公园建设。依托</w:t>
      </w:r>
      <w:r>
        <w:rPr>
          <w:rFonts w:hint="eastAsia" w:ascii="仿宋_GB2312" w:hAnsi="Times New Roman" w:eastAsia="仿宋_GB2312"/>
          <w:sz w:val="32"/>
          <w:szCs w:val="32"/>
        </w:rPr>
        <w:t>宋庄艺术创意小镇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张家湾设计小镇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lang w:val="en-US" w:eastAsia="zh-CN"/>
        </w:rPr>
        <w:t>台湖演艺小镇打造首都当代文化展示新区，推进“博物馆之城”示范片区建设，推动文化产业高质量发展，构筑首都文化发展新高地。</w:t>
      </w:r>
    </w:p>
    <w:p w14:paraId="51B382E1">
      <w:pPr>
        <w:pStyle w:val="4"/>
        <w:spacing w:before="0" w:after="0" w:line="560" w:lineRule="exact"/>
        <w:ind w:left="0" w:leftChars="0" w:firstLine="640" w:firstLineChars="200"/>
        <w:rPr>
          <w:rFonts w:hint="eastAsia" w:ascii="黑体" w:hAnsi="黑体" w:eastAsia="黑体"/>
          <w:color w:val="auto"/>
          <w:sz w:val="32"/>
          <w:szCs w:val="32"/>
        </w:rPr>
      </w:pPr>
      <w:bookmarkStart w:id="71" w:name="_Toc26761"/>
      <w:r>
        <w:rPr>
          <w:rFonts w:hint="eastAsia" w:ascii="黑体" w:hAnsi="黑体" w:eastAsia="黑体" w:cstheme="majorBidi"/>
          <w:color w:val="auto"/>
          <w:kern w:val="2"/>
          <w:sz w:val="32"/>
          <w:szCs w:val="32"/>
          <w:lang w:val="en-US" w:eastAsia="zh-CN" w:bidi="ar-SA"/>
        </w:rPr>
        <w:t>一、</w:t>
      </w:r>
      <w:r>
        <w:rPr>
          <w:rFonts w:hint="eastAsia" w:ascii="黑体" w:hAnsi="黑体" w:eastAsia="黑体"/>
          <w:color w:val="auto"/>
          <w:sz w:val="32"/>
          <w:szCs w:val="32"/>
        </w:rPr>
        <w:t>擦亮千年运河文化品牌</w:t>
      </w:r>
      <w:bookmarkEnd w:id="71"/>
    </w:p>
    <w:p w14:paraId="1CD82016">
      <w:pPr>
        <w:pStyle w:val="2"/>
        <w:numPr>
          <w:ilvl w:val="0"/>
          <w:numId w:val="0"/>
        </w:numPr>
        <w:spacing w:before="0" w:after="0" w:line="560" w:lineRule="exact"/>
        <w:ind w:firstLine="643" w:firstLineChars="200"/>
        <w:rPr>
          <w:rFonts w:hint="eastAsia" w:ascii="仿宋_GB2312" w:hAnsi="Times New Roman" w:eastAsia="仿宋_GB2312" w:cstheme="minorBidi"/>
          <w:kern w:val="2"/>
          <w:sz w:val="32"/>
          <w:szCs w:val="32"/>
          <w:lang w:val="en-US" w:eastAsia="zh-CN" w:bidi="ar"/>
        </w:rPr>
      </w:pPr>
      <w:r>
        <w:rPr>
          <w:rFonts w:hint="eastAsia" w:ascii="仿宋_GB2312" w:hAnsi="Times New Roman" w:eastAsia="仿宋_GB2312"/>
          <w:b/>
          <w:bCs/>
          <w:sz w:val="32"/>
          <w:szCs w:val="32"/>
          <w:lang w:val="en-US" w:eastAsia="zh-CN"/>
        </w:rPr>
        <w:t>系统梳理通州历史文化脉系。</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深入推进中华优秀传统文化传承发展工程，挖掘梳理</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运河漕运文化、古城历史文化、红色革命文化、乡土民俗文化、当代艺术文化</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等</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通州区</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地域特色文化的系统研究</w:t>
      </w:r>
      <w:r>
        <w:rPr>
          <w:rFonts w:hint="eastAsia" w:ascii="仿宋_GB2312" w:hAnsi="仿宋_GB2312" w:eastAsia="仿宋_GB2312" w:cs="仿宋_GB2312"/>
          <w:color w:val="000000" w:themeColor="text1"/>
          <w:sz w:val="32"/>
          <w:szCs w:val="32"/>
          <w:shd w:val="clear" w:color="auto" w:fill="FFFFFF"/>
          <w:lang w:eastAsia="zh-CN"/>
          <w14:textFill>
            <w14:solidFill>
              <w14:schemeClr w14:val="tx1"/>
            </w14:solidFill>
          </w14:textFill>
        </w:rPr>
        <w:t>，</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有序发布</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通州区历史</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文化脉系重要原创性、标志性理论成果，打造具有辨识度的</w:t>
      </w:r>
      <w:r>
        <w:rPr>
          <w:rFonts w:hint="eastAsia" w:ascii="仿宋_GB2312" w:hAnsi="仿宋_GB2312" w:eastAsia="仿宋_GB2312" w:cs="仿宋_GB2312"/>
          <w:color w:val="000000" w:themeColor="text1"/>
          <w:sz w:val="32"/>
          <w:szCs w:val="32"/>
          <w:shd w:val="clear" w:color="auto" w:fill="FFFFFF"/>
          <w:lang w:val="en-US" w:eastAsia="zh-CN"/>
          <w14:textFill>
            <w14:solidFill>
              <w14:schemeClr w14:val="tx1"/>
            </w14:solidFill>
          </w14:textFill>
        </w:rPr>
        <w:t>通州区</w:t>
      </w:r>
      <w:r>
        <w:rPr>
          <w:rFonts w:hint="eastAsia" w:ascii="仿宋_GB2312" w:hAnsi="仿宋_GB2312" w:eastAsia="仿宋_GB2312" w:cs="仿宋_GB2312"/>
          <w:color w:val="000000" w:themeColor="text1"/>
          <w:sz w:val="32"/>
          <w:szCs w:val="32"/>
          <w:shd w:val="clear" w:color="auto" w:fill="FFFFFF"/>
          <w14:textFill>
            <w14:solidFill>
              <w14:schemeClr w14:val="tx1"/>
            </w14:solidFill>
          </w14:textFill>
        </w:rPr>
        <w:t>文化符号和文化形象。</w:t>
      </w:r>
    </w:p>
    <w:p w14:paraId="36A07DB2">
      <w:pPr>
        <w:pStyle w:val="2"/>
        <w:numPr>
          <w:ilvl w:val="0"/>
          <w:numId w:val="0"/>
        </w:numPr>
        <w:spacing w:before="0" w:after="0" w:line="560" w:lineRule="exact"/>
        <w:ind w:firstLine="643" w:firstLineChars="200"/>
        <w:rPr>
          <w:rFonts w:hint="eastAsia" w:ascii="仿宋_GB2312" w:hAnsi="Times New Roman" w:eastAsia="仿宋_GB2312"/>
          <w:sz w:val="32"/>
          <w:szCs w:val="32"/>
          <w:lang w:eastAsia="zh-CN"/>
        </w:rPr>
      </w:pPr>
      <w:r>
        <w:rPr>
          <w:rFonts w:hint="eastAsia" w:ascii="仿宋_GB2312" w:hAnsi="Times New Roman" w:eastAsia="仿宋_GB2312"/>
          <w:b/>
          <w:bCs/>
          <w:sz w:val="32"/>
          <w:szCs w:val="32"/>
        </w:rPr>
        <w:t>推进新时代文艺精品创作</w:t>
      </w:r>
      <w:r>
        <w:rPr>
          <w:rFonts w:hint="eastAsia" w:ascii="仿宋_GB2312" w:hAnsi="Times New Roman" w:eastAsia="仿宋_GB2312"/>
          <w:sz w:val="32"/>
          <w:szCs w:val="32"/>
        </w:rPr>
        <w:t>。</w:t>
      </w:r>
      <w:r>
        <w:rPr>
          <w:rFonts w:hint="eastAsia" w:ascii="仿宋_GB2312" w:hAnsi="仿宋_GB2312" w:eastAsia="仿宋_GB2312" w:cs="仿宋_GB2312"/>
          <w:sz w:val="32"/>
          <w:szCs w:val="32"/>
          <w:shd w:val="clear" w:color="auto" w:fill="FFFFFF"/>
        </w:rPr>
        <w:t>坚持以人民为中心的创作导向，</w:t>
      </w:r>
      <w:r>
        <w:rPr>
          <w:rFonts w:hint="eastAsia" w:ascii="仿宋_GB2312" w:hAnsi="仿宋_GB2312" w:eastAsia="仿宋_GB2312"/>
          <w:sz w:val="32"/>
          <w:szCs w:val="32"/>
        </w:rPr>
        <w:t>围绕新中国成立80周年、中国共产党成立105周年、</w:t>
      </w:r>
      <w:r>
        <w:rPr>
          <w:rFonts w:hint="eastAsia" w:ascii="仿宋_GB2312" w:hAnsi="仿宋_GB2312" w:eastAsia="仿宋_GB2312" w:cs="仿宋_GB2312"/>
          <w:sz w:val="32"/>
          <w:szCs w:val="32"/>
          <w:shd w:val="clear" w:color="auto" w:fill="FFFFFF"/>
        </w:rPr>
        <w:t>中国人民解放军建军100周年、北京城市副中心规划建设10周年等重要时间节点和重点工作安排，加强统筹调度，系统推进优秀文化艺术作品创作。繁荣新大众文艺创作，围绕京津冀协同发展、</w:t>
      </w:r>
      <w:r>
        <w:rPr>
          <w:rFonts w:hint="eastAsia" w:ascii="仿宋_GB2312" w:hAnsi="仿宋_GB2312" w:eastAsia="仿宋_GB2312" w:cs="仿宋_GB2312"/>
          <w:sz w:val="32"/>
          <w:szCs w:val="32"/>
          <w:shd w:val="clear" w:color="auto" w:fill="FFFFFF"/>
          <w:lang w:val="en-US" w:eastAsia="zh-CN"/>
        </w:rPr>
        <w:t>北京</w:t>
      </w:r>
      <w:r>
        <w:rPr>
          <w:rFonts w:hint="eastAsia" w:ascii="仿宋_GB2312" w:hAnsi="仿宋_GB2312" w:eastAsia="仿宋_GB2312" w:cs="仿宋_GB2312"/>
          <w:sz w:val="32"/>
          <w:szCs w:val="32"/>
          <w:shd w:val="clear" w:color="auto" w:fill="FFFFFF"/>
        </w:rPr>
        <w:t>城市副中心高质量发展、大运河国家文化公园等主题，</w:t>
      </w:r>
      <w:r>
        <w:rPr>
          <w:rFonts w:hint="eastAsia" w:ascii="仿宋_GB2312" w:hAnsi="仿宋_GB2312" w:eastAsia="仿宋_GB2312"/>
          <w:sz w:val="32"/>
          <w:szCs w:val="32"/>
        </w:rPr>
        <w:t>推出一批彰显运河文脉、体现</w:t>
      </w:r>
      <w:r>
        <w:rPr>
          <w:rFonts w:hint="eastAsia" w:ascii="仿宋_GB2312" w:hAnsi="仿宋_GB2312" w:eastAsia="仿宋_GB2312"/>
          <w:sz w:val="32"/>
          <w:szCs w:val="32"/>
          <w:lang w:val="en-US" w:eastAsia="zh-CN"/>
        </w:rPr>
        <w:t>北京城市</w:t>
      </w:r>
      <w:r>
        <w:rPr>
          <w:rFonts w:hint="eastAsia" w:ascii="仿宋_GB2312" w:hAnsi="仿宋_GB2312" w:eastAsia="仿宋_GB2312"/>
          <w:sz w:val="32"/>
          <w:szCs w:val="32"/>
        </w:rPr>
        <w:t>副中心</w:t>
      </w:r>
      <w:r>
        <w:rPr>
          <w:rFonts w:hint="eastAsia" w:ascii="仿宋_GB2312" w:hAnsi="仿宋_GB2312" w:eastAsia="仿宋_GB2312"/>
          <w:sz w:val="32"/>
          <w:szCs w:val="32"/>
          <w:lang w:val="en-US" w:eastAsia="zh-CN"/>
        </w:rPr>
        <w:t>特色</w:t>
      </w:r>
      <w:r>
        <w:rPr>
          <w:rFonts w:hint="eastAsia" w:ascii="仿宋_GB2312" w:hAnsi="仿宋_GB2312" w:eastAsia="仿宋_GB2312"/>
          <w:sz w:val="32"/>
          <w:szCs w:val="32"/>
        </w:rPr>
        <w:t>、具有时代感染力的精品力作</w:t>
      </w:r>
      <w:r>
        <w:rPr>
          <w:rFonts w:hint="eastAsia" w:ascii="仿宋_GB2312" w:hAnsi="仿宋_GB2312" w:eastAsia="仿宋_GB2312" w:cs="仿宋_GB2312"/>
          <w:sz w:val="32"/>
          <w:szCs w:val="32"/>
          <w:shd w:val="clear" w:color="auto" w:fill="FFFFFF"/>
        </w:rPr>
        <w:t>。</w:t>
      </w:r>
    </w:p>
    <w:p w14:paraId="2CF71B46">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仿宋_GB2312" w:eastAsia="仿宋_GB2312"/>
          <w:sz w:val="32"/>
          <w:szCs w:val="32"/>
        </w:rPr>
      </w:pPr>
      <w:r>
        <w:rPr>
          <w:rFonts w:hint="eastAsia" w:ascii="仿宋_GB2312" w:hAnsi="Times New Roman" w:eastAsia="仿宋_GB2312"/>
          <w:b/>
          <w:bCs/>
          <w:sz w:val="32"/>
          <w:szCs w:val="32"/>
        </w:rPr>
        <w:t>加强历史文化保护传承。</w:t>
      </w:r>
      <w:r>
        <w:rPr>
          <w:rFonts w:hint="eastAsia" w:ascii="仿宋_GB2312" w:hAnsi="Times New Roman" w:eastAsia="仿宋_GB2312"/>
          <w:sz w:val="32"/>
          <w:szCs w:val="32"/>
        </w:rPr>
        <w:t>以北运河为核心，推进文物古迹、历史街区、非遗民俗等文化遗产的整体性、预防性保护，加强沿线</w:t>
      </w:r>
      <w:r>
        <w:rPr>
          <w:rFonts w:hint="eastAsia" w:ascii="仿宋_GB2312" w:hAnsi="Times New Roman" w:eastAsia="仿宋_GB2312"/>
          <w:sz w:val="32"/>
          <w:szCs w:val="32"/>
          <w:lang w:val="en-US" w:eastAsia="zh-CN"/>
        </w:rPr>
        <w:t>文化</w:t>
      </w:r>
      <w:r>
        <w:rPr>
          <w:rFonts w:hint="eastAsia" w:ascii="仿宋_GB2312" w:hAnsi="Times New Roman" w:eastAsia="仿宋_GB2312"/>
          <w:sz w:val="32"/>
          <w:szCs w:val="32"/>
        </w:rPr>
        <w:t>遗产保护与考古研究，推动通州起义指挥部旧址</w:t>
      </w:r>
      <w:r>
        <w:rPr>
          <w:rFonts w:hint="eastAsia" w:ascii="仿宋_GB2312" w:hAnsi="Times New Roman" w:eastAsia="仿宋_GB2312"/>
          <w:sz w:val="32"/>
          <w:szCs w:val="32"/>
          <w:lang w:val="en-US" w:eastAsia="zh-CN"/>
        </w:rPr>
        <w:t>、</w:t>
      </w:r>
      <w:r>
        <w:rPr>
          <w:rFonts w:hint="eastAsia" w:ascii="仿宋_GB2312" w:hAnsi="Times New Roman" w:eastAsia="仿宋_GB2312"/>
          <w:sz w:val="32"/>
          <w:szCs w:val="32"/>
        </w:rPr>
        <w:t>潞河驿</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程家大院</w:t>
      </w:r>
      <w:r>
        <w:rPr>
          <w:rFonts w:hint="eastAsia" w:ascii="仿宋_GB2312" w:hAnsi="Times New Roman" w:eastAsia="仿宋_GB2312"/>
          <w:sz w:val="32"/>
          <w:szCs w:val="32"/>
          <w:lang w:val="en-US" w:eastAsia="zh-CN"/>
        </w:rPr>
        <w:t>、</w:t>
      </w:r>
      <w:r>
        <w:rPr>
          <w:rFonts w:hint="eastAsia" w:ascii="仿宋_GB2312" w:hAnsi="Times New Roman" w:eastAsia="仿宋_GB2312"/>
          <w:sz w:val="32"/>
          <w:szCs w:val="32"/>
        </w:rPr>
        <w:t>裴家门楼</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后北营裴家三合院等项目建设，加快实现宝通银号和静安寺等具备条件文物建筑的活化利用。深挖张家湾琉球国墓地遗址历史文脉，常态化开展文化交流活动</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实施非遗振兴计划，探索生产性保护路径，活化展示船工号子、面人制作、花丝镶嵌、运河龙灯等非遗项目，开展非物质文化遗产进校园、进社区、进景区活动，培育一批见人见物见生活、可知可感可体验的非遗传承体验中心、非遗工坊、非遗研学实践基地等非遗传承体验新场景。</w:t>
      </w:r>
    </w:p>
    <w:p w14:paraId="2C40D9FC">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Times New Roman" w:eastAsia="仿宋_GB2312"/>
          <w:sz w:val="32"/>
          <w:szCs w:val="32"/>
        </w:rPr>
      </w:pPr>
      <w:r>
        <w:rPr>
          <w:rFonts w:hint="eastAsia" w:ascii="仿宋_GB2312" w:hAnsi="Times New Roman" w:eastAsia="仿宋_GB2312"/>
          <w:b/>
          <w:bCs/>
          <w:sz w:val="32"/>
          <w:szCs w:val="32"/>
        </w:rPr>
        <w:t>深入推进大运河国家文化公园建设。</w:t>
      </w:r>
      <w:r>
        <w:rPr>
          <w:rFonts w:hint="eastAsia" w:ascii="仿宋_GB2312" w:hAnsi="Times New Roman" w:eastAsia="仿宋_GB2312"/>
          <w:sz w:val="32"/>
          <w:szCs w:val="32"/>
        </w:rPr>
        <w:t>以大运河北首盛景为主题，</w:t>
      </w:r>
      <w:r>
        <w:rPr>
          <w:rFonts w:hint="eastAsia" w:ascii="仿宋_GB2312" w:hAnsi="仿宋_GB2312" w:eastAsia="仿宋_GB2312" w:cs="仿宋_GB2312"/>
          <w:sz w:val="32"/>
          <w:szCs w:val="32"/>
        </w:rPr>
        <w:t>以列入世界文化遗产名录的点段为重点，完善管控保护</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、主题展示</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、文旅融合</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、传统利用</w:t>
      </w:r>
      <w:r>
        <w:rPr>
          <w:rFonts w:hint="eastAsia" w:ascii="仿宋_GB2312" w:hAnsi="仿宋_GB2312" w:eastAsia="仿宋_GB2312" w:cs="仿宋_GB2312"/>
          <w:sz w:val="32"/>
          <w:szCs w:val="32"/>
          <w:lang w:val="en-US" w:eastAsia="zh-CN"/>
        </w:rPr>
        <w:t>区</w:t>
      </w:r>
      <w:r>
        <w:rPr>
          <w:rFonts w:hint="eastAsia" w:ascii="仿宋_GB2312" w:hAnsi="仿宋_GB2312" w:eastAsia="仿宋_GB2312" w:cs="仿宋_GB2312"/>
          <w:sz w:val="32"/>
          <w:szCs w:val="32"/>
        </w:rPr>
        <w:t>等主体功能区建设，推进沿岸生态环境治理，打造古今连通、水清岸绿、产业集聚、开放乐享、协同发展的</w:t>
      </w:r>
      <w:r>
        <w:rPr>
          <w:rFonts w:hint="eastAsia" w:ascii="仿宋_GB2312" w:hAnsi="仿宋_GB2312" w:eastAsia="仿宋_GB2312" w:cs="仿宋_GB2312"/>
          <w:sz w:val="32"/>
          <w:szCs w:val="32"/>
          <w:lang w:val="en-US" w:eastAsia="zh-CN"/>
        </w:rPr>
        <w:t>大</w:t>
      </w:r>
      <w:r>
        <w:rPr>
          <w:rFonts w:hint="eastAsia" w:ascii="仿宋_GB2312" w:hAnsi="仿宋_GB2312" w:eastAsia="仿宋_GB2312" w:cs="仿宋_GB2312"/>
          <w:sz w:val="32"/>
          <w:szCs w:val="32"/>
        </w:rPr>
        <w:t>运河文化带。</w:t>
      </w:r>
      <w:r>
        <w:rPr>
          <w:rFonts w:hint="eastAsia" w:ascii="仿宋_GB2312" w:hAnsi="Times New Roman" w:eastAsia="仿宋_GB2312"/>
          <w:sz w:val="32"/>
          <w:szCs w:val="32"/>
        </w:rPr>
        <w:t>推进大运河文化遗产数智化保护开发，建立文化遗产数字档案，建设数字孪生大运河，复原漕运盛景，激活文物活力。深入挖掘通州区“运河北首”</w:t>
      </w:r>
      <w:r>
        <w:rPr>
          <w:rFonts w:hint="eastAsia" w:ascii="仿宋_GB2312" w:hAnsi="Times New Roman" w:eastAsia="仿宋_GB2312"/>
          <w:sz w:val="32"/>
          <w:szCs w:val="32"/>
          <w:lang w:val="en-US" w:eastAsia="zh-CN"/>
        </w:rPr>
        <w:t>独特IP</w:t>
      </w:r>
      <w:r>
        <w:rPr>
          <w:rFonts w:hint="eastAsia" w:ascii="仿宋_GB2312" w:hAnsi="Times New Roman" w:eastAsia="仿宋_GB2312"/>
          <w:sz w:val="32"/>
          <w:szCs w:val="32"/>
        </w:rPr>
        <w:t>，系统梳理“运河北首”历史价值与时代</w:t>
      </w:r>
      <w:r>
        <w:rPr>
          <w:rFonts w:hint="eastAsia" w:ascii="仿宋_GB2312" w:hAnsi="Times New Roman" w:eastAsia="仿宋_GB2312"/>
          <w:sz w:val="32"/>
          <w:szCs w:val="32"/>
          <w:lang w:val="en-US" w:eastAsia="zh-CN"/>
        </w:rPr>
        <w:t>内涵</w:t>
      </w:r>
      <w:r>
        <w:rPr>
          <w:rFonts w:hint="eastAsia" w:ascii="仿宋_GB2312" w:hAnsi="Times New Roman" w:eastAsia="仿宋_GB2312"/>
          <w:sz w:val="32"/>
          <w:szCs w:val="32"/>
        </w:rPr>
        <w:t>。积极申办世界运河大会，深化大运河文化带京杭对话等合作机制，</w:t>
      </w:r>
      <w:r>
        <w:rPr>
          <w:rFonts w:hint="eastAsia" w:ascii="仿宋_GB2312" w:hAnsi="仿宋_GB2312" w:eastAsia="仿宋_GB2312" w:cs="仿宋_GB2312"/>
          <w:sz w:val="32"/>
          <w:szCs w:val="32"/>
        </w:rPr>
        <w:t>健全跨区域文化遗产保护协同联动机制</w:t>
      </w:r>
      <w:r>
        <w:rPr>
          <w:rFonts w:hint="eastAsia" w:ascii="仿宋_GB2312" w:hAnsi="Times New Roman" w:eastAsia="仿宋_GB2312"/>
          <w:sz w:val="32"/>
          <w:szCs w:val="32"/>
        </w:rPr>
        <w:t>。</w:t>
      </w:r>
    </w:p>
    <w:p w14:paraId="70682B11">
      <w:pPr>
        <w:pStyle w:val="4"/>
        <w:spacing w:before="0" w:after="0" w:line="560" w:lineRule="exact"/>
        <w:ind w:firstLine="640" w:firstLineChars="200"/>
        <w:rPr>
          <w:rFonts w:hint="eastAsia" w:ascii="黑体" w:hAnsi="黑体" w:eastAsia="黑体"/>
          <w:color w:val="auto"/>
          <w:sz w:val="32"/>
          <w:szCs w:val="32"/>
        </w:rPr>
      </w:pPr>
      <w:bookmarkStart w:id="72" w:name="_Toc11809"/>
      <w:bookmarkStart w:id="73" w:name="_Toc4200"/>
      <w:bookmarkStart w:id="74" w:name="_Toc3130"/>
      <w:r>
        <w:rPr>
          <w:rFonts w:hint="eastAsia" w:ascii="黑体" w:hAnsi="黑体" w:eastAsia="黑体"/>
          <w:color w:val="auto"/>
          <w:sz w:val="32"/>
          <w:szCs w:val="32"/>
        </w:rPr>
        <w:t>二、打造首都当代文化展示新区</w:t>
      </w:r>
      <w:bookmarkEnd w:id="72"/>
      <w:bookmarkEnd w:id="73"/>
      <w:bookmarkEnd w:id="74"/>
    </w:p>
    <w:p w14:paraId="7DC431F7">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Times New Roman" w:eastAsia="仿宋_GB2312"/>
          <w:sz w:val="32"/>
          <w:szCs w:val="32"/>
        </w:rPr>
      </w:pPr>
      <w:r>
        <w:rPr>
          <w:rFonts w:hint="eastAsia" w:ascii="仿宋_GB2312" w:hAnsi="Times New Roman" w:eastAsia="仿宋_GB2312"/>
          <w:b/>
          <w:bCs/>
          <w:sz w:val="32"/>
          <w:szCs w:val="32"/>
        </w:rPr>
        <w:t>建设艺术创意产业发展高地。</w:t>
      </w:r>
      <w:r>
        <w:rPr>
          <w:rFonts w:hint="eastAsia" w:ascii="仿宋_GB2312" w:hAnsi="Times New Roman" w:eastAsia="仿宋_GB2312"/>
          <w:sz w:val="32"/>
          <w:szCs w:val="32"/>
        </w:rPr>
        <w:t>依托宋庄艺术创意小镇，以原创艺术为核心，以艺术产业为主线，构建创作、展示、交易、孵化、消费全链条生态。</w:t>
      </w:r>
      <w:r>
        <w:rPr>
          <w:rFonts w:hint="eastAsia" w:ascii="仿宋_GB2312" w:hAnsi="Times New Roman" w:eastAsia="仿宋_GB2312"/>
          <w:sz w:val="32"/>
          <w:szCs w:val="32"/>
          <w:lang w:val="en-US" w:eastAsia="zh-CN"/>
        </w:rPr>
        <w:t>实施“艺术+”跨界融合工程，通过</w:t>
      </w:r>
      <w:r>
        <w:rPr>
          <w:rFonts w:hint="eastAsia" w:ascii="仿宋_GB2312" w:hAnsi="Times New Roman" w:eastAsia="仿宋_GB2312"/>
          <w:sz w:val="32"/>
          <w:szCs w:val="32"/>
        </w:rPr>
        <w:t>艺术与</w:t>
      </w:r>
      <w:r>
        <w:rPr>
          <w:rFonts w:hint="eastAsia" w:ascii="仿宋_GB2312" w:hAnsi="Times New Roman" w:eastAsia="仿宋_GB2312"/>
          <w:sz w:val="32"/>
          <w:szCs w:val="32"/>
          <w:lang w:val="en-US" w:eastAsia="zh-CN"/>
        </w:rPr>
        <w:t>商业休闲、</w:t>
      </w:r>
      <w:r>
        <w:rPr>
          <w:rFonts w:hint="eastAsia" w:ascii="仿宋_GB2312" w:hAnsi="Times New Roman" w:eastAsia="仿宋_GB2312"/>
          <w:sz w:val="32"/>
          <w:szCs w:val="32"/>
        </w:rPr>
        <w:t>数字科技、版权交易、文旅体验深度融合，培育数字艺术、沉浸式展演、艺术品电商等新业态。完善青年艺术家孵化与驻留机制，集聚全球艺术人才，壮大美术馆集群、艺术家工作室</w:t>
      </w:r>
      <w:r>
        <w:rPr>
          <w:rFonts w:hint="eastAsia" w:ascii="仿宋_GB2312" w:hAnsi="Times New Roman" w:eastAsia="仿宋_GB2312"/>
          <w:sz w:val="32"/>
          <w:szCs w:val="32"/>
          <w:lang w:val="en-US" w:eastAsia="zh-CN"/>
        </w:rPr>
        <w:t>等</w:t>
      </w:r>
      <w:r>
        <w:rPr>
          <w:rFonts w:hint="eastAsia" w:ascii="仿宋_GB2312" w:hAnsi="Times New Roman" w:eastAsia="仿宋_GB2312"/>
          <w:sz w:val="32"/>
          <w:szCs w:val="32"/>
        </w:rPr>
        <w:t>专业机构</w:t>
      </w:r>
      <w:r>
        <w:rPr>
          <w:rFonts w:hint="eastAsia" w:ascii="仿宋_GB2312" w:hAnsi="Times New Roman" w:eastAsia="仿宋_GB2312"/>
          <w:sz w:val="32"/>
          <w:szCs w:val="32"/>
          <w:lang w:val="en-US" w:eastAsia="zh-CN"/>
        </w:rPr>
        <w:t>规模</w:t>
      </w:r>
      <w:r>
        <w:rPr>
          <w:rFonts w:hint="eastAsia" w:ascii="仿宋_GB2312" w:hAnsi="Times New Roman" w:eastAsia="仿宋_GB2312"/>
          <w:sz w:val="32"/>
          <w:szCs w:val="32"/>
        </w:rPr>
        <w:t>。</w:t>
      </w:r>
      <w:r>
        <w:rPr>
          <w:rFonts w:hint="eastAsia" w:ascii="仿宋_GB2312" w:hAnsi="Times New Roman" w:eastAsia="仿宋_GB2312"/>
          <w:sz w:val="32"/>
          <w:szCs w:val="32"/>
          <w:lang w:val="en-US" w:eastAsia="zh-CN"/>
        </w:rPr>
        <w:t>有序推动小镇风貌改造提升，</w:t>
      </w:r>
      <w:r>
        <w:rPr>
          <w:rFonts w:hint="eastAsia" w:ascii="仿宋_GB2312" w:hAnsi="Times New Roman" w:eastAsia="仿宋_GB2312"/>
          <w:sz w:val="32"/>
          <w:szCs w:val="32"/>
        </w:rPr>
        <w:t>高标准建设艺术公共空间与特色街区，高水平运营青年艺术家工坊、</w:t>
      </w:r>
      <w:r>
        <w:rPr>
          <w:rFonts w:ascii="Times New Roman" w:hAnsi="Times New Roman" w:eastAsia="仿宋_GB2312" w:cs="Times New Roman"/>
          <w:sz w:val="32"/>
          <w:szCs w:val="32"/>
        </w:rPr>
        <w:t>首开宋庄Long街</w:t>
      </w:r>
      <w:r>
        <w:rPr>
          <w:rFonts w:hint="eastAsia" w:ascii="仿宋_GB2312" w:hAnsi="Times New Roman" w:eastAsia="仿宋_GB2312"/>
          <w:sz w:val="32"/>
          <w:szCs w:val="32"/>
        </w:rPr>
        <w:t>，打造高品质艺术消费场景。</w:t>
      </w:r>
      <w:r>
        <w:rPr>
          <w:rFonts w:hint="eastAsia" w:ascii="仿宋_GB2312" w:hAnsi="Times New Roman" w:eastAsia="仿宋_GB2312" w:cstheme="minorBidi"/>
          <w:sz w:val="32"/>
          <w:szCs w:val="32"/>
          <w:lang w:val="en-US" w:eastAsia="zh-CN"/>
        </w:rPr>
        <w:t>全面</w:t>
      </w:r>
      <w:r>
        <w:rPr>
          <w:rFonts w:hint="eastAsia" w:ascii="仿宋_GB2312" w:hAnsi="Times New Roman" w:eastAsia="仿宋_GB2312"/>
          <w:sz w:val="32"/>
          <w:szCs w:val="32"/>
        </w:rPr>
        <w:t>提升“中国・宋庄”品牌全球影响力。</w:t>
      </w:r>
      <w:r>
        <w:rPr>
          <w:rFonts w:hint="eastAsia" w:ascii="仿宋_GB2312" w:hAnsi="Times New Roman" w:eastAsia="仿宋_GB2312"/>
          <w:sz w:val="32"/>
          <w:szCs w:val="32"/>
          <w:lang w:val="en-US" w:eastAsia="zh-CN"/>
        </w:rPr>
        <w:t>积极推动</w:t>
      </w:r>
      <w:r>
        <w:rPr>
          <w:rFonts w:hint="eastAsia" w:ascii="仿宋_GB2312" w:hAnsi="Times New Roman" w:eastAsia="仿宋_GB2312"/>
          <w:sz w:val="32"/>
          <w:szCs w:val="32"/>
        </w:rPr>
        <w:t>宋庄艺术创意小镇</w:t>
      </w:r>
      <w:r>
        <w:rPr>
          <w:rFonts w:hint="eastAsia" w:ascii="仿宋_GB2312" w:hAnsi="Times New Roman" w:eastAsia="仿宋_GB2312"/>
          <w:sz w:val="32"/>
          <w:szCs w:val="32"/>
          <w:lang w:val="en-US" w:eastAsia="zh-CN"/>
        </w:rPr>
        <w:t>创建国家4A级旅游景区。</w:t>
      </w:r>
    </w:p>
    <w:p w14:paraId="6ABDBE20">
      <w:pPr>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sz w:val="32"/>
          <w:szCs w:val="32"/>
        </w:rPr>
      </w:pPr>
      <w:r>
        <w:rPr>
          <w:rFonts w:hint="eastAsia" w:ascii="仿宋_GB2312" w:hAnsi="Times New Roman" w:eastAsia="仿宋_GB2312"/>
          <w:b/>
          <w:bCs/>
          <w:sz w:val="32"/>
          <w:szCs w:val="32"/>
        </w:rPr>
        <w:t>建设首都时尚潮流新目的地。</w:t>
      </w:r>
      <w:r>
        <w:rPr>
          <w:rFonts w:hint="eastAsia" w:ascii="仿宋_GB2312" w:hAnsi="Times New Roman" w:eastAsia="仿宋_GB2312"/>
          <w:sz w:val="32"/>
          <w:szCs w:val="32"/>
        </w:rPr>
        <w:t>张家湾设计小镇以时尚研发、创意设计、时尚智造、文化体验为核心方向，</w:t>
      </w:r>
      <w:r>
        <w:rPr>
          <w:rFonts w:hint="eastAsia" w:ascii="仿宋_GB2312" w:hAnsi="Times New Roman" w:eastAsia="仿宋_GB2312" w:cstheme="minorBidi"/>
          <w:sz w:val="32"/>
          <w:szCs w:val="32"/>
          <w:lang w:val="en-US" w:eastAsia="zh-CN"/>
        </w:rPr>
        <w:t>不断</w:t>
      </w:r>
      <w:r>
        <w:rPr>
          <w:rFonts w:hint="eastAsia" w:ascii="仿宋_GB2312" w:hAnsi="Times New Roman" w:eastAsia="仿宋_GB2312"/>
          <w:sz w:val="32"/>
          <w:szCs w:val="32"/>
        </w:rPr>
        <w:t>集聚国内外顶尖设计机构、时尚品牌、青年创意人才，建设数字虚拟秀场、时尚策展场景等沉浸式体验场景，打造全国时尚产业创新发展策源地。</w:t>
      </w:r>
      <w:r>
        <w:rPr>
          <w:rFonts w:hint="eastAsia" w:ascii="仿宋_GB2312" w:hAnsi="Times New Roman" w:eastAsia="仿宋_GB2312"/>
          <w:sz w:val="32"/>
          <w:szCs w:val="32"/>
          <w:lang w:val="en-US" w:eastAsia="zh-CN"/>
        </w:rPr>
        <w:t>有序推进</w:t>
      </w:r>
      <w:r>
        <w:rPr>
          <w:rFonts w:hint="eastAsia" w:ascii="仿宋_GB2312" w:hAnsi="Times New Roman" w:eastAsia="仿宋_GB2312"/>
          <w:sz w:val="32"/>
          <w:szCs w:val="32"/>
        </w:rPr>
        <w:t>张家湾古镇</w:t>
      </w:r>
      <w:r>
        <w:rPr>
          <w:rFonts w:hint="eastAsia" w:ascii="仿宋_GB2312" w:hAnsi="Times New Roman" w:eastAsia="仿宋_GB2312"/>
          <w:sz w:val="32"/>
          <w:szCs w:val="32"/>
          <w:lang w:eastAsia="zh-CN"/>
        </w:rPr>
        <w:t>、</w:t>
      </w:r>
      <w:r>
        <w:rPr>
          <w:rFonts w:hint="eastAsia" w:ascii="仿宋_GB2312" w:hAnsi="Times New Roman" w:eastAsia="仿宋_GB2312" w:cstheme="minorBidi"/>
          <w:sz w:val="32"/>
          <w:szCs w:val="32"/>
          <w:lang w:val="en-US" w:eastAsia="zh-CN"/>
        </w:rPr>
        <w:t>北京服装学院通州校区建设</w:t>
      </w:r>
      <w:r>
        <w:rPr>
          <w:rFonts w:hint="eastAsia" w:ascii="仿宋_GB2312" w:hAnsi="Times New Roman" w:eastAsia="仿宋_GB2312"/>
          <w:sz w:val="32"/>
          <w:szCs w:val="32"/>
        </w:rPr>
        <w:t>，</w:t>
      </w:r>
      <w:r>
        <w:rPr>
          <w:rFonts w:hint="eastAsia" w:ascii="仿宋_GB2312" w:hAnsi="Times New Roman" w:eastAsia="仿宋_GB2312"/>
          <w:sz w:val="32"/>
          <w:szCs w:val="32"/>
          <w:lang w:val="en-US" w:eastAsia="zh-CN"/>
        </w:rPr>
        <w:t>稳步</w:t>
      </w:r>
      <w:r>
        <w:rPr>
          <w:rFonts w:hint="eastAsia" w:ascii="仿宋_GB2312" w:hAnsi="Times New Roman" w:eastAsia="仿宋_GB2312" w:cstheme="minorBidi"/>
          <w:sz w:val="32"/>
          <w:szCs w:val="32"/>
        </w:rPr>
        <w:t>升级</w:t>
      </w:r>
      <w:r>
        <w:rPr>
          <w:rFonts w:hint="eastAsia" w:ascii="仿宋_GB2312" w:hAnsi="Times New Roman" w:eastAsia="仿宋_GB2312" w:cstheme="minorBidi"/>
          <w:b w:val="0"/>
          <w:bCs w:val="0"/>
          <w:sz w:val="32"/>
          <w:szCs w:val="32"/>
        </w:rPr>
        <w:t>中关村未来设计产业园</w:t>
      </w:r>
      <w:r>
        <w:rPr>
          <w:rFonts w:hint="eastAsia" w:ascii="仿宋_GB2312" w:hAnsi="Times New Roman" w:eastAsia="仿宋_GB2312" w:cstheme="minorBidi"/>
          <w:b w:val="0"/>
          <w:bCs w:val="0"/>
          <w:sz w:val="32"/>
          <w:szCs w:val="32"/>
          <w:lang w:eastAsia="zh-CN"/>
        </w:rPr>
        <w:t>。</w:t>
      </w:r>
      <w:r>
        <w:rPr>
          <w:rFonts w:hint="eastAsia" w:ascii="仿宋_GB2312" w:hAnsi="Times New Roman" w:eastAsia="仿宋_GB2312" w:cstheme="minorBidi"/>
          <w:sz w:val="32"/>
          <w:szCs w:val="32"/>
        </w:rPr>
        <w:t>建立校地联席会议、需求清单制度，实现“订单式研发”</w:t>
      </w:r>
      <w:r>
        <w:rPr>
          <w:rFonts w:hint="eastAsia" w:ascii="仿宋_GB2312" w:hAnsi="Times New Roman" w:eastAsia="仿宋_GB2312" w:cstheme="minorBidi"/>
          <w:sz w:val="32"/>
          <w:szCs w:val="32"/>
          <w:lang w:eastAsia="zh-CN"/>
        </w:rPr>
        <w:t>，</w:t>
      </w:r>
      <w:r>
        <w:rPr>
          <w:rFonts w:hint="eastAsia" w:ascii="仿宋_GB2312" w:hAnsi="Times New Roman" w:eastAsia="仿宋_GB2312" w:cstheme="minorBidi"/>
          <w:sz w:val="32"/>
          <w:szCs w:val="32"/>
        </w:rPr>
        <w:t>支持师生成果在</w:t>
      </w:r>
      <w:r>
        <w:rPr>
          <w:rFonts w:hint="eastAsia" w:ascii="仿宋_GB2312" w:hAnsi="Times New Roman" w:eastAsia="仿宋_GB2312" w:cstheme="minorBidi"/>
          <w:sz w:val="32"/>
          <w:szCs w:val="32"/>
          <w:lang w:val="en-US" w:eastAsia="zh-CN"/>
        </w:rPr>
        <w:t>通州</w:t>
      </w:r>
      <w:r>
        <w:rPr>
          <w:rFonts w:hint="eastAsia" w:ascii="仿宋_GB2312" w:hAnsi="Times New Roman" w:eastAsia="仿宋_GB2312" w:cstheme="minorBidi"/>
          <w:sz w:val="32"/>
          <w:szCs w:val="32"/>
        </w:rPr>
        <w:t>转化</w:t>
      </w:r>
      <w:r>
        <w:rPr>
          <w:rFonts w:hint="eastAsia" w:ascii="仿宋_GB2312" w:hAnsi="Times New Roman" w:eastAsia="仿宋_GB2312" w:cstheme="minorBidi"/>
          <w:sz w:val="32"/>
          <w:szCs w:val="32"/>
          <w:lang w:eastAsia="zh-CN"/>
        </w:rPr>
        <w:t>。</w:t>
      </w:r>
      <w:r>
        <w:rPr>
          <w:rFonts w:hint="eastAsia" w:ascii="仿宋_GB2312" w:hAnsi="Times New Roman" w:eastAsia="仿宋_GB2312"/>
          <w:sz w:val="32"/>
          <w:szCs w:val="32"/>
        </w:rPr>
        <w:t>积极引进国际</w:t>
      </w:r>
      <w:r>
        <w:rPr>
          <w:rFonts w:hint="eastAsia" w:ascii="仿宋_GB2312" w:hAnsi="Times New Roman" w:eastAsia="仿宋_GB2312"/>
          <w:sz w:val="32"/>
          <w:szCs w:val="32"/>
          <w:lang w:val="en-US" w:eastAsia="zh-CN"/>
        </w:rPr>
        <w:t>知名</w:t>
      </w:r>
      <w:r>
        <w:rPr>
          <w:rFonts w:hint="eastAsia" w:ascii="仿宋_GB2312" w:hAnsi="Times New Roman" w:eastAsia="仿宋_GB2312"/>
          <w:sz w:val="32"/>
          <w:szCs w:val="32"/>
        </w:rPr>
        <w:t>时尚品牌活动，提升北京国际设计周、北京时装周、</w:t>
      </w:r>
      <w:r>
        <w:rPr>
          <w:rFonts w:hint="eastAsia" w:ascii="仿宋_GB2312" w:hAnsi="Times New Roman" w:eastAsia="仿宋_GB2312"/>
          <w:sz w:val="32"/>
          <w:szCs w:val="32"/>
          <w:lang w:val="en-US" w:eastAsia="zh-CN"/>
        </w:rPr>
        <w:t>张家湾时尚缤纷节、</w:t>
      </w:r>
      <w:r>
        <w:rPr>
          <w:rFonts w:hint="eastAsia" w:ascii="仿宋_GB2312" w:hAnsi="Times New Roman" w:eastAsia="仿宋_GB2312"/>
          <w:sz w:val="32"/>
          <w:szCs w:val="32"/>
        </w:rPr>
        <w:t>北京城市建筑双年展等品牌活动影响力，持续办好“运河文化时尚大赏”等系列运河时尚文化品牌活动。</w:t>
      </w:r>
    </w:p>
    <w:p w14:paraId="17B75C17">
      <w:pPr>
        <w:pStyle w:val="2"/>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Times New Roman" w:eastAsia="仿宋_GB2312"/>
          <w:sz w:val="32"/>
          <w:szCs w:val="32"/>
        </w:rPr>
      </w:pPr>
      <w:r>
        <w:rPr>
          <w:rFonts w:hint="eastAsia" w:ascii="仿宋_GB2312" w:hAnsi="Times New Roman" w:eastAsia="仿宋_GB2312"/>
          <w:b/>
          <w:bCs/>
          <w:sz w:val="32"/>
          <w:szCs w:val="32"/>
        </w:rPr>
        <w:t>塑造北京特色演艺文化品牌。</w:t>
      </w:r>
      <w:r>
        <w:rPr>
          <w:rFonts w:hint="eastAsia" w:ascii="仿宋_GB2312" w:hAnsi="Times New Roman" w:eastAsia="仿宋_GB2312"/>
          <w:sz w:val="32"/>
          <w:szCs w:val="32"/>
        </w:rPr>
        <w:t>以台湖演艺小镇为核心引擎，提质升级国家大剧院舞美基地、台湖剧场群等核心载体，打造集原创孵化、舞美智造、精品展演于一体的演艺产业集聚区。高标准推进台湖图书城、北京交响乐团永久团址改造使用。发挥国家大剧院舞美艺术中心和北京交响乐团的引领作用，培育和建设更多“小而精、特而美”的演艺新空间</w:t>
      </w:r>
      <w:r>
        <w:rPr>
          <w:rFonts w:hint="eastAsia" w:ascii="仿宋_GB2312" w:hAnsi="Times New Roman" w:eastAsia="仿宋_GB2312"/>
          <w:sz w:val="32"/>
          <w:szCs w:val="32"/>
          <w:lang w:eastAsia="zh-CN"/>
        </w:rPr>
        <w:t>。</w:t>
      </w:r>
      <w:r>
        <w:rPr>
          <w:rFonts w:hint="eastAsia" w:ascii="仿宋_GB2312" w:hAnsi="Times New Roman" w:eastAsia="仿宋_GB2312" w:cstheme="minorBidi"/>
          <w:sz w:val="32"/>
          <w:szCs w:val="32"/>
        </w:rPr>
        <w:t>稳步推进北京舞蹈学院通州校区建设，引导师生参与</w:t>
      </w:r>
      <w:r>
        <w:rPr>
          <w:rFonts w:hint="eastAsia" w:ascii="仿宋_GB2312" w:hAnsi="Times New Roman" w:eastAsia="仿宋_GB2312" w:cstheme="minorBidi"/>
          <w:sz w:val="32"/>
          <w:szCs w:val="32"/>
          <w:lang w:val="en-US" w:eastAsia="zh-CN"/>
        </w:rPr>
        <w:t>通州区各类</w:t>
      </w:r>
      <w:r>
        <w:rPr>
          <w:rFonts w:hint="eastAsia" w:ascii="仿宋_GB2312" w:hAnsi="Times New Roman" w:eastAsia="仿宋_GB2312" w:cstheme="minorBidi"/>
          <w:sz w:val="32"/>
          <w:szCs w:val="32"/>
        </w:rPr>
        <w:t>演艺活动，深化校地协同，推动产学研有机融合。</w:t>
      </w:r>
      <w:r>
        <w:rPr>
          <w:rFonts w:hint="eastAsia" w:ascii="仿宋_GB2312" w:hAnsi="Times New Roman" w:eastAsia="仿宋_GB2312" w:cstheme="minorBidi"/>
          <w:sz w:val="32"/>
          <w:szCs w:val="32"/>
          <w:lang w:val="en-US" w:eastAsia="zh-CN"/>
        </w:rPr>
        <w:t>持续</w:t>
      </w:r>
      <w:r>
        <w:rPr>
          <w:rFonts w:hint="eastAsia" w:ascii="仿宋_GB2312" w:hAnsi="Times New Roman" w:eastAsia="仿宋_GB2312"/>
          <w:sz w:val="32"/>
          <w:szCs w:val="32"/>
          <w:highlight w:val="none"/>
        </w:rPr>
        <w:t>办好“台湖星期音乐会”“台湖爵士音乐节”“台湖舞美国际论坛”“北京（台湖）影偶艺术周”等品牌活动，组织更多首发首演活动。</w:t>
      </w:r>
      <w:r>
        <w:rPr>
          <w:rFonts w:hint="eastAsia" w:ascii="仿宋_GB2312" w:hAnsi="Times New Roman" w:eastAsia="仿宋_GB2312"/>
          <w:sz w:val="32"/>
          <w:szCs w:val="32"/>
        </w:rPr>
        <w:t>高标准建设大运河音乐节场地。强化品牌运营与国际交流，吸引更多国内外优秀剧目展演的首演、首秀</w:t>
      </w:r>
      <w:r>
        <w:rPr>
          <w:rFonts w:hint="eastAsia" w:ascii="仿宋_GB2312" w:hAnsi="Times New Roman" w:eastAsia="仿宋_GB2312"/>
          <w:sz w:val="32"/>
          <w:szCs w:val="32"/>
          <w:lang w:eastAsia="zh-CN"/>
        </w:rPr>
        <w:t>活动</w:t>
      </w:r>
      <w:r>
        <w:rPr>
          <w:rFonts w:hint="eastAsia" w:ascii="仿宋_GB2312" w:hAnsi="Times New Roman" w:eastAsia="仿宋_GB2312"/>
          <w:sz w:val="32"/>
          <w:szCs w:val="32"/>
        </w:rPr>
        <w:t>，打造“大戏看北京，演艺看台湖”的文化</w:t>
      </w:r>
      <w:r>
        <w:rPr>
          <w:rFonts w:hint="eastAsia" w:ascii="仿宋_GB2312" w:hAnsi="Times New Roman" w:eastAsia="仿宋_GB2312"/>
          <w:sz w:val="32"/>
          <w:szCs w:val="32"/>
          <w:lang w:val="en-US" w:eastAsia="zh-CN"/>
        </w:rPr>
        <w:t>时尚</w:t>
      </w:r>
      <w:r>
        <w:rPr>
          <w:rFonts w:hint="eastAsia" w:ascii="仿宋_GB2312" w:hAnsi="Times New Roman" w:eastAsia="仿宋_GB2312"/>
          <w:sz w:val="32"/>
          <w:szCs w:val="32"/>
        </w:rPr>
        <w:t>新地标。</w:t>
      </w:r>
    </w:p>
    <w:p w14:paraId="6FE018EF">
      <w:pPr>
        <w:spacing w:line="56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 xml:space="preserve">表3-1 </w:t>
      </w:r>
      <w:r>
        <w:rPr>
          <w:rFonts w:hint="eastAsia" w:ascii="仿宋_GB2312" w:hAnsi="Times New Roman" w:eastAsia="仿宋_GB2312"/>
          <w:b/>
          <w:bCs/>
          <w:color w:val="auto"/>
          <w:sz w:val="28"/>
          <w:szCs w:val="28"/>
        </w:rPr>
        <w:t>打造首都当代文化展示新区</w:t>
      </w:r>
      <w:r>
        <w:rPr>
          <w:rFonts w:hint="eastAsia" w:ascii="仿宋_GB2312" w:hAnsi="Times New Roman" w:eastAsia="仿宋_GB2312"/>
          <w:b/>
          <w:bCs/>
          <w:sz w:val="28"/>
          <w:szCs w:val="28"/>
        </w:rPr>
        <w:t>重点项目</w:t>
      </w:r>
    </w:p>
    <w:tbl>
      <w:tblPr>
        <w:tblStyle w:val="11"/>
        <w:tblW w:w="8680" w:type="dxa"/>
        <w:tblInd w:w="0" w:type="dxa"/>
        <w:tblLayout w:type="autofit"/>
        <w:tblCellMar>
          <w:top w:w="0" w:type="dxa"/>
          <w:left w:w="108" w:type="dxa"/>
          <w:bottom w:w="0" w:type="dxa"/>
          <w:right w:w="108" w:type="dxa"/>
        </w:tblCellMar>
      </w:tblPr>
      <w:tblGrid>
        <w:gridCol w:w="2540"/>
        <w:gridCol w:w="6140"/>
      </w:tblGrid>
      <w:tr w14:paraId="24158AD0">
        <w:tblPrEx>
          <w:tblCellMar>
            <w:top w:w="0" w:type="dxa"/>
            <w:left w:w="108" w:type="dxa"/>
            <w:bottom w:w="0" w:type="dxa"/>
            <w:right w:w="108" w:type="dxa"/>
          </w:tblCellMar>
        </w:tblPrEx>
        <w:trPr>
          <w:trHeight w:val="405" w:hRule="atLeast"/>
        </w:trPr>
        <w:tc>
          <w:tcPr>
            <w:tcW w:w="2540" w:type="dxa"/>
            <w:tcBorders>
              <w:top w:val="single" w:color="auto" w:sz="4" w:space="0"/>
              <w:left w:val="single" w:color="auto" w:sz="4" w:space="0"/>
              <w:bottom w:val="single" w:color="auto" w:sz="4" w:space="0"/>
              <w:right w:val="single" w:color="auto" w:sz="4" w:space="0"/>
            </w:tcBorders>
            <w:noWrap/>
            <w:vAlign w:val="center"/>
          </w:tcPr>
          <w:p w14:paraId="301179B1">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项目名称</w:t>
            </w:r>
          </w:p>
        </w:tc>
        <w:tc>
          <w:tcPr>
            <w:tcW w:w="6140" w:type="dxa"/>
            <w:tcBorders>
              <w:top w:val="single" w:color="auto" w:sz="4" w:space="0"/>
              <w:left w:val="nil"/>
              <w:bottom w:val="single" w:color="auto" w:sz="4" w:space="0"/>
              <w:right w:val="single" w:color="auto" w:sz="4" w:space="0"/>
            </w:tcBorders>
            <w:noWrap/>
            <w:vAlign w:val="center"/>
          </w:tcPr>
          <w:p w14:paraId="59F9FCE2">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项目内容</w:t>
            </w:r>
          </w:p>
        </w:tc>
      </w:tr>
      <w:tr w14:paraId="7058B0CC">
        <w:tblPrEx>
          <w:tblCellMar>
            <w:top w:w="0" w:type="dxa"/>
            <w:left w:w="108" w:type="dxa"/>
            <w:bottom w:w="0" w:type="dxa"/>
            <w:right w:w="108" w:type="dxa"/>
          </w:tblCellMar>
        </w:tblPrEx>
        <w:trPr>
          <w:trHeight w:val="1410" w:hRule="atLeast"/>
        </w:trPr>
        <w:tc>
          <w:tcPr>
            <w:tcW w:w="2540" w:type="dxa"/>
            <w:tcBorders>
              <w:top w:val="nil"/>
              <w:left w:val="single" w:color="auto" w:sz="4" w:space="0"/>
              <w:bottom w:val="single" w:color="auto" w:sz="4" w:space="0"/>
              <w:right w:val="single" w:color="auto" w:sz="4" w:space="0"/>
            </w:tcBorders>
            <w:noWrap/>
            <w:vAlign w:val="center"/>
          </w:tcPr>
          <w:p w14:paraId="5AD94DB9">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宋庄艺术小镇创建4A级景区项目</w:t>
            </w:r>
          </w:p>
        </w:tc>
        <w:tc>
          <w:tcPr>
            <w:tcW w:w="6140" w:type="dxa"/>
            <w:tcBorders>
              <w:top w:val="nil"/>
              <w:left w:val="nil"/>
              <w:bottom w:val="single" w:color="auto" w:sz="4" w:space="0"/>
              <w:right w:val="single" w:color="auto" w:sz="4" w:space="0"/>
            </w:tcBorders>
            <w:vAlign w:val="center"/>
          </w:tcPr>
          <w:p w14:paraId="27FAE498">
            <w:pPr>
              <w:widowControl/>
              <w:snapToGrid w:val="0"/>
              <w:rPr>
                <w:rFonts w:hint="eastAsia" w:ascii="仿宋_GB2312" w:hAnsi="等线" w:eastAsia="仿宋_GB2312" w:cs="宋体"/>
                <w:kern w:val="0"/>
                <w:sz w:val="28"/>
                <w:szCs w:val="28"/>
                <w:lang w:val="en-US" w:eastAsia="zh-CN"/>
              </w:rPr>
            </w:pPr>
            <w:r>
              <w:rPr>
                <w:rFonts w:hint="eastAsia" w:ascii="仿宋_GB2312" w:hAnsi="等线" w:eastAsia="仿宋_GB2312" w:cs="宋体"/>
                <w:kern w:val="0"/>
                <w:sz w:val="28"/>
                <w:szCs w:val="28"/>
              </w:rPr>
              <w:t>充分利用宋庄艺术资源，以宋庄美术馆、南湖艺术区</w:t>
            </w:r>
            <w:r>
              <w:rPr>
                <w:rFonts w:hint="eastAsia" w:ascii="仿宋_GB2312" w:hAnsi="等线" w:eastAsia="仿宋_GB2312" w:cs="宋体"/>
                <w:kern w:val="0"/>
                <w:sz w:val="28"/>
                <w:szCs w:val="28"/>
                <w:lang w:val="en-US" w:eastAsia="zh-CN"/>
              </w:rPr>
              <w:t>等</w:t>
            </w:r>
            <w:r>
              <w:rPr>
                <w:rFonts w:hint="eastAsia" w:ascii="仿宋_GB2312" w:hAnsi="等线" w:eastAsia="仿宋_GB2312" w:cs="宋体"/>
                <w:kern w:val="0"/>
                <w:sz w:val="28"/>
                <w:szCs w:val="28"/>
              </w:rPr>
              <w:t>为核心，划定约1.17平方公里创建区域，积极创建国家4A级文化旅游景区。</w:t>
            </w:r>
          </w:p>
        </w:tc>
      </w:tr>
      <w:tr w14:paraId="7D615752">
        <w:tblPrEx>
          <w:tblCellMar>
            <w:top w:w="0" w:type="dxa"/>
            <w:left w:w="108" w:type="dxa"/>
            <w:bottom w:w="0" w:type="dxa"/>
            <w:right w:w="108" w:type="dxa"/>
          </w:tblCellMar>
        </w:tblPrEx>
        <w:trPr>
          <w:trHeight w:val="90" w:hRule="atLeast"/>
        </w:trPr>
        <w:tc>
          <w:tcPr>
            <w:tcW w:w="2540" w:type="dxa"/>
            <w:tcBorders>
              <w:top w:val="nil"/>
              <w:left w:val="single" w:color="auto" w:sz="4" w:space="0"/>
              <w:bottom w:val="single" w:color="auto" w:sz="4" w:space="0"/>
              <w:right w:val="single" w:color="auto" w:sz="4" w:space="0"/>
            </w:tcBorders>
            <w:vAlign w:val="center"/>
          </w:tcPr>
          <w:p w14:paraId="28D313FC">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大运河音乐节</w:t>
            </w:r>
            <w:r>
              <w:rPr>
                <w:rFonts w:hint="eastAsia" w:ascii="仿宋_GB2312" w:hAnsi="等线" w:eastAsia="仿宋_GB2312" w:cs="宋体"/>
                <w:kern w:val="0"/>
                <w:sz w:val="28"/>
                <w:szCs w:val="28"/>
                <w:lang w:val="en-US" w:eastAsia="zh-CN"/>
              </w:rPr>
              <w:t>场地建设项目</w:t>
            </w:r>
          </w:p>
        </w:tc>
        <w:tc>
          <w:tcPr>
            <w:tcW w:w="6140" w:type="dxa"/>
            <w:tcBorders>
              <w:top w:val="nil"/>
              <w:left w:val="nil"/>
              <w:bottom w:val="single" w:color="auto" w:sz="4" w:space="0"/>
              <w:right w:val="single" w:color="auto" w:sz="4" w:space="0"/>
            </w:tcBorders>
            <w:vAlign w:val="center"/>
          </w:tcPr>
          <w:p w14:paraId="6229791E">
            <w:pPr>
              <w:widowControl/>
              <w:snapToGrid w:val="0"/>
              <w:rPr>
                <w:rFonts w:hint="eastAsia" w:ascii="仿宋_GB2312" w:hAnsi="等线" w:eastAsia="仿宋_GB2312" w:cs="宋体"/>
                <w:kern w:val="0"/>
                <w:sz w:val="28"/>
                <w:szCs w:val="28"/>
              </w:rPr>
            </w:pPr>
            <w:r>
              <w:rPr>
                <w:rFonts w:hint="eastAsia" w:ascii="仿宋_GB2312" w:hAnsi="等线" w:eastAsia="仿宋_GB2312" w:cs="宋体"/>
                <w:kern w:val="0"/>
                <w:sz w:val="28"/>
                <w:szCs w:val="28"/>
              </w:rPr>
              <w:t>位于城市绿心南部，紧邻绿心路</w:t>
            </w:r>
            <w:r>
              <w:rPr>
                <w:rFonts w:hint="eastAsia" w:ascii="仿宋_GB2312" w:hAnsi="等线" w:eastAsia="仿宋_GB2312" w:cs="宋体"/>
                <w:kern w:val="0"/>
                <w:sz w:val="28"/>
                <w:szCs w:val="28"/>
                <w:lang w:val="en-US" w:eastAsia="zh-CN"/>
              </w:rPr>
              <w:t>，</w:t>
            </w:r>
            <w:r>
              <w:rPr>
                <w:rFonts w:hint="eastAsia" w:ascii="仿宋_GB2312" w:hAnsi="等线" w:eastAsia="仿宋_GB2312" w:cs="宋体"/>
                <w:kern w:val="0"/>
                <w:sz w:val="28"/>
                <w:szCs w:val="28"/>
              </w:rPr>
              <w:t>面积约19公顷，</w:t>
            </w:r>
            <w:r>
              <w:rPr>
                <w:rFonts w:hint="eastAsia" w:ascii="仿宋_GB2312" w:hAnsi="等线" w:eastAsia="仿宋_GB2312" w:cs="宋体"/>
                <w:kern w:val="0"/>
                <w:sz w:val="28"/>
                <w:szCs w:val="28"/>
                <w:lang w:val="en-US" w:eastAsia="zh-CN"/>
              </w:rPr>
              <w:t>建设大运河音乐节永久演出场地，</w:t>
            </w:r>
            <w:r>
              <w:rPr>
                <w:rFonts w:hint="eastAsia" w:ascii="仿宋_GB2312" w:hAnsi="等线" w:eastAsia="仿宋_GB2312" w:cs="宋体"/>
                <w:kern w:val="0"/>
                <w:sz w:val="28"/>
                <w:szCs w:val="28"/>
              </w:rPr>
              <w:t>打造不同需求的多功能复合空间</w:t>
            </w:r>
            <w:r>
              <w:rPr>
                <w:rFonts w:hint="eastAsia" w:ascii="仿宋_GB2312" w:hAnsi="等线" w:eastAsia="仿宋_GB2312" w:cs="宋体"/>
                <w:kern w:val="0"/>
                <w:sz w:val="28"/>
                <w:szCs w:val="28"/>
                <w:lang w:eastAsia="zh-CN"/>
              </w:rPr>
              <w:t>。</w:t>
            </w:r>
          </w:p>
        </w:tc>
      </w:tr>
    </w:tbl>
    <w:p w14:paraId="0C33B2F6">
      <w:pPr>
        <w:pStyle w:val="4"/>
        <w:pageBreakBefore w:val="0"/>
        <w:widowControl w:val="0"/>
        <w:kinsoku/>
        <w:wordWrap/>
        <w:overflowPunct/>
        <w:topLinePunct w:val="0"/>
        <w:autoSpaceDE/>
        <w:autoSpaceDN/>
        <w:bidi w:val="0"/>
        <w:adjustRightInd/>
        <w:snapToGrid/>
        <w:spacing w:before="0" w:after="0" w:line="520" w:lineRule="exact"/>
        <w:ind w:firstLine="640" w:firstLineChars="200"/>
        <w:textAlignment w:val="auto"/>
        <w:rPr>
          <w:rFonts w:hint="eastAsia" w:ascii="黑体" w:hAnsi="黑体" w:eastAsia="黑体"/>
          <w:color w:val="auto"/>
          <w:sz w:val="32"/>
          <w:szCs w:val="32"/>
        </w:rPr>
      </w:pPr>
      <w:bookmarkStart w:id="75" w:name="_Toc26480"/>
      <w:bookmarkStart w:id="76" w:name="_Toc1321"/>
      <w:bookmarkStart w:id="77" w:name="_Toc6913"/>
      <w:r>
        <w:rPr>
          <w:rFonts w:hint="eastAsia" w:ascii="黑体" w:hAnsi="黑体" w:eastAsia="黑体"/>
          <w:color w:val="auto"/>
          <w:sz w:val="32"/>
          <w:szCs w:val="32"/>
        </w:rPr>
        <w:t>三、建设高品质“博物馆之城”示范区</w:t>
      </w:r>
      <w:bookmarkEnd w:id="75"/>
      <w:bookmarkEnd w:id="76"/>
      <w:bookmarkEnd w:id="77"/>
    </w:p>
    <w:p w14:paraId="366538F8">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优化博物馆空间布局。</w:t>
      </w:r>
      <w:r>
        <w:rPr>
          <w:rFonts w:hint="eastAsia" w:ascii="仿宋_GB2312" w:hAnsi="Times New Roman" w:eastAsia="仿宋_GB2312"/>
          <w:sz w:val="32"/>
          <w:szCs w:val="32"/>
        </w:rPr>
        <w:t>以北京大运河博物馆为核心，整合全区艺术、非遗、民俗、红色、科技等专题博物馆，形成“一核引领、多点支撑”的博物馆集群。依托北运河，打造文博展演与城市客厅的复合空间。推动中国人民革命军事博物馆通州分馆、北京艺术博物馆、梨园美术馆等项目落地建成，</w:t>
      </w:r>
      <w:r>
        <w:rPr>
          <w:rFonts w:hint="eastAsia" w:ascii="仿宋_GB2312" w:hAnsi="Times New Roman" w:eastAsia="仿宋_GB2312"/>
          <w:sz w:val="32"/>
          <w:szCs w:val="32"/>
          <w:lang w:val="en-US" w:eastAsia="zh-CN"/>
        </w:rPr>
        <w:t>推进遗址型博物馆合理收费，</w:t>
      </w:r>
      <w:r>
        <w:rPr>
          <w:rFonts w:hint="eastAsia" w:ascii="仿宋_GB2312" w:hAnsi="Times New Roman" w:eastAsia="仿宋_GB2312"/>
          <w:sz w:val="32"/>
          <w:szCs w:val="32"/>
        </w:rPr>
        <w:t>鼓励民办博物馆、乡村博物馆差异化发展。</w:t>
      </w:r>
    </w:p>
    <w:p w14:paraId="0F8A606E">
      <w:pPr>
        <w:spacing w:line="56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表3-</w:t>
      </w:r>
      <w:r>
        <w:rPr>
          <w:rFonts w:hint="eastAsia" w:ascii="仿宋_GB2312" w:hAnsi="Times New Roman" w:eastAsia="仿宋_GB2312"/>
          <w:b/>
          <w:bCs/>
          <w:sz w:val="28"/>
          <w:szCs w:val="28"/>
          <w:lang w:val="en-US" w:eastAsia="zh-CN"/>
        </w:rPr>
        <w:t>2</w:t>
      </w:r>
      <w:r>
        <w:rPr>
          <w:rFonts w:hint="eastAsia" w:ascii="仿宋_GB2312" w:hAnsi="Times New Roman" w:eastAsia="仿宋_GB2312"/>
          <w:b/>
          <w:bCs/>
          <w:sz w:val="28"/>
          <w:szCs w:val="28"/>
        </w:rPr>
        <w:t xml:space="preserve"> </w:t>
      </w:r>
      <w:r>
        <w:rPr>
          <w:rFonts w:hint="eastAsia" w:ascii="仿宋_GB2312" w:hAnsi="Times New Roman" w:eastAsia="仿宋_GB2312"/>
          <w:b/>
          <w:bCs/>
          <w:sz w:val="28"/>
          <w:szCs w:val="28"/>
          <w:lang w:eastAsia="zh-CN"/>
        </w:rPr>
        <w:t>“</w:t>
      </w:r>
      <w:r>
        <w:rPr>
          <w:rFonts w:hint="eastAsia" w:ascii="仿宋_GB2312" w:hAnsi="Times New Roman" w:eastAsia="仿宋_GB2312"/>
          <w:b/>
          <w:bCs/>
          <w:sz w:val="28"/>
          <w:szCs w:val="28"/>
        </w:rPr>
        <w:t>博物馆之城</w:t>
      </w:r>
      <w:r>
        <w:rPr>
          <w:rFonts w:hint="eastAsia" w:ascii="仿宋_GB2312" w:hAnsi="Times New Roman" w:eastAsia="仿宋_GB2312"/>
          <w:b/>
          <w:bCs/>
          <w:sz w:val="28"/>
          <w:szCs w:val="28"/>
          <w:lang w:eastAsia="zh-CN"/>
        </w:rPr>
        <w:t>”</w:t>
      </w:r>
      <w:r>
        <w:rPr>
          <w:rFonts w:hint="eastAsia" w:ascii="仿宋_GB2312" w:hAnsi="Times New Roman" w:eastAsia="仿宋_GB2312"/>
          <w:b/>
          <w:bCs/>
          <w:sz w:val="28"/>
          <w:szCs w:val="28"/>
        </w:rPr>
        <w:t>示范区重点项目</w:t>
      </w:r>
    </w:p>
    <w:tbl>
      <w:tblPr>
        <w:tblStyle w:val="11"/>
        <w:tblW w:w="8680" w:type="dxa"/>
        <w:tblInd w:w="0" w:type="dxa"/>
        <w:tblLayout w:type="autofit"/>
        <w:tblCellMar>
          <w:top w:w="0" w:type="dxa"/>
          <w:left w:w="108" w:type="dxa"/>
          <w:bottom w:w="0" w:type="dxa"/>
          <w:right w:w="108" w:type="dxa"/>
        </w:tblCellMar>
      </w:tblPr>
      <w:tblGrid>
        <w:gridCol w:w="2540"/>
        <w:gridCol w:w="6140"/>
      </w:tblGrid>
      <w:tr w14:paraId="6A9B1B57">
        <w:tblPrEx>
          <w:tblCellMar>
            <w:top w:w="0" w:type="dxa"/>
            <w:left w:w="108" w:type="dxa"/>
            <w:bottom w:w="0" w:type="dxa"/>
            <w:right w:w="108" w:type="dxa"/>
          </w:tblCellMar>
        </w:tblPrEx>
        <w:trPr>
          <w:trHeight w:val="405" w:hRule="atLeast"/>
        </w:trPr>
        <w:tc>
          <w:tcPr>
            <w:tcW w:w="2540" w:type="dxa"/>
            <w:tcBorders>
              <w:top w:val="single" w:color="auto" w:sz="4" w:space="0"/>
              <w:left w:val="single" w:color="auto" w:sz="4" w:space="0"/>
              <w:bottom w:val="single" w:color="auto" w:sz="4" w:space="0"/>
              <w:right w:val="single" w:color="auto" w:sz="4" w:space="0"/>
            </w:tcBorders>
            <w:noWrap/>
            <w:vAlign w:val="center"/>
          </w:tcPr>
          <w:p w14:paraId="04A733DD">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项目名称</w:t>
            </w:r>
          </w:p>
        </w:tc>
        <w:tc>
          <w:tcPr>
            <w:tcW w:w="6140" w:type="dxa"/>
            <w:tcBorders>
              <w:top w:val="single" w:color="auto" w:sz="4" w:space="0"/>
              <w:left w:val="nil"/>
              <w:bottom w:val="single" w:color="auto" w:sz="4" w:space="0"/>
              <w:right w:val="single" w:color="auto" w:sz="4" w:space="0"/>
            </w:tcBorders>
            <w:noWrap/>
            <w:vAlign w:val="center"/>
          </w:tcPr>
          <w:p w14:paraId="1D7D4A61">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项目内容</w:t>
            </w:r>
          </w:p>
        </w:tc>
      </w:tr>
      <w:tr w14:paraId="6B9EB40C">
        <w:tblPrEx>
          <w:tblCellMar>
            <w:top w:w="0" w:type="dxa"/>
            <w:left w:w="108" w:type="dxa"/>
            <w:bottom w:w="0" w:type="dxa"/>
            <w:right w:w="108" w:type="dxa"/>
          </w:tblCellMar>
        </w:tblPrEx>
        <w:trPr>
          <w:trHeight w:val="90" w:hRule="atLeast"/>
        </w:trPr>
        <w:tc>
          <w:tcPr>
            <w:tcW w:w="2540" w:type="dxa"/>
            <w:tcBorders>
              <w:top w:val="nil"/>
              <w:left w:val="single" w:color="auto" w:sz="4" w:space="0"/>
              <w:bottom w:val="single" w:color="auto" w:sz="4" w:space="0"/>
              <w:right w:val="single" w:color="auto" w:sz="4" w:space="0"/>
            </w:tcBorders>
            <w:noWrap/>
            <w:vAlign w:val="center"/>
          </w:tcPr>
          <w:p w14:paraId="5B74C9F8">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北京艺术博物馆</w:t>
            </w:r>
          </w:p>
        </w:tc>
        <w:tc>
          <w:tcPr>
            <w:tcW w:w="6140" w:type="dxa"/>
            <w:tcBorders>
              <w:top w:val="nil"/>
              <w:left w:val="nil"/>
              <w:bottom w:val="single" w:color="auto" w:sz="4" w:space="0"/>
              <w:right w:val="single" w:color="auto" w:sz="4" w:space="0"/>
            </w:tcBorders>
            <w:vAlign w:val="center"/>
          </w:tcPr>
          <w:p w14:paraId="2A75287B">
            <w:pPr>
              <w:widowControl/>
              <w:snapToGrid w:val="0"/>
              <w:rPr>
                <w:rFonts w:hint="default" w:ascii="仿宋_GB2312" w:hAnsi="等线" w:eastAsia="仿宋_GB2312" w:cs="宋体"/>
                <w:kern w:val="0"/>
                <w:sz w:val="28"/>
                <w:szCs w:val="28"/>
                <w:lang w:val="en-US" w:eastAsia="zh-CN"/>
              </w:rPr>
            </w:pPr>
            <w:r>
              <w:rPr>
                <w:rFonts w:hint="eastAsia" w:ascii="仿宋_GB2312" w:hAnsi="等线" w:eastAsia="仿宋_GB2312" w:cs="宋体"/>
                <w:kern w:val="0"/>
                <w:sz w:val="28"/>
                <w:szCs w:val="28"/>
              </w:rPr>
              <w:t>位于绿心组团南部，北临绿心路，东临运兴路，南邻玉带河东支沟，拟设立陈列展览区、藏品库区与藏品技术区、艺术活动及商业区、艺术研究用房区、办公用房区等</w:t>
            </w:r>
            <w:r>
              <w:rPr>
                <w:rFonts w:hint="eastAsia" w:ascii="仿宋_GB2312" w:hAnsi="等线" w:eastAsia="仿宋_GB2312" w:cs="宋体"/>
                <w:kern w:val="0"/>
                <w:sz w:val="28"/>
                <w:szCs w:val="28"/>
                <w:lang w:eastAsia="zh-CN"/>
              </w:rPr>
              <w:t>，</w:t>
            </w:r>
            <w:r>
              <w:rPr>
                <w:rFonts w:hint="eastAsia" w:ascii="仿宋_GB2312" w:hAnsi="等线" w:eastAsia="仿宋_GB2312" w:cs="宋体"/>
                <w:kern w:val="0"/>
                <w:sz w:val="28"/>
                <w:szCs w:val="28"/>
                <w:lang w:val="en-US" w:eastAsia="zh-CN"/>
              </w:rPr>
              <w:t>着力建设一座集艺术展览、藏品保存、公共服务等功能于一体的大型综合博物馆。</w:t>
            </w:r>
          </w:p>
        </w:tc>
      </w:tr>
      <w:tr w14:paraId="4460B0E8">
        <w:tblPrEx>
          <w:tblCellMar>
            <w:top w:w="0" w:type="dxa"/>
            <w:left w:w="108" w:type="dxa"/>
            <w:bottom w:w="0" w:type="dxa"/>
            <w:right w:w="108" w:type="dxa"/>
          </w:tblCellMar>
        </w:tblPrEx>
        <w:trPr>
          <w:trHeight w:val="1410" w:hRule="atLeast"/>
        </w:trPr>
        <w:tc>
          <w:tcPr>
            <w:tcW w:w="2540" w:type="dxa"/>
            <w:tcBorders>
              <w:top w:val="nil"/>
              <w:left w:val="single" w:color="auto" w:sz="4" w:space="0"/>
              <w:bottom w:val="single" w:color="auto" w:sz="4" w:space="0"/>
              <w:right w:val="single" w:color="auto" w:sz="4" w:space="0"/>
            </w:tcBorders>
            <w:vAlign w:val="center"/>
          </w:tcPr>
          <w:p w14:paraId="426E277F">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中国人民革命军事博物馆通州分馆</w:t>
            </w:r>
          </w:p>
        </w:tc>
        <w:tc>
          <w:tcPr>
            <w:tcW w:w="6140" w:type="dxa"/>
            <w:tcBorders>
              <w:top w:val="nil"/>
              <w:left w:val="nil"/>
              <w:bottom w:val="single" w:color="auto" w:sz="4" w:space="0"/>
              <w:right w:val="single" w:color="auto" w:sz="4" w:space="0"/>
            </w:tcBorders>
            <w:vAlign w:val="center"/>
          </w:tcPr>
          <w:p w14:paraId="16EE05C9">
            <w:pPr>
              <w:widowControl/>
              <w:snapToGrid w:val="0"/>
              <w:rPr>
                <w:rFonts w:hint="eastAsia" w:ascii="仿宋_GB2312" w:hAnsi="等线" w:eastAsia="仿宋_GB2312" w:cs="宋体"/>
                <w:kern w:val="0"/>
                <w:sz w:val="28"/>
                <w:szCs w:val="28"/>
              </w:rPr>
            </w:pPr>
            <w:r>
              <w:rPr>
                <w:rFonts w:hint="eastAsia" w:ascii="仿宋_GB2312" w:hAnsi="等线" w:eastAsia="仿宋_GB2312" w:cs="宋体"/>
                <w:kern w:val="0"/>
                <w:sz w:val="28"/>
                <w:szCs w:val="28"/>
              </w:rPr>
              <w:t>位于潞邑街道，预期项目建成后将以展示新中国武器装备发展史和中国古近代军事历史为主，以展示世界近现代军事藏品为辅，进一步拓展军事博物馆文化服务功能。</w:t>
            </w:r>
          </w:p>
        </w:tc>
      </w:tr>
      <w:tr w14:paraId="2FD4B961">
        <w:tblPrEx>
          <w:tblCellMar>
            <w:top w:w="0" w:type="dxa"/>
            <w:left w:w="108" w:type="dxa"/>
            <w:bottom w:w="0" w:type="dxa"/>
            <w:right w:w="108" w:type="dxa"/>
          </w:tblCellMar>
        </w:tblPrEx>
        <w:trPr>
          <w:trHeight w:val="705" w:hRule="atLeast"/>
        </w:trPr>
        <w:tc>
          <w:tcPr>
            <w:tcW w:w="2540" w:type="dxa"/>
            <w:tcBorders>
              <w:top w:val="nil"/>
              <w:left w:val="single" w:color="auto" w:sz="4" w:space="0"/>
              <w:bottom w:val="single" w:color="auto" w:sz="4" w:space="0"/>
              <w:right w:val="single" w:color="auto" w:sz="4" w:space="0"/>
            </w:tcBorders>
            <w:noWrap/>
            <w:vAlign w:val="center"/>
          </w:tcPr>
          <w:p w14:paraId="4C6F99A9">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梨园美术馆</w:t>
            </w:r>
          </w:p>
        </w:tc>
        <w:tc>
          <w:tcPr>
            <w:tcW w:w="6140" w:type="dxa"/>
            <w:tcBorders>
              <w:top w:val="nil"/>
              <w:left w:val="nil"/>
              <w:bottom w:val="single" w:color="auto" w:sz="4" w:space="0"/>
              <w:right w:val="single" w:color="auto" w:sz="4" w:space="0"/>
            </w:tcBorders>
            <w:vAlign w:val="center"/>
          </w:tcPr>
          <w:p w14:paraId="7066B904">
            <w:pPr>
              <w:widowControl/>
              <w:snapToGrid w:val="0"/>
              <w:rPr>
                <w:rFonts w:hint="eastAsia" w:ascii="仿宋_GB2312" w:hAnsi="等线" w:eastAsia="仿宋_GB2312" w:cs="宋体"/>
                <w:kern w:val="0"/>
                <w:sz w:val="28"/>
                <w:szCs w:val="28"/>
              </w:rPr>
            </w:pPr>
            <w:r>
              <w:rPr>
                <w:rFonts w:hint="eastAsia" w:ascii="仿宋_GB2312" w:hAnsi="等线" w:eastAsia="仿宋_GB2312" w:cs="宋体"/>
                <w:kern w:val="0"/>
                <w:sz w:val="28"/>
                <w:szCs w:val="28"/>
              </w:rPr>
              <w:t>位于梨园镇，建设内容为展览、社会教育和科普以及场馆配套服务设施。</w:t>
            </w:r>
          </w:p>
        </w:tc>
      </w:tr>
    </w:tbl>
    <w:p w14:paraId="6447655F">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深化展陈内容创新。</w:t>
      </w:r>
      <w:r>
        <w:rPr>
          <w:rFonts w:hint="eastAsia" w:ascii="仿宋_GB2312" w:hAnsi="Times New Roman" w:eastAsia="仿宋_GB2312"/>
          <w:sz w:val="32"/>
          <w:szCs w:val="32"/>
        </w:rPr>
        <w:t>深挖北运河独特的漕运文化、商贸文化、京畿文化等核心文化内涵，推出一批主题鲜明、脉络清晰</w:t>
      </w:r>
      <w:r>
        <w:rPr>
          <w:rFonts w:hint="eastAsia" w:ascii="仿宋_GB2312" w:hAnsi="Times New Roman" w:eastAsia="仿宋_GB2312"/>
          <w:sz w:val="32"/>
          <w:szCs w:val="32"/>
          <w:lang w:eastAsia="zh-CN"/>
        </w:rPr>
        <w:t>、</w:t>
      </w:r>
      <w:r>
        <w:rPr>
          <w:rFonts w:hint="eastAsia" w:ascii="仿宋_GB2312" w:hAnsi="Times New Roman" w:eastAsia="仿宋_GB2312"/>
          <w:sz w:val="32"/>
          <w:szCs w:val="32"/>
          <w:lang w:val="en-US" w:eastAsia="zh-CN"/>
        </w:rPr>
        <w:t>影响力大</w:t>
      </w:r>
      <w:r>
        <w:rPr>
          <w:rFonts w:hint="eastAsia" w:ascii="仿宋_GB2312" w:hAnsi="Times New Roman" w:eastAsia="仿宋_GB2312"/>
          <w:sz w:val="32"/>
          <w:szCs w:val="32"/>
        </w:rPr>
        <w:t>的精品专题展览。强化文物活化利用，融合数智技术，打造沉浸式场景、互动体验展与线上云展览，完善科普教育与文化传播功能，构建</w:t>
      </w:r>
      <w:r>
        <w:rPr>
          <w:rFonts w:hint="eastAsia" w:ascii="仿宋_GB2312" w:hAnsi="Times New Roman" w:eastAsia="仿宋_GB2312"/>
          <w:sz w:val="32"/>
          <w:szCs w:val="32"/>
          <w:lang w:val="en-US" w:eastAsia="zh-CN"/>
        </w:rPr>
        <w:t>丰富多元</w:t>
      </w:r>
      <w:r>
        <w:rPr>
          <w:rFonts w:hint="eastAsia" w:ascii="仿宋_GB2312" w:hAnsi="Times New Roman" w:eastAsia="仿宋_GB2312"/>
          <w:sz w:val="32"/>
          <w:szCs w:val="32"/>
        </w:rPr>
        <w:t>的展陈体系。</w:t>
      </w:r>
    </w:p>
    <w:p w14:paraId="2208E134">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Times New Roman" w:eastAsia="仿宋_GB2312"/>
          <w:sz w:val="32"/>
          <w:szCs w:val="32"/>
        </w:rPr>
      </w:pPr>
      <w:r>
        <w:rPr>
          <w:rFonts w:hint="eastAsia" w:ascii="仿宋_GB2312" w:hAnsi="Times New Roman" w:eastAsia="仿宋_GB2312"/>
          <w:b/>
          <w:bCs/>
          <w:sz w:val="32"/>
          <w:szCs w:val="32"/>
        </w:rPr>
        <w:t>推动文博文旅深度融合。</w:t>
      </w:r>
      <w:r>
        <w:rPr>
          <w:rFonts w:hint="eastAsia" w:ascii="仿宋_GB2312" w:hAnsi="Times New Roman" w:eastAsia="仿宋_GB2312" w:cstheme="minorBidi"/>
          <w:sz w:val="32"/>
          <w:szCs w:val="32"/>
          <w:lang w:val="en-US" w:eastAsia="zh-CN"/>
        </w:rPr>
        <w:t>挖掘</w:t>
      </w:r>
      <w:r>
        <w:rPr>
          <w:rFonts w:hint="eastAsia" w:ascii="仿宋_GB2312" w:hAnsi="Times New Roman" w:eastAsia="仿宋_GB2312" w:cstheme="minorBidi"/>
          <w:sz w:val="32"/>
          <w:szCs w:val="32"/>
        </w:rPr>
        <w:t>博物馆馆藏文化资源，培育文博夜游、沉浸式展演、数字观展、研学体验、非遗活态传承等新业态，开发博物馆文创、IP联名消费、主题市集</w:t>
      </w:r>
      <w:r>
        <w:rPr>
          <w:rFonts w:hint="eastAsia" w:ascii="仿宋_GB2312" w:hAnsi="Times New Roman" w:eastAsia="仿宋_GB2312" w:cstheme="minorBidi"/>
          <w:sz w:val="32"/>
          <w:szCs w:val="32"/>
          <w:lang w:eastAsia="zh-CN"/>
        </w:rPr>
        <w:t>、</w:t>
      </w:r>
      <w:r>
        <w:rPr>
          <w:rFonts w:hint="eastAsia" w:ascii="仿宋_GB2312" w:hAnsi="Times New Roman" w:eastAsia="仿宋_GB2312" w:cstheme="minorBidi"/>
          <w:sz w:val="32"/>
          <w:szCs w:val="32"/>
          <w:lang w:val="en-US" w:eastAsia="zh-CN"/>
        </w:rPr>
        <w:t>文博夜宿</w:t>
      </w:r>
      <w:r>
        <w:rPr>
          <w:rFonts w:hint="eastAsia" w:ascii="仿宋_GB2312" w:hAnsi="Times New Roman" w:eastAsia="仿宋_GB2312" w:cstheme="minorBidi"/>
          <w:sz w:val="32"/>
          <w:szCs w:val="32"/>
        </w:rPr>
        <w:t>等多元产品，推动文博资源与夜间经济、休闲消费、沉浸式文旅深度融合。</w:t>
      </w:r>
      <w:r>
        <w:rPr>
          <w:rFonts w:hint="eastAsia" w:ascii="仿宋_GB2312" w:hAnsi="Times New Roman" w:eastAsia="仿宋_GB2312"/>
          <w:sz w:val="32"/>
          <w:szCs w:val="32"/>
        </w:rPr>
        <w:t>将</w:t>
      </w:r>
      <w:r>
        <w:rPr>
          <w:rFonts w:hint="eastAsia" w:ascii="仿宋_GB2312" w:hAnsi="Times New Roman" w:eastAsia="仿宋_GB2312"/>
          <w:sz w:val="32"/>
          <w:szCs w:val="32"/>
          <w:lang w:val="en-US" w:eastAsia="zh-CN"/>
        </w:rPr>
        <w:t>特色</w:t>
      </w:r>
      <w:r>
        <w:rPr>
          <w:rFonts w:hint="eastAsia" w:ascii="仿宋_GB2312" w:hAnsi="Times New Roman" w:eastAsia="仿宋_GB2312"/>
          <w:sz w:val="32"/>
          <w:szCs w:val="32"/>
        </w:rPr>
        <w:t>博物馆纳入精品旅游线路，推进博物馆与研学旅行</w:t>
      </w:r>
      <w:r>
        <w:rPr>
          <w:rFonts w:hint="eastAsia" w:ascii="仿宋_GB2312" w:hAnsi="Times New Roman" w:eastAsia="仿宋_GB2312"/>
          <w:sz w:val="32"/>
          <w:szCs w:val="32"/>
          <w:lang w:val="en-US" w:eastAsia="zh-CN"/>
        </w:rPr>
        <w:t>深度</w:t>
      </w:r>
      <w:r>
        <w:rPr>
          <w:rFonts w:hint="eastAsia" w:ascii="仿宋_GB2312" w:hAnsi="Times New Roman" w:eastAsia="仿宋_GB2312"/>
          <w:sz w:val="32"/>
          <w:szCs w:val="32"/>
        </w:rPr>
        <w:t>融合</w:t>
      </w:r>
      <w:r>
        <w:rPr>
          <w:rFonts w:hint="eastAsia" w:ascii="仿宋_GB2312" w:hAnsi="Times New Roman" w:eastAsia="仿宋_GB2312"/>
          <w:sz w:val="32"/>
          <w:szCs w:val="32"/>
          <w:lang w:eastAsia="zh-CN"/>
        </w:rPr>
        <w:t>。</w:t>
      </w:r>
      <w:r>
        <w:rPr>
          <w:rFonts w:hint="eastAsia" w:ascii="仿宋_GB2312" w:hAnsi="Times New Roman" w:eastAsia="仿宋_GB2312"/>
          <w:sz w:val="32"/>
          <w:szCs w:val="32"/>
          <w:lang w:val="en-US" w:eastAsia="zh-CN"/>
        </w:rPr>
        <w:t>不定期</w:t>
      </w:r>
      <w:r>
        <w:rPr>
          <w:rFonts w:hint="eastAsia" w:ascii="仿宋_GB2312" w:hAnsi="Times New Roman" w:eastAsia="仿宋_GB2312"/>
          <w:sz w:val="32"/>
          <w:szCs w:val="32"/>
        </w:rPr>
        <w:t>举办文博论坛、专题讲座、群众文化活动，提升</w:t>
      </w:r>
      <w:r>
        <w:rPr>
          <w:rFonts w:hint="eastAsia" w:ascii="仿宋_GB2312" w:hAnsi="Times New Roman" w:eastAsia="仿宋_GB2312"/>
          <w:sz w:val="32"/>
          <w:szCs w:val="32"/>
          <w:lang w:val="en-US" w:eastAsia="zh-CN"/>
        </w:rPr>
        <w:t>博物馆的</w:t>
      </w:r>
      <w:r>
        <w:rPr>
          <w:rFonts w:hint="eastAsia" w:ascii="仿宋_GB2312" w:hAnsi="Times New Roman" w:eastAsia="仿宋_GB2312"/>
          <w:sz w:val="32"/>
          <w:szCs w:val="32"/>
        </w:rPr>
        <w:t>公共文化服务能级，将通州打造成为大运河文化集中展示窗口、首都“博物馆之城”示范区。</w:t>
      </w:r>
    </w:p>
    <w:p w14:paraId="68B6837A">
      <w:pPr>
        <w:pStyle w:val="4"/>
        <w:pageBreakBefore w:val="0"/>
        <w:widowControl w:val="0"/>
        <w:kinsoku/>
        <w:wordWrap/>
        <w:overflowPunct/>
        <w:topLinePunct w:val="0"/>
        <w:autoSpaceDE/>
        <w:autoSpaceDN/>
        <w:bidi w:val="0"/>
        <w:adjustRightInd/>
        <w:snapToGrid/>
        <w:spacing w:before="0" w:after="0" w:line="520" w:lineRule="exact"/>
        <w:ind w:firstLine="640" w:firstLineChars="200"/>
        <w:textAlignment w:val="auto"/>
        <w:rPr>
          <w:rFonts w:hint="eastAsia" w:ascii="黑体" w:hAnsi="黑体" w:eastAsia="黑体"/>
          <w:color w:val="auto"/>
          <w:sz w:val="32"/>
          <w:szCs w:val="32"/>
          <w:lang w:eastAsia="zh-CN"/>
        </w:rPr>
      </w:pPr>
      <w:bookmarkStart w:id="78" w:name="_Toc30333"/>
      <w:bookmarkStart w:id="79" w:name="_Toc25169"/>
      <w:bookmarkStart w:id="80" w:name="_Toc37"/>
      <w:r>
        <w:rPr>
          <w:rFonts w:hint="eastAsia" w:ascii="黑体" w:hAnsi="黑体" w:eastAsia="黑体"/>
          <w:color w:val="auto"/>
          <w:sz w:val="32"/>
          <w:szCs w:val="32"/>
          <w:lang w:val="en-US" w:eastAsia="zh-CN"/>
        </w:rPr>
        <w:t>四</w:t>
      </w:r>
      <w:r>
        <w:rPr>
          <w:rFonts w:hint="eastAsia" w:ascii="黑体" w:hAnsi="黑体" w:eastAsia="黑体"/>
          <w:color w:val="auto"/>
          <w:sz w:val="32"/>
          <w:szCs w:val="32"/>
        </w:rPr>
        <w:t>、推动文化</w:t>
      </w:r>
      <w:r>
        <w:rPr>
          <w:rFonts w:hint="eastAsia" w:ascii="黑体" w:hAnsi="黑体" w:eastAsia="黑体"/>
          <w:color w:val="auto"/>
          <w:sz w:val="32"/>
          <w:szCs w:val="32"/>
          <w:lang w:val="en-US" w:eastAsia="zh-CN"/>
        </w:rPr>
        <w:t>及相关</w:t>
      </w:r>
      <w:r>
        <w:rPr>
          <w:rFonts w:hint="eastAsia" w:ascii="黑体" w:hAnsi="黑体" w:eastAsia="黑体"/>
          <w:color w:val="auto"/>
          <w:sz w:val="32"/>
          <w:szCs w:val="32"/>
        </w:rPr>
        <w:t>产业发展</w:t>
      </w:r>
      <w:bookmarkEnd w:id="78"/>
      <w:bookmarkEnd w:id="79"/>
      <w:bookmarkEnd w:id="80"/>
    </w:p>
    <w:p w14:paraId="72D26AFA">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sz w:val="32"/>
          <w:szCs w:val="32"/>
        </w:rPr>
      </w:pPr>
      <w:r>
        <w:rPr>
          <w:rFonts w:hint="eastAsia" w:ascii="仿宋_GB2312" w:hAnsi="Times New Roman" w:eastAsia="仿宋_GB2312"/>
          <w:b/>
          <w:bCs/>
          <w:sz w:val="32"/>
          <w:szCs w:val="32"/>
          <w:lang w:val="en-US" w:eastAsia="zh-CN"/>
        </w:rPr>
        <w:t>提升新闻和出版业。</w:t>
      </w:r>
      <w:r>
        <w:rPr>
          <w:rFonts w:hint="eastAsia" w:ascii="仿宋_GB2312" w:hAnsi="Times New Roman" w:eastAsia="仿宋_GB2312"/>
          <w:sz w:val="32"/>
          <w:szCs w:val="32"/>
        </w:rPr>
        <w:t>立足</w:t>
      </w:r>
      <w:r>
        <w:rPr>
          <w:rFonts w:hint="eastAsia" w:ascii="仿宋_GB2312" w:hAnsi="Times New Roman" w:eastAsia="仿宋_GB2312"/>
          <w:sz w:val="32"/>
          <w:szCs w:val="32"/>
          <w:lang w:val="en-US" w:eastAsia="zh-CN"/>
        </w:rPr>
        <w:t>北京</w:t>
      </w:r>
      <w:r>
        <w:rPr>
          <w:rFonts w:hint="eastAsia" w:ascii="仿宋_GB2312" w:hAnsi="Times New Roman" w:eastAsia="仿宋_GB2312"/>
          <w:sz w:val="32"/>
          <w:szCs w:val="32"/>
        </w:rPr>
        <w:t>城市副中心文化战略定位，推动新闻和出版业数字化转型、精品化升级与文旅化融合。做强</w:t>
      </w:r>
      <w:r>
        <w:rPr>
          <w:rFonts w:hint="eastAsia" w:ascii="仿宋_GB2312" w:hAnsi="Times New Roman" w:eastAsia="仿宋_GB2312"/>
          <w:sz w:val="32"/>
          <w:szCs w:val="32"/>
          <w:lang w:val="en-US" w:eastAsia="zh-CN"/>
        </w:rPr>
        <w:t>通州区融媒体中心等</w:t>
      </w:r>
      <w:r>
        <w:rPr>
          <w:rFonts w:hint="eastAsia" w:ascii="仿宋_GB2312" w:hAnsi="Times New Roman" w:eastAsia="仿宋_GB2312"/>
          <w:sz w:val="32"/>
          <w:szCs w:val="32"/>
        </w:rPr>
        <w:t>主流舆论阵地，培育一批融媒体品牌与优质出版项目。加快台湖出版物会展贸易中心建设，强化出版内容创作与</w:t>
      </w:r>
      <w:r>
        <w:rPr>
          <w:rFonts w:hint="eastAsia" w:ascii="仿宋_GB2312" w:hAnsi="Times New Roman" w:eastAsia="仿宋_GB2312"/>
          <w:sz w:val="32"/>
          <w:szCs w:val="32"/>
          <w:lang w:val="en-US" w:eastAsia="zh-CN"/>
        </w:rPr>
        <w:t>文化演艺等</w:t>
      </w:r>
      <w:r>
        <w:rPr>
          <w:rFonts w:hint="eastAsia" w:ascii="仿宋_GB2312" w:hAnsi="Times New Roman" w:eastAsia="仿宋_GB2312"/>
          <w:sz w:val="32"/>
          <w:szCs w:val="32"/>
        </w:rPr>
        <w:t>文旅场景联动，开发系列出版物、数字文创产品，构建特色鲜明、主业突出、融合创新的新闻出版产业</w:t>
      </w:r>
      <w:r>
        <w:rPr>
          <w:rFonts w:hint="eastAsia" w:ascii="仿宋_GB2312" w:hAnsi="Times New Roman" w:eastAsia="仿宋_GB2312"/>
          <w:sz w:val="32"/>
          <w:szCs w:val="32"/>
          <w:lang w:val="en-US" w:eastAsia="zh-CN"/>
        </w:rPr>
        <w:t>集聚区</w:t>
      </w:r>
      <w:r>
        <w:rPr>
          <w:rFonts w:hint="eastAsia" w:ascii="仿宋_GB2312" w:hAnsi="Times New Roman" w:eastAsia="仿宋_GB2312"/>
          <w:sz w:val="32"/>
          <w:szCs w:val="32"/>
        </w:rPr>
        <w:t>。</w:t>
      </w:r>
    </w:p>
    <w:p w14:paraId="247B2A3E">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default"/>
          <w:lang w:val="en-US" w:eastAsia="zh-CN"/>
        </w:rPr>
      </w:pPr>
      <w:r>
        <w:rPr>
          <w:rFonts w:hint="eastAsia" w:ascii="仿宋_GB2312" w:hAnsi="Times New Roman" w:eastAsia="仿宋_GB2312"/>
          <w:b/>
          <w:bCs/>
          <w:sz w:val="32"/>
          <w:szCs w:val="32"/>
          <w:lang w:val="en-US" w:eastAsia="zh-CN"/>
        </w:rPr>
        <w:t>创新文化艺术业。</w:t>
      </w:r>
      <w:r>
        <w:rPr>
          <w:rFonts w:hint="eastAsia" w:ascii="仿宋_GB2312" w:hAnsi="Times New Roman" w:eastAsia="仿宋_GB2312"/>
          <w:sz w:val="32"/>
          <w:szCs w:val="32"/>
        </w:rPr>
        <w:t>壮大宋庄艺术创意小镇、台湖</w:t>
      </w:r>
      <w:r>
        <w:rPr>
          <w:rFonts w:hint="eastAsia" w:ascii="仿宋_GB2312" w:hAnsi="Times New Roman" w:eastAsia="仿宋_GB2312"/>
          <w:sz w:val="32"/>
          <w:szCs w:val="32"/>
          <w:lang w:val="en-US" w:eastAsia="zh-CN"/>
        </w:rPr>
        <w:t>演艺小镇</w:t>
      </w:r>
      <w:r>
        <w:rPr>
          <w:rFonts w:hint="eastAsia" w:ascii="仿宋_GB2312" w:hAnsi="Times New Roman" w:eastAsia="仿宋_GB2312"/>
          <w:sz w:val="32"/>
          <w:szCs w:val="32"/>
        </w:rPr>
        <w:t>能级，集聚艺术家、艺术机构与文创工坊，完善艺术创作、展览展演、交易孵化全链条。扶持文艺创作院团、民间文艺社团发展，推出一批彰显通州底蕴的文学、美术、戏曲、非遗艺术精品。推动文化艺术与文旅消费、城市空间、乡村振兴深度融合，培育艺术研学、沉浸式演艺、公共艺术新业态，打造京津冀极具影响力的文艺创作高地与艺术消费目的地。</w:t>
      </w:r>
    </w:p>
    <w:p w14:paraId="473FC447">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sz w:val="32"/>
          <w:szCs w:val="32"/>
        </w:rPr>
      </w:pPr>
      <w:r>
        <w:rPr>
          <w:rFonts w:hint="eastAsia" w:ascii="仿宋_GB2312" w:hAnsi="Times New Roman" w:eastAsia="仿宋_GB2312"/>
          <w:b/>
          <w:bCs/>
          <w:sz w:val="32"/>
          <w:szCs w:val="32"/>
          <w:lang w:val="en-US" w:eastAsia="zh-CN"/>
        </w:rPr>
        <w:t>促进网络视听及数字内容服务产业集聚扩链。</w:t>
      </w:r>
      <w:r>
        <w:rPr>
          <w:rFonts w:hint="eastAsia" w:ascii="仿宋_GB2312" w:hAnsi="Times New Roman" w:eastAsia="仿宋_GB2312"/>
          <w:sz w:val="32"/>
          <w:szCs w:val="32"/>
        </w:rPr>
        <w:t>以数智化转型与精品化创作为核心，推动广播影视产业高质量发展。深耕现实题材与运河主题影视创作，打造一批彰显</w:t>
      </w:r>
      <w:r>
        <w:rPr>
          <w:rFonts w:hint="eastAsia" w:ascii="仿宋_GB2312" w:hAnsi="Times New Roman" w:eastAsia="仿宋_GB2312"/>
          <w:sz w:val="32"/>
          <w:szCs w:val="32"/>
          <w:lang w:val="en-US" w:eastAsia="zh-CN"/>
        </w:rPr>
        <w:t>北京城市</w:t>
      </w:r>
      <w:r>
        <w:rPr>
          <w:rFonts w:hint="eastAsia" w:ascii="仿宋_GB2312" w:hAnsi="Times New Roman" w:eastAsia="仿宋_GB2312"/>
          <w:sz w:val="32"/>
          <w:szCs w:val="32"/>
        </w:rPr>
        <w:t>副中心特色的标杆作品。加快温榆河网络视听产业走廊、宋庄新视听产业廊道建设，全面推动紫光</w:t>
      </w:r>
      <w:r>
        <w:rPr>
          <w:rFonts w:ascii="仿宋_GB2312" w:hAnsi="Times New Roman" w:eastAsia="仿宋_GB2312"/>
          <w:sz w:val="32"/>
          <w:szCs w:val="32"/>
        </w:rPr>
        <w:t>VID网络视听产业园</w:t>
      </w:r>
      <w:r>
        <w:rPr>
          <w:rFonts w:hint="eastAsia" w:ascii="仿宋_GB2312" w:hAnsi="Times New Roman" w:eastAsia="仿宋_GB2312"/>
          <w:sz w:val="32"/>
          <w:szCs w:val="32"/>
          <w:lang w:eastAsia="zh-CN"/>
        </w:rPr>
        <w:t>、</w:t>
      </w:r>
      <w:r>
        <w:rPr>
          <w:rFonts w:hint="eastAsia" w:ascii="仿宋_GB2312" w:hAnsi="Times New Roman" w:eastAsia="仿宋_GB2312"/>
          <w:sz w:val="32"/>
          <w:szCs w:val="32"/>
          <w:lang w:val="en-US" w:eastAsia="zh-CN"/>
        </w:rPr>
        <w:t>步长科技园</w:t>
      </w:r>
      <w:r>
        <w:rPr>
          <w:rFonts w:hint="eastAsia" w:ascii="仿宋_GB2312" w:hAnsi="Times New Roman" w:eastAsia="仿宋_GB2312"/>
          <w:sz w:val="32"/>
          <w:szCs w:val="32"/>
        </w:rPr>
        <w:t>产业链提质升级。集聚头部企业与专业人才，完善超高清制作、AI内容生成等技术支撑体系。推动影视创作与文旅深度融合，开发沉浸式影视体验、影视研学等新业态，延伸产业链条。</w:t>
      </w:r>
    </w:p>
    <w:p w14:paraId="244287F8">
      <w:pPr>
        <w:rPr>
          <w:sz w:val="28"/>
          <w:szCs w:val="32"/>
        </w:rPr>
      </w:pPr>
      <w:r>
        <w:rPr>
          <w:rFonts w:hint="eastAsia"/>
          <w:sz w:val="28"/>
          <w:szCs w:val="32"/>
        </w:rPr>
        <w:br w:type="page"/>
      </w:r>
    </w:p>
    <w:p w14:paraId="2766F349">
      <w:pPr>
        <w:pStyle w:val="3"/>
        <w:keepNext w:val="0"/>
        <w:keepLines w:val="0"/>
        <w:widowControl/>
        <w:spacing w:before="156" w:beforeLines="50" w:after="156" w:afterLines="50" w:line="560" w:lineRule="exact"/>
        <w:jc w:val="center"/>
        <w:rPr>
          <w:rFonts w:hint="eastAsia" w:ascii="黑体" w:hAnsi="黑体" w:eastAsia="黑体"/>
          <w:b/>
          <w:bCs/>
          <w:color w:val="auto"/>
          <w:sz w:val="32"/>
          <w:szCs w:val="32"/>
        </w:rPr>
      </w:pPr>
      <w:bookmarkStart w:id="81" w:name="_Toc13737"/>
      <w:bookmarkStart w:id="82" w:name="_Toc14151"/>
      <w:bookmarkStart w:id="83" w:name="_Toc442"/>
      <w:bookmarkStart w:id="84" w:name="_Toc22209"/>
      <w:bookmarkStart w:id="85" w:name="_Toc20534"/>
      <w:bookmarkStart w:id="86" w:name="_Toc15280"/>
      <w:bookmarkStart w:id="87" w:name="_Toc3958"/>
      <w:bookmarkStart w:id="88" w:name="_Toc5173"/>
      <w:r>
        <w:rPr>
          <w:rFonts w:hint="eastAsia" w:ascii="黑体" w:hAnsi="黑体" w:eastAsia="黑体"/>
          <w:b/>
          <w:bCs/>
          <w:color w:val="auto"/>
          <w:sz w:val="32"/>
          <w:szCs w:val="32"/>
        </w:rPr>
        <w:t>第四章 以旅兴业，打造北京文旅经济新增长极</w:t>
      </w:r>
      <w:bookmarkEnd w:id="81"/>
      <w:bookmarkEnd w:id="82"/>
      <w:bookmarkEnd w:id="83"/>
      <w:bookmarkEnd w:id="84"/>
      <w:bookmarkEnd w:id="85"/>
      <w:bookmarkEnd w:id="86"/>
      <w:bookmarkEnd w:id="87"/>
      <w:bookmarkEnd w:id="88"/>
    </w:p>
    <w:p w14:paraId="349EB8E5">
      <w:pPr>
        <w:spacing w:line="560" w:lineRule="exact"/>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持续吸引知名文化旅游项目集聚，丰富旅游产品业态供给，不断推动旅游业提档升级，将</w:t>
      </w:r>
      <w:r>
        <w:rPr>
          <w:rFonts w:hint="eastAsia" w:ascii="仿宋_GB2312" w:hAnsi="仿宋_GB2312" w:eastAsia="仿宋_GB2312" w:cs="仿宋_GB2312"/>
          <w:sz w:val="32"/>
          <w:szCs w:val="32"/>
        </w:rPr>
        <w:t>通州区</w:t>
      </w:r>
      <w:r>
        <w:rPr>
          <w:rFonts w:hint="eastAsia" w:ascii="仿宋_GB2312" w:hAnsi="仿宋_GB2312" w:eastAsia="仿宋_GB2312" w:cs="仿宋_GB2312"/>
          <w:sz w:val="32"/>
          <w:szCs w:val="32"/>
          <w:lang w:val="en-US" w:eastAsia="zh-CN"/>
        </w:rPr>
        <w:t>建设</w:t>
      </w:r>
      <w:r>
        <w:rPr>
          <w:rFonts w:hint="eastAsia" w:ascii="仿宋_GB2312" w:hAnsi="仿宋_GB2312" w:eastAsia="仿宋_GB2312" w:cs="仿宋_GB2312"/>
          <w:sz w:val="32"/>
          <w:szCs w:val="32"/>
        </w:rPr>
        <w:t>成为北京市文化和旅游高质量发展新增长极</w:t>
      </w:r>
      <w:r>
        <w:rPr>
          <w:rFonts w:hint="eastAsia" w:ascii="仿宋_GB2312" w:hAnsi="仿宋_GB2312" w:eastAsia="仿宋_GB2312" w:cs="仿宋_GB2312"/>
          <w:sz w:val="32"/>
          <w:szCs w:val="32"/>
          <w:lang w:eastAsia="zh-CN"/>
        </w:rPr>
        <w:t>。</w:t>
      </w:r>
    </w:p>
    <w:p w14:paraId="379817DF">
      <w:pPr>
        <w:pStyle w:val="4"/>
        <w:spacing w:before="0" w:after="0" w:line="560" w:lineRule="exact"/>
        <w:ind w:firstLine="640" w:firstLineChars="200"/>
        <w:rPr>
          <w:rFonts w:hint="default" w:ascii="黑体" w:hAnsi="黑体" w:eastAsia="黑体"/>
          <w:color w:val="auto"/>
          <w:sz w:val="32"/>
          <w:szCs w:val="32"/>
          <w:lang w:val="en-US" w:eastAsia="zh-CN"/>
        </w:rPr>
      </w:pPr>
      <w:bookmarkStart w:id="89" w:name="_Toc17254"/>
      <w:bookmarkStart w:id="90" w:name="_Toc16555"/>
      <w:bookmarkStart w:id="91" w:name="_Toc4671"/>
      <w:bookmarkStart w:id="92" w:name="_Toc10340"/>
      <w:bookmarkStart w:id="93" w:name="_Toc18181"/>
      <w:bookmarkStart w:id="94" w:name="_Toc5395"/>
      <w:bookmarkStart w:id="95" w:name="_Toc31149"/>
      <w:bookmarkStart w:id="96" w:name="_Toc30938"/>
      <w:r>
        <w:rPr>
          <w:rFonts w:hint="eastAsia" w:ascii="黑体" w:hAnsi="黑体" w:eastAsia="黑体"/>
          <w:color w:val="auto"/>
          <w:sz w:val="32"/>
          <w:szCs w:val="32"/>
        </w:rPr>
        <w:t>一、</w:t>
      </w:r>
      <w:bookmarkEnd w:id="89"/>
      <w:bookmarkEnd w:id="90"/>
      <w:bookmarkEnd w:id="91"/>
      <w:bookmarkEnd w:id="92"/>
      <w:bookmarkEnd w:id="93"/>
      <w:bookmarkEnd w:id="94"/>
      <w:bookmarkEnd w:id="95"/>
      <w:r>
        <w:rPr>
          <w:rFonts w:hint="eastAsia" w:ascii="黑体" w:hAnsi="黑体" w:eastAsia="黑体"/>
          <w:color w:val="auto"/>
          <w:sz w:val="32"/>
          <w:szCs w:val="32"/>
          <w:lang w:val="en-US" w:eastAsia="zh-CN"/>
        </w:rPr>
        <w:t>强化文化旅游区建设</w:t>
      </w:r>
      <w:bookmarkEnd w:id="96"/>
    </w:p>
    <w:p w14:paraId="60D8A372">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w:t>
      </w:r>
      <w:r>
        <w:rPr>
          <w:rFonts w:hint="eastAsia" w:ascii="仿宋_GB2312" w:hAnsi="仿宋_GB2312" w:eastAsia="仿宋_GB2312" w:cs="仿宋_GB2312"/>
          <w:b/>
          <w:bCs/>
          <w:sz w:val="32"/>
          <w:szCs w:val="32"/>
          <w:lang w:val="en-US" w:eastAsia="zh-CN"/>
        </w:rPr>
        <w:t>重大文旅项目</w:t>
      </w:r>
      <w:r>
        <w:rPr>
          <w:rFonts w:hint="eastAsia" w:ascii="仿宋_GB2312" w:hAnsi="仿宋_GB2312" w:eastAsia="仿宋_GB2312" w:cs="仿宋_GB2312"/>
          <w:b/>
          <w:bCs/>
          <w:sz w:val="32"/>
          <w:szCs w:val="32"/>
        </w:rPr>
        <w:t>集聚化布局。</w:t>
      </w:r>
      <w:r>
        <w:rPr>
          <w:rFonts w:hint="eastAsia" w:ascii="仿宋_GB2312" w:hAnsi="仿宋_GB2312" w:eastAsia="仿宋_GB2312" w:cs="仿宋_GB2312"/>
          <w:sz w:val="32"/>
          <w:szCs w:val="32"/>
        </w:rPr>
        <w:t>持续推进北京环球度假区扩容升级，丰富主题业态、延伸产业链条。加快推进顶点公园、海昌海洋公园、</w:t>
      </w:r>
      <w:r>
        <w:rPr>
          <w:rFonts w:hint="eastAsia" w:ascii="仿宋_GB2312" w:hAnsi="仿宋_GB2312" w:eastAsia="仿宋_GB2312" w:cs="仿宋_GB2312"/>
          <w:sz w:val="32"/>
          <w:szCs w:val="32"/>
          <w:lang w:val="en-US" w:eastAsia="zh-CN"/>
        </w:rPr>
        <w:t>星耀中心</w:t>
      </w:r>
      <w:r>
        <w:rPr>
          <w:rFonts w:hint="eastAsia" w:ascii="仿宋_GB2312" w:hAnsi="仿宋_GB2312" w:eastAsia="仿宋_GB2312" w:cs="仿宋_GB2312"/>
          <w:sz w:val="32"/>
          <w:szCs w:val="32"/>
        </w:rPr>
        <w:t>等重点项目高质量</w:t>
      </w:r>
      <w:r>
        <w:rPr>
          <w:rFonts w:hint="eastAsia" w:ascii="仿宋_GB2312" w:hAnsi="仿宋_GB2312" w:eastAsia="仿宋_GB2312" w:cs="仿宋_GB2312"/>
          <w:sz w:val="32"/>
          <w:szCs w:val="32"/>
          <w:lang w:val="en-US" w:eastAsia="zh-CN"/>
        </w:rPr>
        <w:t>发展</w:t>
      </w:r>
      <w:r>
        <w:rPr>
          <w:rFonts w:hint="eastAsia" w:ascii="仿宋_GB2312" w:hAnsi="仿宋_GB2312" w:eastAsia="仿宋_GB2312" w:cs="仿宋_GB2312"/>
          <w:sz w:val="32"/>
          <w:szCs w:val="32"/>
        </w:rPr>
        <w:t>。按照差异化发展原则，进一步精准引进文化沉浸、潮流运动类主题</w:t>
      </w:r>
      <w:r>
        <w:rPr>
          <w:rFonts w:hint="eastAsia" w:ascii="仿宋_GB2312" w:hAnsi="仿宋_GB2312" w:eastAsia="仿宋_GB2312" w:cs="仿宋_GB2312"/>
          <w:sz w:val="32"/>
          <w:szCs w:val="32"/>
          <w:lang w:val="en-US" w:eastAsia="zh-CN"/>
        </w:rPr>
        <w:t>文旅</w:t>
      </w:r>
      <w:r>
        <w:rPr>
          <w:rFonts w:hint="eastAsia" w:ascii="仿宋_GB2312" w:hAnsi="仿宋_GB2312" w:eastAsia="仿宋_GB2312" w:cs="仿宋_GB2312"/>
          <w:sz w:val="32"/>
          <w:szCs w:val="32"/>
        </w:rPr>
        <w:t>项目，构建“核心引领、多点支撑、错位发展”的格局。</w:t>
      </w:r>
    </w:p>
    <w:p w14:paraId="323E30AD">
      <w:pPr>
        <w:spacing w:line="56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 xml:space="preserve">表4-1 </w:t>
      </w:r>
      <w:r>
        <w:rPr>
          <w:rFonts w:hint="eastAsia" w:ascii="仿宋_GB2312" w:hAnsi="Times New Roman" w:eastAsia="仿宋_GB2312"/>
          <w:b/>
          <w:bCs/>
          <w:sz w:val="28"/>
          <w:szCs w:val="28"/>
          <w:lang w:val="en-US" w:eastAsia="zh-CN"/>
        </w:rPr>
        <w:t>文化旅游区</w:t>
      </w:r>
      <w:r>
        <w:rPr>
          <w:rFonts w:hint="eastAsia" w:ascii="仿宋_GB2312" w:hAnsi="Times New Roman" w:eastAsia="仿宋_GB2312"/>
          <w:b/>
          <w:bCs/>
          <w:sz w:val="28"/>
          <w:szCs w:val="28"/>
        </w:rPr>
        <w:t>重点项目</w:t>
      </w:r>
    </w:p>
    <w:tbl>
      <w:tblPr>
        <w:tblStyle w:val="11"/>
        <w:tblW w:w="8680" w:type="dxa"/>
        <w:tblInd w:w="0" w:type="dxa"/>
        <w:tblLayout w:type="autofit"/>
        <w:tblCellMar>
          <w:top w:w="0" w:type="dxa"/>
          <w:left w:w="108" w:type="dxa"/>
          <w:bottom w:w="0" w:type="dxa"/>
          <w:right w:w="108" w:type="dxa"/>
        </w:tblCellMar>
      </w:tblPr>
      <w:tblGrid>
        <w:gridCol w:w="2540"/>
        <w:gridCol w:w="6140"/>
      </w:tblGrid>
      <w:tr w14:paraId="68B10212">
        <w:tblPrEx>
          <w:tblCellMar>
            <w:top w:w="0" w:type="dxa"/>
            <w:left w:w="108" w:type="dxa"/>
            <w:bottom w:w="0" w:type="dxa"/>
            <w:right w:w="108" w:type="dxa"/>
          </w:tblCellMar>
        </w:tblPrEx>
        <w:trPr>
          <w:trHeight w:val="405" w:hRule="atLeast"/>
        </w:trPr>
        <w:tc>
          <w:tcPr>
            <w:tcW w:w="2540" w:type="dxa"/>
            <w:tcBorders>
              <w:top w:val="single" w:color="auto" w:sz="4" w:space="0"/>
              <w:left w:val="single" w:color="auto" w:sz="4" w:space="0"/>
              <w:bottom w:val="single" w:color="auto" w:sz="4" w:space="0"/>
              <w:right w:val="single" w:color="auto" w:sz="4" w:space="0"/>
            </w:tcBorders>
            <w:noWrap/>
            <w:vAlign w:val="center"/>
          </w:tcPr>
          <w:p w14:paraId="1F177824">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项目名称</w:t>
            </w:r>
          </w:p>
        </w:tc>
        <w:tc>
          <w:tcPr>
            <w:tcW w:w="6140" w:type="dxa"/>
            <w:tcBorders>
              <w:top w:val="single" w:color="auto" w:sz="4" w:space="0"/>
              <w:left w:val="nil"/>
              <w:bottom w:val="single" w:color="auto" w:sz="4" w:space="0"/>
              <w:right w:val="single" w:color="auto" w:sz="4" w:space="0"/>
            </w:tcBorders>
            <w:noWrap/>
            <w:vAlign w:val="center"/>
          </w:tcPr>
          <w:p w14:paraId="6268C741">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项目内容</w:t>
            </w:r>
          </w:p>
        </w:tc>
      </w:tr>
      <w:tr w14:paraId="17F47D70">
        <w:tblPrEx>
          <w:tblCellMar>
            <w:top w:w="0" w:type="dxa"/>
            <w:left w:w="108" w:type="dxa"/>
            <w:bottom w:w="0" w:type="dxa"/>
            <w:right w:w="108" w:type="dxa"/>
          </w:tblCellMar>
        </w:tblPrEx>
        <w:trPr>
          <w:trHeight w:val="1058" w:hRule="atLeast"/>
        </w:trPr>
        <w:tc>
          <w:tcPr>
            <w:tcW w:w="2540" w:type="dxa"/>
            <w:tcBorders>
              <w:top w:val="nil"/>
              <w:left w:val="single" w:color="auto" w:sz="4" w:space="0"/>
              <w:bottom w:val="single" w:color="auto" w:sz="4" w:space="0"/>
              <w:right w:val="single" w:color="auto" w:sz="4" w:space="0"/>
            </w:tcBorders>
            <w:noWrap/>
            <w:vAlign w:val="center"/>
          </w:tcPr>
          <w:p w14:paraId="69A9573C">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顶点公园</w:t>
            </w:r>
          </w:p>
        </w:tc>
        <w:tc>
          <w:tcPr>
            <w:tcW w:w="6140" w:type="dxa"/>
            <w:tcBorders>
              <w:top w:val="nil"/>
              <w:left w:val="nil"/>
              <w:bottom w:val="single" w:color="auto" w:sz="4" w:space="0"/>
              <w:right w:val="single" w:color="auto" w:sz="4" w:space="0"/>
            </w:tcBorders>
            <w:vAlign w:val="center"/>
          </w:tcPr>
          <w:p w14:paraId="20848BD0">
            <w:pPr>
              <w:widowControl/>
              <w:snapToGrid w:val="0"/>
              <w:rPr>
                <w:rFonts w:hint="eastAsia" w:ascii="仿宋_GB2312" w:hAnsi="等线" w:eastAsia="仿宋_GB2312" w:cs="宋体"/>
                <w:kern w:val="0"/>
                <w:sz w:val="28"/>
                <w:szCs w:val="28"/>
              </w:rPr>
            </w:pPr>
            <w:r>
              <w:rPr>
                <w:rFonts w:hint="eastAsia" w:ascii="仿宋_GB2312" w:hAnsi="等线" w:eastAsia="仿宋_GB2312" w:cs="宋体"/>
                <w:kern w:val="0"/>
                <w:sz w:val="28"/>
                <w:szCs w:val="28"/>
              </w:rPr>
              <w:t>位于文化旅游区，打造国际IP室内乐园综合体，包括IP主题</w:t>
            </w:r>
            <w:r>
              <w:rPr>
                <w:rFonts w:hint="eastAsia" w:ascii="仿宋_GB2312" w:hAnsi="等线" w:eastAsia="仿宋_GB2312" w:cs="宋体"/>
                <w:kern w:val="0"/>
                <w:sz w:val="28"/>
                <w:szCs w:val="28"/>
                <w:lang w:val="en-US" w:eastAsia="zh-CN"/>
              </w:rPr>
              <w:t>产品</w:t>
            </w:r>
            <w:r>
              <w:rPr>
                <w:rFonts w:hint="eastAsia" w:ascii="仿宋_GB2312" w:hAnsi="等线" w:eastAsia="仿宋_GB2312" w:cs="宋体"/>
                <w:kern w:val="0"/>
                <w:sz w:val="28"/>
                <w:szCs w:val="28"/>
              </w:rPr>
              <w:t>、主题酒店、商业天街、商务中心等主要业态。</w:t>
            </w:r>
          </w:p>
        </w:tc>
      </w:tr>
      <w:tr w14:paraId="179026C2">
        <w:tblPrEx>
          <w:tblCellMar>
            <w:top w:w="0" w:type="dxa"/>
            <w:left w:w="108" w:type="dxa"/>
            <w:bottom w:w="0" w:type="dxa"/>
            <w:right w:w="108" w:type="dxa"/>
          </w:tblCellMar>
        </w:tblPrEx>
        <w:trPr>
          <w:trHeight w:val="1410" w:hRule="atLeast"/>
        </w:trPr>
        <w:tc>
          <w:tcPr>
            <w:tcW w:w="2540" w:type="dxa"/>
            <w:tcBorders>
              <w:top w:val="nil"/>
              <w:left w:val="single" w:color="auto" w:sz="4" w:space="0"/>
              <w:bottom w:val="single" w:color="auto" w:sz="4" w:space="0"/>
              <w:right w:val="single" w:color="auto" w:sz="4" w:space="0"/>
            </w:tcBorders>
            <w:vAlign w:val="center"/>
          </w:tcPr>
          <w:p w14:paraId="197CE11F">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北京海昌海洋公园</w:t>
            </w:r>
          </w:p>
        </w:tc>
        <w:tc>
          <w:tcPr>
            <w:tcW w:w="6140" w:type="dxa"/>
            <w:tcBorders>
              <w:top w:val="nil"/>
              <w:left w:val="nil"/>
              <w:bottom w:val="single" w:color="auto" w:sz="4" w:space="0"/>
              <w:right w:val="single" w:color="auto" w:sz="4" w:space="0"/>
            </w:tcBorders>
            <w:vAlign w:val="center"/>
          </w:tcPr>
          <w:p w14:paraId="66D514E9">
            <w:pPr>
              <w:widowControl/>
              <w:snapToGrid w:val="0"/>
              <w:rPr>
                <w:rFonts w:hint="eastAsia" w:ascii="仿宋_GB2312" w:hAnsi="等线" w:eastAsia="仿宋_GB2312" w:cs="宋体"/>
                <w:kern w:val="0"/>
                <w:sz w:val="28"/>
                <w:szCs w:val="28"/>
              </w:rPr>
            </w:pPr>
            <w:r>
              <w:rPr>
                <w:rFonts w:hint="eastAsia" w:ascii="仿宋_GB2312" w:hAnsi="等线" w:eastAsia="仿宋_GB2312" w:cs="宋体"/>
                <w:kern w:val="0"/>
                <w:sz w:val="28"/>
                <w:szCs w:val="28"/>
              </w:rPr>
              <w:t>位于文化旅游区，引入多样化的海洋生物、极地生物及大型海洋陆生生物，融合生态、科普、研学、互动、表演、艺术等功能，打造主题海洋馆、主题酒店和配套商业三大业态。</w:t>
            </w:r>
          </w:p>
        </w:tc>
      </w:tr>
    </w:tbl>
    <w:p w14:paraId="720339A8">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丰富文旅业态，加强区域协同</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lang w:val="en-US" w:eastAsia="zh-CN"/>
        </w:rPr>
        <w:t>强化文化旅游</w:t>
      </w:r>
      <w:r>
        <w:rPr>
          <w:rFonts w:hint="eastAsia" w:ascii="仿宋_GB2312" w:hAnsi="仿宋_GB2312" w:eastAsia="仿宋_GB2312" w:cs="仿宋_GB2312"/>
          <w:sz w:val="32"/>
          <w:szCs w:val="32"/>
        </w:rPr>
        <w:t>区内各景区业态创新，深挖地域特色与文化IP内核，聚力打造主题</w:t>
      </w:r>
      <w:r>
        <w:rPr>
          <w:rFonts w:hint="eastAsia" w:ascii="仿宋_GB2312" w:hAnsi="仿宋_GB2312" w:eastAsia="仿宋_GB2312" w:cs="仿宋_GB2312"/>
          <w:sz w:val="32"/>
          <w:szCs w:val="32"/>
          <w:lang w:val="en-US" w:eastAsia="zh-CN"/>
        </w:rPr>
        <w:t>餐饮、主题住宿</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主题娱乐、</w:t>
      </w:r>
      <w:r>
        <w:rPr>
          <w:rFonts w:hint="eastAsia" w:ascii="仿宋_GB2312" w:hAnsi="仿宋_GB2312" w:eastAsia="仿宋_GB2312" w:cs="仿宋_GB2312"/>
          <w:sz w:val="32"/>
          <w:szCs w:val="32"/>
        </w:rPr>
        <w:t>文创</w:t>
      </w:r>
      <w:r>
        <w:rPr>
          <w:rFonts w:hint="eastAsia" w:ascii="仿宋_GB2312" w:hAnsi="仿宋_GB2312" w:eastAsia="仿宋_GB2312" w:cs="仿宋_GB2312"/>
          <w:sz w:val="32"/>
          <w:szCs w:val="32"/>
          <w:lang w:val="en-US" w:eastAsia="zh-CN"/>
        </w:rPr>
        <w:t>购物</w:t>
      </w:r>
      <w:r>
        <w:rPr>
          <w:rFonts w:hint="eastAsia" w:ascii="仿宋_GB2312" w:hAnsi="仿宋_GB2312" w:eastAsia="仿宋_GB2312" w:cs="仿宋_GB2312"/>
          <w:sz w:val="32"/>
          <w:szCs w:val="32"/>
        </w:rPr>
        <w:t>、沉浸式演艺等多元业态，不断延伸文旅消费链条，全面提升产业综合效益与发展附加值。加强</w:t>
      </w:r>
      <w:r>
        <w:rPr>
          <w:rFonts w:hint="eastAsia" w:ascii="仿宋_GB2312" w:hAnsi="仿宋_GB2312" w:eastAsia="仿宋_GB2312" w:cs="仿宋_GB2312"/>
          <w:sz w:val="32"/>
          <w:szCs w:val="32"/>
          <w:lang w:val="en-US" w:eastAsia="zh-CN"/>
        </w:rPr>
        <w:t>文化旅游区</w:t>
      </w:r>
      <w:r>
        <w:rPr>
          <w:rFonts w:hint="eastAsia" w:ascii="仿宋_GB2312" w:hAnsi="仿宋_GB2312" w:eastAsia="仿宋_GB2312" w:cs="仿宋_GB2312"/>
          <w:sz w:val="32"/>
          <w:szCs w:val="32"/>
        </w:rPr>
        <w:t>与北京（通州）大运河文化旅游景区、台湖演艺小镇、城市绿心森林公园等优质文旅资源统筹联动，整合沿线文旅要素，统筹规划打造全域精品文旅游览线路，推动各类资源优势互补、业态互通、客源互流。</w:t>
      </w:r>
    </w:p>
    <w:p w14:paraId="0E47B4AB">
      <w:pPr>
        <w:pStyle w:val="4"/>
        <w:spacing w:before="0" w:after="0" w:line="560" w:lineRule="exact"/>
        <w:ind w:firstLine="640" w:firstLineChars="200"/>
        <w:rPr>
          <w:rFonts w:hint="eastAsia" w:ascii="黑体" w:hAnsi="黑体" w:eastAsia="黑体"/>
          <w:color w:val="auto"/>
          <w:sz w:val="32"/>
          <w:szCs w:val="32"/>
        </w:rPr>
      </w:pPr>
      <w:bookmarkStart w:id="97" w:name="_Toc11214"/>
      <w:bookmarkStart w:id="98" w:name="_Toc16022"/>
      <w:bookmarkStart w:id="99" w:name="_Toc11444"/>
      <w:bookmarkStart w:id="100" w:name="_Toc20918"/>
      <w:bookmarkStart w:id="101" w:name="_Toc24727"/>
      <w:bookmarkStart w:id="102" w:name="_Toc1961"/>
      <w:bookmarkStart w:id="103" w:name="_Toc7608"/>
      <w:bookmarkStart w:id="104" w:name="_Toc3982"/>
      <w:r>
        <w:rPr>
          <w:rFonts w:hint="eastAsia" w:ascii="黑体" w:hAnsi="黑体" w:eastAsia="黑体"/>
          <w:color w:val="auto"/>
          <w:sz w:val="32"/>
          <w:szCs w:val="32"/>
        </w:rPr>
        <w:t>二、促进大运河文旅景区提质升级</w:t>
      </w:r>
      <w:bookmarkEnd w:id="97"/>
      <w:bookmarkEnd w:id="98"/>
      <w:bookmarkEnd w:id="99"/>
      <w:bookmarkEnd w:id="100"/>
      <w:bookmarkEnd w:id="101"/>
      <w:bookmarkEnd w:id="102"/>
      <w:bookmarkEnd w:id="103"/>
      <w:bookmarkEnd w:id="104"/>
    </w:p>
    <w:p w14:paraId="6FEAC741">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强化以运河为轴线的空间优化布局。</w:t>
      </w:r>
      <w:r>
        <w:rPr>
          <w:rFonts w:hint="eastAsia" w:ascii="仿宋_GB2312" w:hAnsi="仿宋_GB2312" w:eastAsia="仿宋_GB2312" w:cs="仿宋_GB2312"/>
          <w:sz w:val="32"/>
          <w:szCs w:val="32"/>
        </w:rPr>
        <w:t>北部重点深化</w:t>
      </w:r>
      <w:r>
        <w:rPr>
          <w:rFonts w:hint="eastAsia" w:ascii="仿宋_GB2312" w:hAnsi="仿宋_GB2312" w:eastAsia="仿宋_GB2312" w:cs="仿宋_GB2312"/>
          <w:sz w:val="32"/>
          <w:szCs w:val="32"/>
          <w:lang w:val="en-US" w:eastAsia="zh-CN"/>
        </w:rPr>
        <w:t>与</w:t>
      </w:r>
      <w:r>
        <w:rPr>
          <w:rFonts w:hint="eastAsia" w:ascii="仿宋_GB2312" w:hAnsi="仿宋_GB2312" w:eastAsia="仿宋_GB2312" w:cs="仿宋_GB2312"/>
          <w:sz w:val="32"/>
          <w:szCs w:val="32"/>
        </w:rPr>
        <w:t>古建筑群的融合，做好“文物+”文章，将单一的古迹参观扩展为国风体验、非遗研学空间；南部重点提升生态休闲功能，优化滨水景观与绿道系统，完善服务设施，打造生态宜居、休闲舒适、文旅融合的城市滨水生态休闲片区；中部</w:t>
      </w:r>
      <w:r>
        <w:rPr>
          <w:rFonts w:hint="eastAsia" w:ascii="仿宋_GB2312" w:hAnsi="仿宋_GB2312" w:eastAsia="仿宋_GB2312" w:cs="仿宋_GB2312"/>
          <w:sz w:val="32"/>
          <w:szCs w:val="32"/>
          <w:lang w:val="en-US" w:eastAsia="zh-CN"/>
        </w:rPr>
        <w:t>重点</w:t>
      </w:r>
      <w:r>
        <w:rPr>
          <w:rFonts w:hint="eastAsia" w:ascii="仿宋_GB2312" w:hAnsi="仿宋_GB2312" w:eastAsia="仿宋_GB2312" w:cs="仿宋_GB2312"/>
          <w:sz w:val="32"/>
          <w:szCs w:val="32"/>
        </w:rPr>
        <w:t>推进运河公园水域景观提档升级</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丰富休闲场景</w:t>
      </w:r>
      <w:r>
        <w:rPr>
          <w:rFonts w:hint="eastAsia" w:ascii="仿宋_GB2312" w:hAnsi="仿宋_GB2312" w:eastAsia="仿宋_GB2312" w:cs="仿宋_GB2312"/>
          <w:sz w:val="32"/>
          <w:szCs w:val="32"/>
        </w:rPr>
        <w:t>。加强北京（通州）大运河文化旅游景区与城市绿心森林公园、北京艺术中心、北京城市图书馆、北京大运河博物馆、北京艺术博物馆之间联动。</w:t>
      </w:r>
    </w:p>
    <w:p w14:paraId="1CEB0ABB">
      <w:pPr>
        <w:spacing w:line="560" w:lineRule="exact"/>
        <w:ind w:firstLine="643" w:firstLineChars="200"/>
        <w:rPr>
          <w:rFonts w:hint="eastAsia" w:ascii="仿宋_GB2312" w:hAnsi="Times New Roman" w:eastAsia="仿宋_GB2312"/>
          <w:sz w:val="32"/>
          <w:szCs w:val="32"/>
          <w:lang w:eastAsia="zh-CN"/>
        </w:rPr>
      </w:pPr>
      <w:r>
        <w:rPr>
          <w:rFonts w:hint="eastAsia" w:ascii="仿宋_GB2312" w:hAnsi="仿宋_GB2312" w:eastAsia="仿宋_GB2312" w:cs="仿宋_GB2312"/>
          <w:b/>
          <w:bCs/>
          <w:sz w:val="32"/>
          <w:szCs w:val="32"/>
          <w:lang w:val="en-US" w:eastAsia="zh-CN"/>
        </w:rPr>
        <w:t>持续</w:t>
      </w:r>
      <w:r>
        <w:rPr>
          <w:rFonts w:hint="eastAsia" w:ascii="仿宋_GB2312" w:hAnsi="仿宋_GB2312" w:eastAsia="仿宋_GB2312" w:cs="仿宋_GB2312"/>
          <w:b/>
          <w:bCs/>
          <w:sz w:val="32"/>
          <w:szCs w:val="32"/>
        </w:rPr>
        <w:t>丰富文旅业态供给。</w:t>
      </w:r>
      <w:r>
        <w:rPr>
          <w:rFonts w:hint="eastAsia" w:ascii="仿宋_GB2312" w:hAnsi="仿宋_GB2312" w:eastAsia="仿宋_GB2312" w:cs="仿宋_GB2312"/>
          <w:sz w:val="32"/>
          <w:szCs w:val="32"/>
        </w:rPr>
        <w:t>推动运河文化与旅游、体育、商业深度融合，培育沉浸式运河体验、水工研学、夜间文旅、水上休闲等新型业态。</w:t>
      </w:r>
      <w:r>
        <w:rPr>
          <w:rFonts w:hint="eastAsia" w:ascii="仿宋_GB2312" w:hAnsi="Times New Roman" w:eastAsia="仿宋_GB2312"/>
          <w:sz w:val="32"/>
          <w:szCs w:val="32"/>
        </w:rPr>
        <w:t>以水线桥体、岸线景观、城市空间三大维度为抓手，系统提升大运河沿线景观照明品质与夜景风貌。</w:t>
      </w:r>
      <w:r>
        <w:rPr>
          <w:rFonts w:hint="eastAsia" w:ascii="仿宋_GB2312" w:hAnsi="仿宋_GB2312" w:eastAsia="仿宋_GB2312" w:cs="仿宋_GB2312"/>
          <w:sz w:val="32"/>
          <w:szCs w:val="32"/>
        </w:rPr>
        <w:t>运用AR/VR、全息投影等技术，在重要节点复现运河繁华盛景，</w:t>
      </w:r>
      <w:r>
        <w:rPr>
          <w:rFonts w:hint="eastAsia" w:ascii="仿宋_GB2312" w:hAnsi="仿宋_GB2312" w:eastAsia="仿宋_GB2312" w:cs="仿宋_GB2312"/>
          <w:sz w:val="32"/>
          <w:szCs w:val="32"/>
          <w:lang w:val="en-US" w:eastAsia="zh-CN"/>
        </w:rPr>
        <w:t>不断加强</w:t>
      </w:r>
      <w:r>
        <w:rPr>
          <w:rFonts w:hint="eastAsia" w:ascii="仿宋_GB2312" w:hAnsi="仿宋_GB2312" w:eastAsia="仿宋_GB2312" w:cs="仿宋_GB2312"/>
          <w:sz w:val="32"/>
          <w:szCs w:val="32"/>
        </w:rPr>
        <w:t>“运上行”沉浸式夜游</w:t>
      </w:r>
      <w:r>
        <w:rPr>
          <w:rFonts w:hint="eastAsia" w:ascii="仿宋_GB2312" w:hAnsi="仿宋_GB2312" w:eastAsia="仿宋_GB2312" w:cs="仿宋_GB2312"/>
          <w:sz w:val="32"/>
          <w:szCs w:val="32"/>
          <w:lang w:val="en-US" w:eastAsia="zh-CN"/>
        </w:rPr>
        <w:t>运营能力</w:t>
      </w:r>
      <w:r>
        <w:rPr>
          <w:rFonts w:hint="eastAsia" w:ascii="仿宋_GB2312" w:hAnsi="仿宋_GB2312" w:eastAsia="仿宋_GB2312" w:cs="仿宋_GB2312"/>
          <w:sz w:val="32"/>
          <w:szCs w:val="32"/>
        </w:rPr>
        <w:t>。引入高品质的运河主题民宿、精品露营和美学市集，构建“日游夜演、昼玩夜宿”的全时域消费场景，提升游客的参与度和消费黏性。</w:t>
      </w:r>
    </w:p>
    <w:p w14:paraId="0007586B">
      <w:pPr>
        <w:spacing w:line="560" w:lineRule="exact"/>
        <w:ind w:firstLine="643" w:firstLineChars="200"/>
        <w:rPr>
          <w:rFonts w:hint="eastAsia" w:ascii="仿宋_GB2312" w:hAnsi="Times New Roman" w:eastAsia="仿宋_GB2312"/>
          <w:sz w:val="32"/>
          <w:szCs w:val="32"/>
        </w:rPr>
      </w:pPr>
      <w:r>
        <w:rPr>
          <w:rFonts w:hint="eastAsia" w:ascii="仿宋_GB2312" w:hAnsi="仿宋_GB2312" w:eastAsia="仿宋_GB2312" w:cs="仿宋_GB2312"/>
          <w:b/>
          <w:bCs/>
          <w:sz w:val="32"/>
          <w:szCs w:val="32"/>
        </w:rPr>
        <w:t>健全配套设施，持续提升品牌影响力</w:t>
      </w:r>
      <w:r>
        <w:rPr>
          <w:rFonts w:hint="eastAsia" w:ascii="仿宋_GB2312" w:hAnsi="Times New Roman" w:eastAsia="仿宋_GB2312"/>
          <w:sz w:val="32"/>
          <w:szCs w:val="32"/>
        </w:rPr>
        <w:t>。推进绿化提升、岸线优化、便民设施</w:t>
      </w:r>
      <w:r>
        <w:rPr>
          <w:rFonts w:hint="eastAsia" w:ascii="仿宋_GB2312" w:hAnsi="Times New Roman" w:eastAsia="仿宋_GB2312"/>
          <w:sz w:val="32"/>
          <w:szCs w:val="32"/>
          <w:lang w:val="en-US" w:eastAsia="zh-CN"/>
        </w:rPr>
        <w:t>建设完善</w:t>
      </w:r>
      <w:r>
        <w:rPr>
          <w:rFonts w:hint="eastAsia" w:ascii="仿宋_GB2312" w:hAnsi="Times New Roman" w:eastAsia="仿宋_GB2312"/>
          <w:sz w:val="32"/>
          <w:szCs w:val="32"/>
        </w:rPr>
        <w:t>，丰富休闲娱乐和消费设施，综合提高景区的宜游性、便利性。</w:t>
      </w:r>
      <w:r>
        <w:rPr>
          <w:rFonts w:hint="eastAsia" w:ascii="仿宋_GB2312" w:hAnsi="Times New Roman" w:eastAsia="仿宋_GB2312"/>
          <w:sz w:val="32"/>
          <w:szCs w:val="32"/>
          <w:lang w:val="en-US" w:eastAsia="zh-CN"/>
        </w:rPr>
        <w:t>推</w:t>
      </w:r>
      <w:r>
        <w:rPr>
          <w:rFonts w:hint="eastAsia" w:ascii="仿宋_GB2312" w:hAnsi="Times New Roman" w:eastAsia="仿宋_GB2312"/>
          <w:sz w:val="32"/>
          <w:szCs w:val="32"/>
        </w:rPr>
        <w:t>进“人工智能+文旅”建设</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健全智慧导览、多语种服务与旅游大数据监测系统，进一步完善停车场、旅游厕所、咨询服务站等配套设施，以人性化、精细化管理提升游客满意度。持续办好大运河文化节、运河潮流嘉年华、龙舟邀请赛等标志性节事活动，构建全媒体矩阵，开展精准营销，不断提升景区市场影响力与美誉度。</w:t>
      </w:r>
    </w:p>
    <w:tbl>
      <w:tblPr>
        <w:tblStyle w:val="11"/>
        <w:tblW w:w="8620" w:type="dxa"/>
        <w:tblInd w:w="0" w:type="dxa"/>
        <w:tblLayout w:type="autofit"/>
        <w:tblCellMar>
          <w:top w:w="0" w:type="dxa"/>
          <w:left w:w="108" w:type="dxa"/>
          <w:bottom w:w="0" w:type="dxa"/>
          <w:right w:w="108" w:type="dxa"/>
        </w:tblCellMar>
      </w:tblPr>
      <w:tblGrid>
        <w:gridCol w:w="8620"/>
      </w:tblGrid>
      <w:tr w14:paraId="7791A483">
        <w:tblPrEx>
          <w:tblCellMar>
            <w:top w:w="0" w:type="dxa"/>
            <w:left w:w="108" w:type="dxa"/>
            <w:bottom w:w="0" w:type="dxa"/>
            <w:right w:w="108" w:type="dxa"/>
          </w:tblCellMar>
        </w:tblPrEx>
        <w:trPr>
          <w:trHeight w:val="624" w:hRule="atLeast"/>
        </w:trPr>
        <w:tc>
          <w:tcPr>
            <w:tcW w:w="8620" w:type="dxa"/>
            <w:tcBorders>
              <w:top w:val="single" w:color="auto" w:sz="4" w:space="0"/>
              <w:left w:val="single" w:color="auto" w:sz="4" w:space="0"/>
              <w:bottom w:val="single" w:color="auto" w:sz="4" w:space="0"/>
              <w:right w:val="single" w:color="auto" w:sz="4" w:space="0"/>
            </w:tcBorders>
            <w:noWrap/>
            <w:vAlign w:val="center"/>
          </w:tcPr>
          <w:p w14:paraId="1FD1466B">
            <w:pPr>
              <w:widowControl/>
              <w:snapToGrid w:val="0"/>
              <w:jc w:val="center"/>
              <w:rPr>
                <w:rFonts w:hint="eastAsia" w:ascii="仿宋_GB2312" w:hAnsi="等线" w:eastAsia="仿宋_GB2312" w:cs="宋体"/>
                <w:b/>
                <w:bCs/>
                <w:kern w:val="0"/>
                <w:sz w:val="28"/>
                <w:szCs w:val="28"/>
                <w:lang w:val="en-US" w:eastAsia="zh-CN"/>
              </w:rPr>
            </w:pPr>
            <w:r>
              <w:rPr>
                <w:rFonts w:hint="eastAsia" w:ascii="仿宋_GB2312" w:hAnsi="等线" w:eastAsia="仿宋_GB2312" w:cs="宋体"/>
                <w:b/>
                <w:bCs/>
                <w:kern w:val="0"/>
                <w:sz w:val="28"/>
                <w:szCs w:val="28"/>
              </w:rPr>
              <w:t>专栏</w:t>
            </w:r>
            <w:r>
              <w:rPr>
                <w:rFonts w:hint="eastAsia" w:ascii="仿宋_GB2312" w:hAnsi="等线" w:eastAsia="仿宋_GB2312" w:cs="宋体"/>
                <w:b/>
                <w:bCs/>
                <w:kern w:val="0"/>
                <w:sz w:val="28"/>
                <w:szCs w:val="28"/>
                <w:lang w:val="en-US" w:eastAsia="zh-CN"/>
              </w:rPr>
              <w:t>4</w:t>
            </w:r>
            <w:r>
              <w:rPr>
                <w:rFonts w:hint="eastAsia" w:ascii="仿宋_GB2312" w:hAnsi="等线" w:eastAsia="仿宋_GB2312" w:cs="宋体"/>
                <w:b/>
                <w:bCs/>
                <w:kern w:val="0"/>
                <w:sz w:val="28"/>
                <w:szCs w:val="28"/>
              </w:rPr>
              <w:t>-</w:t>
            </w:r>
            <w:r>
              <w:rPr>
                <w:rFonts w:hint="eastAsia" w:ascii="仿宋_GB2312" w:hAnsi="等线" w:eastAsia="仿宋_GB2312" w:cs="宋体"/>
                <w:b/>
                <w:bCs/>
                <w:kern w:val="0"/>
                <w:sz w:val="28"/>
                <w:szCs w:val="28"/>
                <w:lang w:val="en-US" w:eastAsia="zh-CN"/>
              </w:rPr>
              <w:t>1</w:t>
            </w:r>
            <w:r>
              <w:rPr>
                <w:rFonts w:hint="eastAsia" w:ascii="仿宋_GB2312" w:hAnsi="等线" w:eastAsia="仿宋_GB2312" w:cs="宋体"/>
                <w:b/>
                <w:bCs/>
                <w:kern w:val="0"/>
                <w:sz w:val="28"/>
                <w:szCs w:val="28"/>
              </w:rPr>
              <w:t>：“人工智能+文旅”</w:t>
            </w:r>
            <w:r>
              <w:rPr>
                <w:rFonts w:hint="eastAsia" w:ascii="仿宋_GB2312" w:hAnsi="等线" w:eastAsia="仿宋_GB2312" w:cs="宋体"/>
                <w:b/>
                <w:bCs/>
                <w:kern w:val="0"/>
                <w:sz w:val="28"/>
                <w:szCs w:val="28"/>
                <w:lang w:val="en-US" w:eastAsia="zh-CN"/>
              </w:rPr>
              <w:t>工程</w:t>
            </w:r>
          </w:p>
        </w:tc>
      </w:tr>
      <w:tr w14:paraId="15CDCB31">
        <w:tblPrEx>
          <w:tblCellMar>
            <w:top w:w="0" w:type="dxa"/>
            <w:left w:w="108" w:type="dxa"/>
            <w:bottom w:w="0" w:type="dxa"/>
            <w:right w:w="108" w:type="dxa"/>
          </w:tblCellMar>
        </w:tblPrEx>
        <w:trPr>
          <w:trHeight w:val="1058" w:hRule="atLeast"/>
        </w:trPr>
        <w:tc>
          <w:tcPr>
            <w:tcW w:w="8620" w:type="dxa"/>
            <w:tcBorders>
              <w:top w:val="nil"/>
              <w:left w:val="single" w:color="auto" w:sz="4" w:space="0"/>
              <w:bottom w:val="nil"/>
              <w:right w:val="single" w:color="auto" w:sz="4" w:space="0"/>
            </w:tcBorders>
            <w:vAlign w:val="center"/>
          </w:tcPr>
          <w:p w14:paraId="75B16FCF">
            <w:pPr>
              <w:widowControl/>
              <w:snapToGrid w:val="0"/>
              <w:ind w:firstLine="562" w:firstLineChars="200"/>
              <w:rPr>
                <w:rFonts w:hint="eastAsia" w:ascii="仿宋_GB2312" w:hAnsi="等线" w:eastAsia="仿宋_GB2312" w:cs="宋体"/>
                <w:kern w:val="0"/>
                <w:sz w:val="28"/>
                <w:szCs w:val="28"/>
              </w:rPr>
            </w:pPr>
            <w:r>
              <w:rPr>
                <w:rFonts w:hint="eastAsia" w:ascii="仿宋_GB2312" w:hAnsi="等线" w:eastAsia="仿宋_GB2312" w:cs="宋体"/>
                <w:b/>
                <w:bCs/>
                <w:kern w:val="0"/>
                <w:sz w:val="28"/>
                <w:szCs w:val="28"/>
              </w:rPr>
              <w:t>智慧文旅产品体系：</w:t>
            </w:r>
            <w:r>
              <w:rPr>
                <w:rFonts w:hint="eastAsia" w:ascii="仿宋_GB2312" w:hAnsi="等线" w:eastAsia="仿宋_GB2312" w:cs="宋体"/>
                <w:kern w:val="0"/>
                <w:sz w:val="28"/>
                <w:szCs w:val="28"/>
              </w:rPr>
              <w:t>应用智能平台与软件、智能硬件等技术开发文旅产品，打造大运河文化带旅游线路，推出数字化导览系统、沉浸式旅游演艺产品。</w:t>
            </w:r>
          </w:p>
        </w:tc>
      </w:tr>
      <w:tr w14:paraId="08CBB3B3">
        <w:tblPrEx>
          <w:tblCellMar>
            <w:top w:w="0" w:type="dxa"/>
            <w:left w:w="108" w:type="dxa"/>
            <w:bottom w:w="0" w:type="dxa"/>
            <w:right w:w="108" w:type="dxa"/>
          </w:tblCellMar>
        </w:tblPrEx>
        <w:trPr>
          <w:trHeight w:val="705" w:hRule="atLeast"/>
        </w:trPr>
        <w:tc>
          <w:tcPr>
            <w:tcW w:w="8620" w:type="dxa"/>
            <w:tcBorders>
              <w:top w:val="nil"/>
              <w:left w:val="single" w:color="auto" w:sz="4" w:space="0"/>
              <w:bottom w:val="nil"/>
              <w:right w:val="single" w:color="auto" w:sz="4" w:space="0"/>
            </w:tcBorders>
            <w:vAlign w:val="center"/>
          </w:tcPr>
          <w:p w14:paraId="22C361A4">
            <w:pPr>
              <w:widowControl/>
              <w:snapToGrid w:val="0"/>
              <w:ind w:firstLine="562" w:firstLineChars="200"/>
              <w:rPr>
                <w:rFonts w:hint="eastAsia" w:ascii="仿宋_GB2312" w:hAnsi="等线" w:eastAsia="仿宋_GB2312" w:cs="宋体"/>
                <w:kern w:val="0"/>
                <w:sz w:val="28"/>
                <w:szCs w:val="28"/>
              </w:rPr>
            </w:pPr>
            <w:r>
              <w:rPr>
                <w:rFonts w:hint="eastAsia" w:ascii="仿宋_GB2312" w:hAnsi="等线" w:eastAsia="仿宋_GB2312" w:cs="宋体"/>
                <w:b/>
                <w:bCs/>
                <w:kern w:val="0"/>
                <w:sz w:val="28"/>
                <w:szCs w:val="28"/>
              </w:rPr>
              <w:t>智慧文旅消费业态：</w:t>
            </w:r>
            <w:r>
              <w:rPr>
                <w:rFonts w:hint="eastAsia" w:ascii="仿宋_GB2312" w:hAnsi="等线" w:eastAsia="仿宋_GB2312" w:cs="宋体"/>
                <w:kern w:val="0"/>
                <w:sz w:val="28"/>
                <w:szCs w:val="28"/>
              </w:rPr>
              <w:t>探索构建全域旅游服务智能体，打造线上线下融合的数字化文旅消费新业态，建设虚拟与现实融合的文旅地标。</w:t>
            </w:r>
          </w:p>
        </w:tc>
      </w:tr>
      <w:tr w14:paraId="464BFA2E">
        <w:tblPrEx>
          <w:tblCellMar>
            <w:top w:w="0" w:type="dxa"/>
            <w:left w:w="108" w:type="dxa"/>
            <w:bottom w:w="0" w:type="dxa"/>
            <w:right w:w="108" w:type="dxa"/>
          </w:tblCellMar>
        </w:tblPrEx>
        <w:trPr>
          <w:trHeight w:val="1058" w:hRule="atLeast"/>
        </w:trPr>
        <w:tc>
          <w:tcPr>
            <w:tcW w:w="8620" w:type="dxa"/>
            <w:tcBorders>
              <w:top w:val="nil"/>
              <w:left w:val="single" w:color="auto" w:sz="4" w:space="0"/>
              <w:bottom w:val="nil"/>
              <w:right w:val="single" w:color="auto" w:sz="4" w:space="0"/>
            </w:tcBorders>
            <w:vAlign w:val="center"/>
          </w:tcPr>
          <w:p w14:paraId="0169B47C">
            <w:pPr>
              <w:widowControl/>
              <w:snapToGrid w:val="0"/>
              <w:ind w:firstLine="562" w:firstLineChars="200"/>
              <w:rPr>
                <w:rFonts w:hint="eastAsia" w:ascii="仿宋_GB2312" w:hAnsi="等线" w:eastAsia="仿宋_GB2312" w:cs="宋体"/>
                <w:kern w:val="0"/>
                <w:sz w:val="28"/>
                <w:szCs w:val="28"/>
              </w:rPr>
            </w:pPr>
            <w:r>
              <w:rPr>
                <w:rFonts w:hint="eastAsia" w:ascii="仿宋_GB2312" w:hAnsi="等线" w:eastAsia="仿宋_GB2312" w:cs="宋体"/>
                <w:b/>
                <w:bCs/>
                <w:kern w:val="0"/>
                <w:sz w:val="28"/>
                <w:szCs w:val="28"/>
              </w:rPr>
              <w:t>智慧文旅空间建设：</w:t>
            </w:r>
            <w:r>
              <w:rPr>
                <w:rFonts w:hint="eastAsia" w:ascii="仿宋_GB2312" w:hAnsi="等线" w:eastAsia="仿宋_GB2312" w:cs="宋体"/>
                <w:kern w:val="0"/>
                <w:sz w:val="28"/>
                <w:szCs w:val="28"/>
              </w:rPr>
              <w:t>应用虚拟现实、数字孪生、数字人、智能机器人等技术，活化利用历史文化场所与工业遗产，打造沉浸式文旅体验新空间。</w:t>
            </w:r>
          </w:p>
        </w:tc>
      </w:tr>
      <w:tr w14:paraId="1336C086">
        <w:tblPrEx>
          <w:tblCellMar>
            <w:top w:w="0" w:type="dxa"/>
            <w:left w:w="108" w:type="dxa"/>
            <w:bottom w:w="0" w:type="dxa"/>
            <w:right w:w="108" w:type="dxa"/>
          </w:tblCellMar>
        </w:tblPrEx>
        <w:trPr>
          <w:trHeight w:val="705" w:hRule="atLeast"/>
        </w:trPr>
        <w:tc>
          <w:tcPr>
            <w:tcW w:w="8620" w:type="dxa"/>
            <w:tcBorders>
              <w:top w:val="nil"/>
              <w:left w:val="single" w:color="auto" w:sz="4" w:space="0"/>
              <w:bottom w:val="single" w:color="auto" w:sz="4" w:space="0"/>
              <w:right w:val="single" w:color="auto" w:sz="4" w:space="0"/>
            </w:tcBorders>
            <w:vAlign w:val="bottom"/>
          </w:tcPr>
          <w:p w14:paraId="6E6E24C2">
            <w:pPr>
              <w:widowControl/>
              <w:snapToGrid w:val="0"/>
              <w:ind w:firstLine="562" w:firstLineChars="200"/>
              <w:rPr>
                <w:rFonts w:hint="eastAsia" w:ascii="仿宋_GB2312" w:hAnsi="等线" w:eastAsia="仿宋_GB2312" w:cs="宋体"/>
                <w:kern w:val="0"/>
                <w:sz w:val="28"/>
                <w:szCs w:val="28"/>
              </w:rPr>
            </w:pPr>
            <w:r>
              <w:rPr>
                <w:rFonts w:hint="eastAsia" w:ascii="仿宋_GB2312" w:hAnsi="等线" w:eastAsia="仿宋_GB2312" w:cs="宋体"/>
                <w:b/>
                <w:bCs/>
                <w:kern w:val="0"/>
                <w:sz w:val="28"/>
                <w:szCs w:val="28"/>
              </w:rPr>
              <w:t>智慧文旅运营能力提升：</w:t>
            </w:r>
            <w:r>
              <w:rPr>
                <w:rFonts w:hint="eastAsia" w:ascii="仿宋_GB2312" w:hAnsi="等线" w:eastAsia="仿宋_GB2312" w:cs="宋体"/>
                <w:kern w:val="0"/>
                <w:sz w:val="28"/>
                <w:szCs w:val="28"/>
              </w:rPr>
              <w:t>支持</w:t>
            </w:r>
            <w:r>
              <w:rPr>
                <w:rFonts w:hint="eastAsia" w:ascii="仿宋_GB2312" w:hAnsi="等线" w:eastAsia="仿宋_GB2312" w:cs="宋体"/>
                <w:kern w:val="0"/>
                <w:sz w:val="28"/>
                <w:szCs w:val="28"/>
                <w:lang w:val="en-US" w:eastAsia="zh-CN"/>
              </w:rPr>
              <w:t>通州区</w:t>
            </w:r>
            <w:r>
              <w:rPr>
                <w:rFonts w:hint="eastAsia" w:ascii="仿宋_GB2312" w:hAnsi="等线" w:eastAsia="仿宋_GB2312" w:cs="宋体"/>
                <w:kern w:val="0"/>
                <w:sz w:val="28"/>
                <w:szCs w:val="28"/>
              </w:rPr>
              <w:t>旅游景区、休闲街区在运营管理、安全生产等领域应用人工智能技术。</w:t>
            </w:r>
          </w:p>
        </w:tc>
      </w:tr>
    </w:tbl>
    <w:p w14:paraId="34D7A1FE">
      <w:pPr>
        <w:pStyle w:val="4"/>
        <w:spacing w:before="0" w:after="0" w:line="560" w:lineRule="exact"/>
        <w:ind w:firstLine="640" w:firstLineChars="200"/>
        <w:rPr>
          <w:rFonts w:hint="eastAsia" w:ascii="黑体" w:hAnsi="黑体" w:eastAsia="黑体"/>
          <w:color w:val="auto"/>
          <w:sz w:val="32"/>
          <w:szCs w:val="32"/>
        </w:rPr>
      </w:pPr>
      <w:bookmarkStart w:id="105" w:name="_Toc11783"/>
      <w:bookmarkStart w:id="106" w:name="_Toc11332"/>
      <w:bookmarkStart w:id="107" w:name="_Toc19239"/>
      <w:bookmarkStart w:id="108" w:name="_Toc15684"/>
      <w:bookmarkStart w:id="109" w:name="_Toc20521"/>
      <w:bookmarkStart w:id="110" w:name="_Toc2138"/>
      <w:bookmarkStart w:id="111" w:name="_Toc9239"/>
      <w:bookmarkStart w:id="112" w:name="_Toc9188"/>
      <w:r>
        <w:rPr>
          <w:rFonts w:hint="eastAsia" w:ascii="黑体" w:hAnsi="黑体" w:eastAsia="黑体"/>
          <w:color w:val="auto"/>
          <w:sz w:val="32"/>
          <w:szCs w:val="32"/>
        </w:rPr>
        <w:t>三、推进旅游</w:t>
      </w:r>
      <w:r>
        <w:rPr>
          <w:rFonts w:hint="eastAsia" w:ascii="黑体" w:hAnsi="黑体" w:eastAsia="黑体"/>
          <w:color w:val="auto"/>
          <w:sz w:val="32"/>
          <w:szCs w:val="32"/>
          <w:lang w:val="en-US" w:eastAsia="zh-CN"/>
        </w:rPr>
        <w:t>产</w:t>
      </w:r>
      <w:r>
        <w:rPr>
          <w:rFonts w:hint="eastAsia" w:ascii="黑体" w:hAnsi="黑体" w:eastAsia="黑体"/>
          <w:color w:val="auto"/>
          <w:sz w:val="32"/>
          <w:szCs w:val="32"/>
        </w:rPr>
        <w:t>业提档升级</w:t>
      </w:r>
      <w:bookmarkEnd w:id="105"/>
      <w:bookmarkEnd w:id="106"/>
      <w:bookmarkEnd w:id="107"/>
      <w:bookmarkEnd w:id="108"/>
      <w:bookmarkEnd w:id="109"/>
      <w:bookmarkEnd w:id="110"/>
      <w:bookmarkEnd w:id="111"/>
      <w:bookmarkEnd w:id="112"/>
    </w:p>
    <w:p w14:paraId="4F6E4BB1">
      <w:pPr>
        <w:widowControl/>
        <w:spacing w:line="560" w:lineRule="exact"/>
        <w:ind w:firstLine="643" w:firstLineChars="200"/>
        <w:rPr>
          <w:rFonts w:hint="eastAsia" w:ascii="仿宋_GB2312" w:hAnsi="楷体_GB2312" w:eastAsia="仿宋_GB2312" w:cs="楷体_GB2312"/>
          <w:kern w:val="0"/>
          <w:sz w:val="32"/>
          <w:szCs w:val="32"/>
        </w:rPr>
      </w:pPr>
      <w:r>
        <w:rPr>
          <w:rFonts w:hint="eastAsia" w:ascii="仿宋_GB2312" w:hAnsi="Times New Roman" w:eastAsia="仿宋_GB2312"/>
          <w:b/>
          <w:bCs/>
          <w:sz w:val="32"/>
          <w:szCs w:val="32"/>
          <w:lang w:val="en-US" w:eastAsia="zh-CN"/>
        </w:rPr>
        <w:t>做特餐饮业</w:t>
      </w:r>
      <w:r>
        <w:rPr>
          <w:rFonts w:hint="eastAsia" w:ascii="仿宋_GB2312" w:hAnsi="Times New Roman" w:eastAsia="仿宋_GB2312"/>
          <w:b/>
          <w:bCs/>
          <w:sz w:val="32"/>
          <w:szCs w:val="32"/>
        </w:rPr>
        <w:t>。</w:t>
      </w:r>
      <w:r>
        <w:rPr>
          <w:rFonts w:hint="eastAsia" w:ascii="仿宋_GB2312" w:hAnsi="Times New Roman" w:eastAsia="仿宋_GB2312"/>
          <w:sz w:val="32"/>
          <w:szCs w:val="32"/>
        </w:rPr>
        <w:t>深耕在地风味，重点盘活老字号与非遗资源，聚焦大顺斋糖火烧、小楼烧鲇鱼、仙源腐乳及瓤豆腐、咯吱盒、漕运烧酒等非遗技艺，以“京味国潮”</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老字号为特色，推动大顺斋、小楼等品牌入驻运河西岸、社区商业，开设非遗体验店、快闪店。梳理运河美食谱系，挖掘漕运码头菜、张家湾乡土菜</w:t>
      </w:r>
      <w:r>
        <w:rPr>
          <w:rFonts w:hint="eastAsia" w:ascii="仿宋_GB2312" w:hAnsi="Times New Roman" w:eastAsia="仿宋_GB2312"/>
          <w:sz w:val="32"/>
          <w:szCs w:val="32"/>
          <w:lang w:eastAsia="zh-CN"/>
        </w:rPr>
        <w:t>、通州八大碗</w:t>
      </w:r>
      <w:r>
        <w:rPr>
          <w:rFonts w:hint="eastAsia" w:ascii="仿宋_GB2312" w:hAnsi="Times New Roman" w:eastAsia="仿宋_GB2312"/>
          <w:sz w:val="32"/>
          <w:szCs w:val="32"/>
        </w:rPr>
        <w:t>等</w:t>
      </w:r>
      <w:r>
        <w:rPr>
          <w:rFonts w:hint="eastAsia" w:ascii="仿宋_GB2312" w:hAnsi="Times New Roman" w:eastAsia="仿宋_GB2312"/>
          <w:sz w:val="32"/>
          <w:szCs w:val="32"/>
          <w:lang w:val="en-US" w:eastAsia="zh-CN"/>
        </w:rPr>
        <w:t>特色菜品</w:t>
      </w:r>
      <w:r>
        <w:rPr>
          <w:rFonts w:hint="eastAsia" w:ascii="仿宋_GB2312" w:hAnsi="Times New Roman" w:eastAsia="仿宋_GB2312"/>
          <w:sz w:val="32"/>
          <w:szCs w:val="32"/>
        </w:rPr>
        <w:t>，整理特色运河味道，打造“运河食韵”文化IP。</w:t>
      </w:r>
      <w:r>
        <w:rPr>
          <w:rFonts w:hint="eastAsia" w:ascii="仿宋_GB2312" w:hAnsi="Times New Roman" w:eastAsia="仿宋_GB2312"/>
          <w:sz w:val="32"/>
          <w:szCs w:val="32"/>
          <w:lang w:bidi="ar"/>
        </w:rPr>
        <w:t>将运河漕运故事、鱼文化传说融入宴品设计，复原漕运船菜、码头鱼席。</w:t>
      </w:r>
      <w:r>
        <w:rPr>
          <w:rFonts w:hint="eastAsia" w:ascii="仿宋_GB2312" w:hAnsi="楷体_GB2312" w:eastAsia="仿宋_GB2312" w:cs="楷体_GB2312"/>
          <w:kern w:val="0"/>
          <w:sz w:val="32"/>
          <w:szCs w:val="32"/>
        </w:rPr>
        <w:t>构建消费场景，引</w:t>
      </w:r>
      <w:r>
        <w:rPr>
          <w:rFonts w:ascii="Times New Roman" w:hAnsi="Times New Roman" w:eastAsia="仿宋_GB2312" w:cs="Times New Roman"/>
          <w:sz w:val="32"/>
          <w:szCs w:val="32"/>
        </w:rPr>
        <w:t>进国内外知名品质餐厅，培育一批以运河文化为主题的特色餐饮品牌门店</w:t>
      </w:r>
      <w:r>
        <w:rPr>
          <w:rFonts w:ascii="仿宋_GB2312" w:hAnsi="Times New Roman" w:eastAsia="仿宋_GB2312"/>
          <w:sz w:val="32"/>
          <w:szCs w:val="32"/>
        </w:rPr>
        <w:t>。</w:t>
      </w:r>
      <w:r>
        <w:rPr>
          <w:rFonts w:hint="eastAsia" w:ascii="仿宋_GB2312" w:hAnsi="楷体_GB2312" w:eastAsia="仿宋_GB2312" w:cs="楷体_GB2312"/>
          <w:kern w:val="0"/>
          <w:sz w:val="32"/>
          <w:szCs w:val="32"/>
        </w:rPr>
        <w:t>高标准建设旅游美食示范店、特色店，培育网红打卡地，打造特色商业街及集聚区。编制通州旅游美食地图，串联特色景点、非遗美食及特色餐饮，开发多元美食主题线路。</w:t>
      </w:r>
      <w:r>
        <w:rPr>
          <w:rFonts w:hint="eastAsia" w:ascii="仿宋_GB2312" w:hAnsi="Times New Roman" w:eastAsia="仿宋_GB2312"/>
          <w:sz w:val="32"/>
          <w:szCs w:val="32"/>
        </w:rPr>
        <w:t>推动餐饮与文旅场景深度融合，</w:t>
      </w:r>
      <w:r>
        <w:rPr>
          <w:rFonts w:ascii="仿宋_GB2312" w:hAnsi="楷体_GB2312" w:eastAsia="仿宋_GB2312" w:cs="楷体_GB2312"/>
          <w:kern w:val="0"/>
          <w:sz w:val="32"/>
          <w:szCs w:val="32"/>
        </w:rPr>
        <w:t>结合特色街区、滨水空间与乡村旅游，布局非遗小吃集市、深夜食堂等多元业态，将美食流量转化为在地文旅消费增量。</w:t>
      </w:r>
    </w:p>
    <w:p w14:paraId="555A922D">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sz w:val="32"/>
          <w:szCs w:val="32"/>
          <w:lang w:bidi="ar"/>
        </w:rPr>
      </w:pPr>
      <w:r>
        <w:rPr>
          <w:rFonts w:hint="eastAsia" w:ascii="仿宋_GB2312" w:hAnsi="Times New Roman" w:eastAsia="仿宋_GB2312"/>
          <w:b/>
          <w:bCs/>
          <w:sz w:val="32"/>
          <w:szCs w:val="32"/>
          <w:lang w:val="en-US" w:eastAsia="zh-CN"/>
        </w:rPr>
        <w:t>做大住宿业</w:t>
      </w:r>
      <w:r>
        <w:rPr>
          <w:rFonts w:hint="eastAsia" w:ascii="仿宋_GB2312" w:hAnsi="Times New Roman" w:eastAsia="仿宋_GB2312"/>
          <w:b/>
          <w:bCs/>
          <w:sz w:val="32"/>
          <w:szCs w:val="32"/>
        </w:rPr>
        <w:t>。</w:t>
      </w:r>
      <w:r>
        <w:rPr>
          <w:rFonts w:hint="eastAsia" w:ascii="仿宋_GB2312" w:hAnsi="Times New Roman" w:eastAsia="仿宋_GB2312"/>
          <w:sz w:val="32"/>
          <w:szCs w:val="32"/>
        </w:rPr>
        <w:t>完善高端商务酒店、连锁品牌酒店配套布局，适度发展主题度假酒店、</w:t>
      </w:r>
      <w:r>
        <w:rPr>
          <w:rFonts w:hint="eastAsia" w:ascii="仿宋_GB2312" w:hAnsi="Times New Roman" w:eastAsia="仿宋_GB2312"/>
          <w:sz w:val="32"/>
          <w:szCs w:val="32"/>
          <w:lang w:val="en-US" w:eastAsia="zh-CN"/>
        </w:rPr>
        <w:t>精品民宿、露营地及</w:t>
      </w:r>
      <w:r>
        <w:rPr>
          <w:rFonts w:hint="eastAsia" w:ascii="仿宋_GB2312" w:hAnsi="Times New Roman" w:eastAsia="仿宋_GB2312"/>
          <w:sz w:val="32"/>
          <w:szCs w:val="32"/>
        </w:rPr>
        <w:t>康养旅居等多元业态。积极推动特色主题民宿等级评定工作有序开展。通过政策引导，</w:t>
      </w:r>
      <w:r>
        <w:rPr>
          <w:rFonts w:hint="eastAsia" w:ascii="仿宋_GB2312" w:hAnsi="Times New Roman" w:eastAsia="仿宋_GB2312"/>
          <w:sz w:val="32"/>
          <w:szCs w:val="32"/>
          <w:lang w:val="en-US" w:eastAsia="zh-CN"/>
        </w:rPr>
        <w:t>对现有中大型老旧酒店进行</w:t>
      </w:r>
      <w:r>
        <w:rPr>
          <w:rFonts w:hint="eastAsia" w:ascii="仿宋_GB2312" w:hAnsi="Times New Roman" w:eastAsia="仿宋_GB2312"/>
          <w:sz w:val="32"/>
          <w:szCs w:val="32"/>
        </w:rPr>
        <w:t>提档升级</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推进中小型单一品牌酒店连锁化发展</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推动传统住宿业态提质升级，植入运河文化、艺术文创等在地元素，</w:t>
      </w:r>
      <w:r>
        <w:rPr>
          <w:rFonts w:hint="eastAsia" w:ascii="仿宋_GB2312" w:hAnsi="Times New Roman" w:eastAsia="仿宋_GB2312"/>
          <w:sz w:val="32"/>
          <w:szCs w:val="32"/>
          <w:lang w:val="en-US" w:eastAsia="zh-CN"/>
        </w:rPr>
        <w:t>发展一批</w:t>
      </w:r>
      <w:r>
        <w:rPr>
          <w:rFonts w:hint="eastAsia" w:ascii="仿宋_GB2312" w:hAnsi="Times New Roman" w:eastAsia="仿宋_GB2312"/>
          <w:sz w:val="32"/>
          <w:szCs w:val="32"/>
        </w:rPr>
        <w:t>特色主题</w:t>
      </w:r>
      <w:r>
        <w:rPr>
          <w:rFonts w:hint="eastAsia" w:ascii="仿宋_GB2312" w:hAnsi="Times New Roman" w:eastAsia="仿宋_GB2312"/>
          <w:sz w:val="32"/>
          <w:szCs w:val="32"/>
          <w:lang w:val="en-US" w:eastAsia="zh-CN"/>
        </w:rPr>
        <w:t>酒店</w:t>
      </w:r>
      <w:r>
        <w:rPr>
          <w:rFonts w:hint="eastAsia" w:ascii="仿宋_GB2312" w:hAnsi="Times New Roman" w:eastAsia="仿宋_GB2312"/>
          <w:sz w:val="32"/>
          <w:szCs w:val="32"/>
        </w:rPr>
        <w:t>。</w:t>
      </w:r>
      <w:r>
        <w:rPr>
          <w:rFonts w:hint="eastAsia" w:ascii="仿宋_GB2312" w:hAnsi="Times New Roman" w:eastAsia="仿宋_GB2312"/>
          <w:sz w:val="32"/>
          <w:szCs w:val="32"/>
          <w:lang w:val="en-US" w:eastAsia="zh-CN"/>
        </w:rPr>
        <w:t>在行政办公区、运河商务区、文化旅游区、</w:t>
      </w:r>
      <w:r>
        <w:rPr>
          <w:rFonts w:hint="eastAsia" w:ascii="仿宋_GB2312" w:hAnsi="Times New Roman" w:eastAsia="仿宋_GB2312"/>
          <w:sz w:val="32"/>
          <w:szCs w:val="32"/>
        </w:rPr>
        <w:t>张家湾设计小镇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台湖演艺小镇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宋庄艺术小镇</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通州国际种业科技园</w:t>
      </w:r>
      <w:r>
        <w:rPr>
          <w:rFonts w:hint="eastAsia" w:ascii="仿宋_GB2312" w:hAnsi="Times New Roman" w:eastAsia="仿宋_GB2312"/>
          <w:sz w:val="32"/>
          <w:szCs w:val="32"/>
          <w:lang w:val="en-US" w:eastAsia="zh-CN"/>
        </w:rPr>
        <w:t>等区域谋划新建一批中高端酒店。</w:t>
      </w:r>
    </w:p>
    <w:p w14:paraId="3406DE64">
      <w:pPr>
        <w:pStyle w:val="2"/>
        <w:keepNext w:val="0"/>
        <w:keepLines w:val="0"/>
        <w:pageBreakBefore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Times New Roman" w:eastAsia="仿宋_GB2312" w:cstheme="minorBidi"/>
          <w:kern w:val="2"/>
          <w:sz w:val="32"/>
          <w:szCs w:val="32"/>
          <w:lang w:val="en-US" w:eastAsia="zh-CN" w:bidi="ar"/>
        </w:rPr>
      </w:pPr>
      <w:r>
        <w:rPr>
          <w:rFonts w:hint="eastAsia" w:ascii="仿宋_GB2312" w:hAnsi="Times New Roman" w:eastAsia="仿宋_GB2312"/>
          <w:b/>
          <w:bCs/>
          <w:sz w:val="32"/>
          <w:szCs w:val="32"/>
          <w:lang w:val="en-US" w:eastAsia="zh-CN" w:bidi="ar"/>
        </w:rPr>
        <w:t>做强娱乐业。</w:t>
      </w:r>
      <w:r>
        <w:rPr>
          <w:rFonts w:hint="eastAsia" w:ascii="仿宋_GB2312" w:hAnsi="Times New Roman" w:eastAsia="仿宋_GB2312" w:cstheme="minorBidi"/>
          <w:kern w:val="2"/>
          <w:sz w:val="32"/>
          <w:szCs w:val="32"/>
          <w:lang w:val="en-US" w:eastAsia="zh-CN" w:bidi="ar"/>
        </w:rPr>
        <w:t>持续丰富北京环球度假区等主题乐园娱乐业态。依托张家湾设计小镇、台湖演艺小镇、宋庄艺术创意小镇资源，融合艺术展演、潮流演艺、户外休闲等娱乐场景，丰富全时段、多层次娱乐消费供给。规范发展歌舞娱乐、休闲健身、棋牌娱乐等传统业态，推动老旧娱乐场所提档升级、规范经营。大力培育夜间娱乐、潮玩体验、沉浸式游乐、亲子休闲等新兴业态，依托商圈、运河沿岸、特色街区布局</w:t>
      </w:r>
      <w:r>
        <w:rPr>
          <w:rFonts w:hint="eastAsia" w:ascii="仿宋_GB2312" w:hAnsi="Times New Roman" w:eastAsia="仿宋_GB2312"/>
          <w:sz w:val="32"/>
          <w:szCs w:val="32"/>
          <w:lang w:val="en-US" w:eastAsia="zh-CN"/>
        </w:rPr>
        <w:t>音</w:t>
      </w:r>
      <w:r>
        <w:rPr>
          <w:rFonts w:hint="eastAsia" w:ascii="仿宋_GB2312" w:hAnsi="Times New Roman" w:eastAsia="仿宋_GB2312" w:cstheme="minorBidi"/>
          <w:kern w:val="2"/>
          <w:sz w:val="32"/>
          <w:szCs w:val="32"/>
          <w:lang w:val="en-US" w:eastAsia="zh-CN" w:bidi="ar"/>
        </w:rPr>
        <w:t>乐酒吧、室内音乐会、脱口秀剧场、星空露营等潮流娱乐新空间。营造健康有序、特色鲜明的娱乐消费环境，助力北京城市副中心文旅消费提质扩容。</w:t>
      </w:r>
    </w:p>
    <w:p w14:paraId="7EEDC1EA">
      <w:pPr>
        <w:pStyle w:val="2"/>
        <w:keepNext w:val="0"/>
        <w:keepLines w:val="0"/>
        <w:pageBreakBefore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Times New Roman" w:eastAsia="仿宋_GB2312" w:cstheme="minorBidi"/>
          <w:kern w:val="2"/>
          <w:sz w:val="32"/>
          <w:szCs w:val="32"/>
          <w:lang w:val="en-US" w:eastAsia="zh-CN" w:bidi="ar"/>
        </w:rPr>
      </w:pPr>
      <w:r>
        <w:rPr>
          <w:rFonts w:hint="eastAsia" w:ascii="仿宋_GB2312" w:hAnsi="Times New Roman" w:eastAsia="仿宋_GB2312"/>
          <w:b/>
          <w:bCs/>
          <w:sz w:val="32"/>
          <w:szCs w:val="32"/>
          <w:lang w:val="en-US" w:eastAsia="zh-CN"/>
        </w:rPr>
        <w:t>做优旅游购物</w:t>
      </w:r>
      <w:r>
        <w:rPr>
          <w:rFonts w:hint="eastAsia" w:ascii="仿宋_GB2312" w:hAnsi="Times New Roman" w:eastAsia="仿宋_GB2312"/>
          <w:b/>
          <w:bCs/>
          <w:sz w:val="32"/>
          <w:szCs w:val="32"/>
        </w:rPr>
        <w:t>。</w:t>
      </w:r>
      <w:r>
        <w:rPr>
          <w:rFonts w:hint="eastAsia" w:ascii="仿宋_GB2312" w:hAnsi="Times New Roman" w:eastAsia="仿宋_GB2312"/>
          <w:sz w:val="32"/>
          <w:szCs w:val="32"/>
        </w:rPr>
        <w:t>强化在地研发</w:t>
      </w:r>
      <w:r>
        <w:rPr>
          <w:rFonts w:ascii="仿宋_GB2312" w:hAnsi="Times New Roman" w:eastAsia="仿宋_GB2312"/>
          <w:sz w:val="32"/>
          <w:szCs w:val="32"/>
        </w:rPr>
        <w:t>，深挖漕运、非遗及运河元素，联合设计师与老字号，开发</w:t>
      </w:r>
      <w:r>
        <w:rPr>
          <w:rFonts w:hint="eastAsia" w:ascii="仿宋_GB2312" w:hAnsi="Times New Roman" w:eastAsia="仿宋_GB2312"/>
          <w:sz w:val="32"/>
          <w:szCs w:val="32"/>
        </w:rPr>
        <w:t>“</w:t>
      </w:r>
      <w:r>
        <w:rPr>
          <w:rFonts w:ascii="仿宋_GB2312" w:hAnsi="Times New Roman" w:eastAsia="仿宋_GB2312"/>
          <w:sz w:val="32"/>
          <w:szCs w:val="32"/>
        </w:rPr>
        <w:t>通州</w:t>
      </w:r>
      <w:r>
        <w:rPr>
          <w:rFonts w:hint="eastAsia" w:ascii="仿宋_GB2312" w:hAnsi="Times New Roman" w:eastAsia="仿宋_GB2312"/>
          <w:sz w:val="32"/>
          <w:szCs w:val="32"/>
        </w:rPr>
        <w:t>礼物”</w:t>
      </w:r>
      <w:r>
        <w:rPr>
          <w:rFonts w:ascii="仿宋_GB2312" w:hAnsi="Times New Roman" w:eastAsia="仿宋_GB2312"/>
          <w:sz w:val="32"/>
          <w:szCs w:val="32"/>
        </w:rPr>
        <w:t>系列文创商品与国潮伴手礼。优化购物场景，在重点景区、特色街区布局主题文创店、非遗工坊及运河风物市集，</w:t>
      </w:r>
      <w:r>
        <w:rPr>
          <w:rFonts w:hint="eastAsia" w:ascii="仿宋_GB2312" w:hAnsi="Times New Roman" w:eastAsia="仿宋_GB2312"/>
          <w:sz w:val="32"/>
          <w:szCs w:val="32"/>
        </w:rPr>
        <w:t>推动文商旅深度融合，丰富沉浸式购物场景，彰显通州地域文化魅力，打造“</w:t>
      </w:r>
      <w:r>
        <w:rPr>
          <w:rFonts w:ascii="仿宋_GB2312" w:hAnsi="Times New Roman" w:eastAsia="仿宋_GB2312"/>
          <w:sz w:val="32"/>
          <w:szCs w:val="32"/>
        </w:rPr>
        <w:t>景中购、购中游</w:t>
      </w:r>
      <w:r>
        <w:rPr>
          <w:rFonts w:hint="eastAsia" w:ascii="仿宋_GB2312" w:hAnsi="Times New Roman" w:eastAsia="仿宋_GB2312"/>
          <w:sz w:val="32"/>
          <w:szCs w:val="32"/>
        </w:rPr>
        <w:t>”特色</w:t>
      </w:r>
      <w:r>
        <w:rPr>
          <w:rFonts w:ascii="仿宋_GB2312" w:hAnsi="Times New Roman" w:eastAsia="仿宋_GB2312"/>
          <w:sz w:val="32"/>
          <w:szCs w:val="32"/>
        </w:rPr>
        <w:t>消费体验。</w:t>
      </w:r>
      <w:r>
        <w:rPr>
          <w:rFonts w:hint="eastAsia" w:ascii="仿宋_GB2312" w:hAnsi="Times New Roman" w:eastAsia="仿宋_GB2312"/>
          <w:sz w:val="32"/>
          <w:szCs w:val="32"/>
        </w:rPr>
        <w:t>搭建</w:t>
      </w:r>
      <w:r>
        <w:rPr>
          <w:rFonts w:ascii="仿宋_GB2312" w:hAnsi="Times New Roman" w:eastAsia="仿宋_GB2312"/>
          <w:sz w:val="32"/>
          <w:szCs w:val="32"/>
        </w:rPr>
        <w:t>智慧导购与线上营销</w:t>
      </w:r>
      <w:r>
        <w:rPr>
          <w:rFonts w:hint="eastAsia" w:ascii="仿宋_GB2312" w:hAnsi="Times New Roman" w:eastAsia="仿宋_GB2312"/>
          <w:sz w:val="32"/>
          <w:szCs w:val="32"/>
        </w:rPr>
        <w:t>体系</w:t>
      </w:r>
      <w:r>
        <w:rPr>
          <w:rFonts w:ascii="仿宋_GB2312" w:hAnsi="Times New Roman" w:eastAsia="仿宋_GB2312"/>
          <w:sz w:val="32"/>
          <w:szCs w:val="32"/>
        </w:rPr>
        <w:t>，</w:t>
      </w:r>
      <w:r>
        <w:rPr>
          <w:rFonts w:hint="eastAsia" w:ascii="仿宋_GB2312" w:hAnsi="Times New Roman" w:eastAsia="仿宋_GB2312"/>
          <w:sz w:val="32"/>
          <w:szCs w:val="32"/>
        </w:rPr>
        <w:t>畅</w:t>
      </w:r>
      <w:r>
        <w:rPr>
          <w:rFonts w:ascii="仿宋_GB2312" w:hAnsi="Times New Roman" w:eastAsia="仿宋_GB2312"/>
          <w:sz w:val="32"/>
          <w:szCs w:val="32"/>
        </w:rPr>
        <w:t>通线上线下销售</w:t>
      </w:r>
      <w:r>
        <w:rPr>
          <w:rFonts w:hint="eastAsia" w:ascii="仿宋_GB2312" w:hAnsi="Times New Roman" w:eastAsia="仿宋_GB2312"/>
          <w:sz w:val="32"/>
          <w:szCs w:val="32"/>
        </w:rPr>
        <w:t>渠道</w:t>
      </w:r>
      <w:r>
        <w:rPr>
          <w:rFonts w:ascii="仿宋_GB2312" w:hAnsi="Times New Roman" w:eastAsia="仿宋_GB2312"/>
          <w:sz w:val="32"/>
          <w:szCs w:val="32"/>
        </w:rPr>
        <w:t>，以高品质、有</w:t>
      </w:r>
      <w:r>
        <w:rPr>
          <w:rFonts w:hint="eastAsia" w:ascii="仿宋_GB2312" w:hAnsi="Times New Roman" w:eastAsia="仿宋_GB2312"/>
          <w:sz w:val="32"/>
          <w:szCs w:val="32"/>
        </w:rPr>
        <w:t>文化内涵</w:t>
      </w:r>
      <w:r>
        <w:rPr>
          <w:rFonts w:ascii="仿宋_GB2312" w:hAnsi="Times New Roman" w:eastAsia="仿宋_GB2312"/>
          <w:sz w:val="32"/>
          <w:szCs w:val="32"/>
        </w:rPr>
        <w:t>的旅游商品激</w:t>
      </w:r>
      <w:r>
        <w:rPr>
          <w:rFonts w:hint="eastAsia" w:ascii="仿宋_GB2312" w:hAnsi="Times New Roman" w:eastAsia="仿宋_GB2312"/>
          <w:sz w:val="32"/>
          <w:szCs w:val="32"/>
        </w:rPr>
        <w:t>活</w:t>
      </w:r>
      <w:r>
        <w:rPr>
          <w:rFonts w:ascii="仿宋_GB2312" w:hAnsi="Times New Roman" w:eastAsia="仿宋_GB2312"/>
          <w:sz w:val="32"/>
          <w:szCs w:val="32"/>
        </w:rPr>
        <w:t>消费</w:t>
      </w:r>
      <w:r>
        <w:rPr>
          <w:rFonts w:hint="eastAsia" w:ascii="仿宋_GB2312" w:hAnsi="Times New Roman" w:eastAsia="仿宋_GB2312"/>
          <w:sz w:val="32"/>
          <w:szCs w:val="32"/>
        </w:rPr>
        <w:t>需求</w:t>
      </w:r>
      <w:r>
        <w:rPr>
          <w:rFonts w:ascii="仿宋_GB2312" w:hAnsi="Times New Roman" w:eastAsia="仿宋_GB2312"/>
          <w:sz w:val="32"/>
          <w:szCs w:val="32"/>
        </w:rPr>
        <w:t>，</w:t>
      </w:r>
      <w:r>
        <w:rPr>
          <w:rFonts w:hint="eastAsia" w:ascii="仿宋_GB2312" w:hAnsi="Times New Roman" w:eastAsia="仿宋_GB2312"/>
          <w:sz w:val="32"/>
          <w:szCs w:val="32"/>
        </w:rPr>
        <w:t>有效</w:t>
      </w:r>
      <w:r>
        <w:rPr>
          <w:rFonts w:ascii="仿宋_GB2312" w:hAnsi="Times New Roman" w:eastAsia="仿宋_GB2312"/>
          <w:sz w:val="32"/>
          <w:szCs w:val="32"/>
        </w:rPr>
        <w:t>提升文旅综合消费</w:t>
      </w:r>
      <w:r>
        <w:rPr>
          <w:rFonts w:hint="eastAsia" w:ascii="仿宋_GB2312" w:hAnsi="Times New Roman" w:eastAsia="仿宋_GB2312"/>
          <w:sz w:val="32"/>
          <w:szCs w:val="32"/>
        </w:rPr>
        <w:t>能级。</w:t>
      </w:r>
    </w:p>
    <w:p w14:paraId="6D604439">
      <w:pPr>
        <w:rPr>
          <w:sz w:val="28"/>
          <w:szCs w:val="32"/>
        </w:rPr>
      </w:pPr>
      <w:r>
        <w:rPr>
          <w:rFonts w:hint="eastAsia"/>
          <w:sz w:val="28"/>
          <w:szCs w:val="32"/>
        </w:rPr>
        <w:br w:type="page"/>
      </w:r>
    </w:p>
    <w:p w14:paraId="21262C41">
      <w:pPr>
        <w:pStyle w:val="3"/>
        <w:keepNext w:val="0"/>
        <w:keepLines w:val="0"/>
        <w:widowControl/>
        <w:spacing w:before="156" w:beforeLines="50" w:after="156" w:afterLines="50" w:line="560" w:lineRule="exact"/>
        <w:jc w:val="center"/>
        <w:rPr>
          <w:rFonts w:hint="eastAsia" w:ascii="黑体" w:hAnsi="黑体" w:eastAsia="黑体"/>
          <w:b/>
          <w:bCs/>
          <w:color w:val="auto"/>
          <w:sz w:val="32"/>
          <w:szCs w:val="32"/>
        </w:rPr>
      </w:pPr>
      <w:bookmarkStart w:id="113" w:name="_Toc14047"/>
      <w:bookmarkStart w:id="114" w:name="_Toc530"/>
      <w:bookmarkStart w:id="115" w:name="_Toc2679"/>
      <w:bookmarkStart w:id="116" w:name="_Toc14765"/>
      <w:bookmarkStart w:id="117" w:name="_Toc18585"/>
      <w:bookmarkStart w:id="118" w:name="_Toc10525"/>
      <w:bookmarkStart w:id="119" w:name="_Toc11130"/>
      <w:bookmarkStart w:id="120" w:name="_Toc16552"/>
      <w:r>
        <w:rPr>
          <w:rFonts w:hint="eastAsia" w:ascii="黑体" w:hAnsi="黑体" w:eastAsia="黑体"/>
          <w:b/>
          <w:bCs/>
          <w:color w:val="auto"/>
          <w:sz w:val="32"/>
          <w:szCs w:val="32"/>
        </w:rPr>
        <w:t>第五章 以商促消，树立首都特色消费新示范</w:t>
      </w:r>
      <w:bookmarkEnd w:id="113"/>
      <w:bookmarkEnd w:id="114"/>
      <w:bookmarkEnd w:id="115"/>
      <w:bookmarkEnd w:id="116"/>
      <w:bookmarkEnd w:id="117"/>
      <w:bookmarkEnd w:id="118"/>
      <w:bookmarkEnd w:id="119"/>
      <w:bookmarkEnd w:id="120"/>
    </w:p>
    <w:p w14:paraId="507C82AB">
      <w:pPr>
        <w:spacing w:line="560" w:lineRule="exact"/>
        <w:ind w:firstLine="640" w:firstLineChars="200"/>
        <w:rPr>
          <w:rFonts w:ascii="仿宋_GB2312" w:eastAsia="仿宋_GB2312"/>
          <w:sz w:val="32"/>
          <w:szCs w:val="32"/>
        </w:rPr>
      </w:pPr>
      <w:r>
        <w:rPr>
          <w:rFonts w:hint="eastAsia" w:ascii="仿宋_GB2312" w:eastAsia="仿宋_GB2312"/>
          <w:sz w:val="32"/>
          <w:szCs w:val="32"/>
          <w:lang w:val="en-US" w:eastAsia="zh-CN"/>
        </w:rPr>
        <w:t>创新复合多元的消费场景，构建特色消费产业生态</w:t>
      </w:r>
      <w:r>
        <w:rPr>
          <w:rFonts w:hint="eastAsia" w:ascii="仿宋_GB2312" w:eastAsia="仿宋_GB2312"/>
          <w:sz w:val="32"/>
          <w:szCs w:val="32"/>
        </w:rPr>
        <w:t>，全面提升商业能级，加快国际消费体验区建设，助力北京国际消费中心城市建设。</w:t>
      </w:r>
    </w:p>
    <w:p w14:paraId="5ED6388D">
      <w:pPr>
        <w:pStyle w:val="4"/>
        <w:spacing w:before="0" w:after="0" w:line="560" w:lineRule="exact"/>
        <w:ind w:firstLine="640" w:firstLineChars="200"/>
        <w:rPr>
          <w:rFonts w:hint="eastAsia" w:ascii="黑体" w:hAnsi="黑体" w:eastAsia="黑体"/>
          <w:color w:val="auto"/>
          <w:sz w:val="32"/>
          <w:szCs w:val="32"/>
        </w:rPr>
      </w:pPr>
      <w:bookmarkStart w:id="121" w:name="_Toc22791"/>
      <w:bookmarkStart w:id="122" w:name="_Toc11663"/>
      <w:bookmarkStart w:id="123" w:name="_Toc28017"/>
      <w:r>
        <w:rPr>
          <w:rFonts w:hint="eastAsia" w:ascii="黑体" w:hAnsi="黑体" w:eastAsia="黑体"/>
          <w:color w:val="auto"/>
          <w:sz w:val="32"/>
          <w:szCs w:val="32"/>
          <w:lang w:val="en-US" w:eastAsia="zh-CN"/>
        </w:rPr>
        <w:t>一</w:t>
      </w:r>
      <w:r>
        <w:rPr>
          <w:rFonts w:hint="eastAsia" w:ascii="黑体" w:hAnsi="黑体" w:eastAsia="黑体"/>
          <w:color w:val="auto"/>
          <w:sz w:val="32"/>
          <w:szCs w:val="32"/>
        </w:rPr>
        <w:t>、创新复合多元的消费场景</w:t>
      </w:r>
      <w:bookmarkEnd w:id="121"/>
      <w:bookmarkEnd w:id="122"/>
      <w:bookmarkEnd w:id="123"/>
    </w:p>
    <w:p w14:paraId="4B030779">
      <w:pPr>
        <w:spacing w:line="560" w:lineRule="exact"/>
        <w:ind w:firstLine="643" w:firstLineChars="200"/>
        <w:rPr>
          <w:rFonts w:hint="eastAsia" w:ascii="仿宋_GB2312" w:hAnsi="Times New Roman" w:eastAsia="仿宋_GB2312"/>
          <w:b w:val="0"/>
          <w:bCs w:val="0"/>
          <w:sz w:val="32"/>
          <w:szCs w:val="32"/>
          <w:lang w:val="en-US" w:eastAsia="zh-CN"/>
        </w:rPr>
      </w:pPr>
      <w:r>
        <w:rPr>
          <w:rFonts w:hint="eastAsia" w:ascii="仿宋_GB2312" w:hAnsi="Times New Roman" w:eastAsia="仿宋_GB2312"/>
          <w:b/>
          <w:bCs/>
          <w:sz w:val="32"/>
          <w:szCs w:val="32"/>
          <w:lang w:val="en-US" w:eastAsia="zh-CN"/>
        </w:rPr>
        <w:t>优化商业空间结构。</w:t>
      </w:r>
      <w:r>
        <w:rPr>
          <w:rFonts w:hint="eastAsia" w:ascii="仿宋_GB2312" w:hAnsi="Times New Roman" w:eastAsia="仿宋_GB2312"/>
          <w:b w:val="0"/>
          <w:bCs w:val="0"/>
          <w:sz w:val="32"/>
          <w:szCs w:val="32"/>
          <w:lang w:val="en-US" w:eastAsia="zh-CN"/>
        </w:rPr>
        <w:t>紧扣北京城市副中心战略定位，提升京津冀联动辐射作用，创新模式建设高端商业综合体，打造地标性商业街区和多层次差异化区域商圈，逐步构建“国际消费体验区、城市消费中心、地区活力消费圈和社区便民生活圈”四级商业消费空间结构。</w:t>
      </w:r>
    </w:p>
    <w:p w14:paraId="78D1F654">
      <w:pPr>
        <w:spacing w:line="560" w:lineRule="exact"/>
        <w:ind w:firstLine="643" w:firstLineChars="200"/>
        <w:rPr>
          <w:rFonts w:hint="eastAsia" w:eastAsia="仿宋_GB2312" w:asciiTheme="minorHAnsi" w:hAnsiTheme="minorHAnsi" w:cstheme="minorBidi"/>
          <w:bCs/>
          <w:color w:val="000000"/>
          <w:kern w:val="32"/>
          <w:sz w:val="32"/>
          <w:szCs w:val="32"/>
          <w:highlight w:val="none"/>
        </w:rPr>
      </w:pPr>
      <w:r>
        <w:rPr>
          <w:rFonts w:hint="eastAsia" w:ascii="仿宋_GB2312" w:hAnsi="Times New Roman" w:eastAsia="仿宋_GB2312"/>
          <w:b/>
          <w:bCs/>
          <w:sz w:val="32"/>
          <w:szCs w:val="32"/>
          <w:lang w:val="en-US" w:eastAsia="zh-CN"/>
        </w:rPr>
        <w:t>支持商圈提质升级。</w:t>
      </w:r>
      <w:r>
        <w:rPr>
          <w:rFonts w:hint="eastAsia" w:eastAsia="仿宋_GB2312"/>
          <w:bCs/>
          <w:color w:val="000000"/>
          <w:kern w:val="32"/>
          <w:sz w:val="32"/>
          <w:szCs w:val="32"/>
          <w:highlight w:val="none"/>
          <w:lang w:eastAsia="zh-CN"/>
        </w:rPr>
        <w:t>支持</w:t>
      </w:r>
      <w:r>
        <w:rPr>
          <w:rFonts w:hint="eastAsia" w:eastAsia="仿宋_GB2312"/>
          <w:bCs/>
          <w:color w:val="000000"/>
          <w:kern w:val="32"/>
          <w:sz w:val="32"/>
          <w:szCs w:val="32"/>
          <w:highlight w:val="none"/>
          <w:lang w:val="en-US" w:eastAsia="zh-CN"/>
        </w:rPr>
        <w:t>纳入</w:t>
      </w:r>
      <w:r>
        <w:rPr>
          <w:rFonts w:hint="eastAsia" w:eastAsia="仿宋_GB2312"/>
          <w:bCs/>
          <w:color w:val="000000"/>
          <w:kern w:val="32"/>
          <w:sz w:val="32"/>
          <w:szCs w:val="32"/>
          <w:highlight w:val="none"/>
          <w:lang w:eastAsia="zh-CN"/>
        </w:rPr>
        <w:t>北京市重点商圈名录中的传统商场和商圈升级改造，</w:t>
      </w:r>
      <w:r>
        <w:rPr>
          <w:rFonts w:hint="eastAsia" w:eastAsia="仿宋_GB2312"/>
          <w:bCs/>
          <w:color w:val="000000"/>
          <w:kern w:val="32"/>
          <w:sz w:val="32"/>
          <w:szCs w:val="32"/>
          <w:highlight w:val="none"/>
          <w:lang w:val="en-US" w:eastAsia="zh-CN"/>
        </w:rPr>
        <w:t>加快推进北苑商圈等传统商圈改造；</w:t>
      </w:r>
      <w:r>
        <w:rPr>
          <w:rFonts w:hint="eastAsia" w:eastAsia="仿宋_GB2312" w:asciiTheme="minorHAnsi" w:hAnsiTheme="minorHAnsi" w:cstheme="minorBidi"/>
          <w:bCs/>
          <w:color w:val="000000"/>
          <w:kern w:val="32"/>
          <w:sz w:val="32"/>
          <w:szCs w:val="32"/>
          <w:highlight w:val="none"/>
        </w:rPr>
        <w:t>持续提升环球影城商圈、运河商务区商圈、</w:t>
      </w:r>
      <w:r>
        <w:rPr>
          <w:rFonts w:hint="eastAsia" w:eastAsia="仿宋_GB2312" w:cstheme="minorBidi"/>
          <w:bCs/>
          <w:color w:val="000000"/>
          <w:kern w:val="32"/>
          <w:sz w:val="32"/>
          <w:szCs w:val="32"/>
          <w:highlight w:val="none"/>
          <w:lang w:val="en-US" w:eastAsia="zh-CN"/>
        </w:rPr>
        <w:t>副中心</w:t>
      </w:r>
      <w:r>
        <w:rPr>
          <w:rFonts w:hint="eastAsia" w:eastAsia="仿宋_GB2312" w:asciiTheme="minorHAnsi" w:hAnsiTheme="minorHAnsi" w:cstheme="minorBidi"/>
          <w:bCs/>
          <w:color w:val="000000"/>
          <w:kern w:val="32"/>
          <w:sz w:val="32"/>
          <w:szCs w:val="32"/>
          <w:highlight w:val="none"/>
        </w:rPr>
        <w:t>枢纽商圈等新兴商圈建设能级与环境品质，深耕商圈人文底蕴，强化人文艺术氛围营造与休闲消费场景打造，持续丰富业态供给、优化空间风貌</w:t>
      </w:r>
      <w:r>
        <w:rPr>
          <w:rFonts w:hint="eastAsia" w:eastAsia="仿宋_GB2312" w:cstheme="minorBidi"/>
          <w:bCs/>
          <w:color w:val="000000"/>
          <w:kern w:val="32"/>
          <w:sz w:val="32"/>
          <w:szCs w:val="32"/>
          <w:highlight w:val="none"/>
          <w:lang w:eastAsia="zh-CN"/>
        </w:rPr>
        <w:t>。</w:t>
      </w:r>
      <w:r>
        <w:rPr>
          <w:rFonts w:hint="eastAsia" w:eastAsia="仿宋_GB2312" w:asciiTheme="minorHAnsi" w:hAnsiTheme="minorHAnsi" w:cstheme="minorBidi"/>
          <w:bCs/>
          <w:color w:val="000000"/>
          <w:kern w:val="32"/>
          <w:sz w:val="32"/>
          <w:szCs w:val="32"/>
          <w:highlight w:val="none"/>
        </w:rPr>
        <w:t>深度推动商业</w:t>
      </w:r>
      <w:r>
        <w:rPr>
          <w:rFonts w:hint="eastAsia" w:eastAsia="仿宋_GB2312" w:cstheme="minorBidi"/>
          <w:bCs/>
          <w:color w:val="000000"/>
          <w:kern w:val="32"/>
          <w:sz w:val="32"/>
          <w:szCs w:val="32"/>
          <w:highlight w:val="none"/>
          <w:lang w:val="en-US" w:eastAsia="zh-CN"/>
        </w:rPr>
        <w:t>与</w:t>
      </w:r>
      <w:r>
        <w:rPr>
          <w:rFonts w:hint="eastAsia" w:eastAsia="仿宋_GB2312" w:asciiTheme="minorHAnsi" w:hAnsiTheme="minorHAnsi" w:cstheme="minorBidi"/>
          <w:bCs/>
          <w:color w:val="000000"/>
          <w:kern w:val="32"/>
          <w:sz w:val="32"/>
          <w:szCs w:val="32"/>
          <w:highlight w:val="none"/>
        </w:rPr>
        <w:t>文化、旅游多元融合，</w:t>
      </w:r>
      <w:r>
        <w:rPr>
          <w:rFonts w:hint="eastAsia" w:ascii="仿宋_GB2312" w:hAnsi="Times New Roman" w:eastAsia="仿宋_GB2312"/>
          <w:sz w:val="32"/>
          <w:szCs w:val="32"/>
          <w:lang w:val="en-US" w:eastAsia="zh-CN"/>
        </w:rPr>
        <w:t>大力发展策展型商业、无边界商场、非标主题商业等新型商业模式。积极引导商圈从规模扩张转向内涵提质，促进商圈整体能级、承载能力和消费活力显著提升。</w:t>
      </w:r>
      <w:r>
        <w:rPr>
          <w:rFonts w:hint="eastAsia" w:eastAsia="仿宋_GB2312" w:asciiTheme="minorHAnsi" w:hAnsiTheme="minorHAnsi" w:cstheme="minorBidi"/>
          <w:bCs/>
          <w:color w:val="000000"/>
          <w:kern w:val="32"/>
          <w:sz w:val="32"/>
          <w:szCs w:val="32"/>
          <w:highlight w:val="none"/>
        </w:rPr>
        <w:t>加快推进宋庄小堡南街等特色商业街区更新改造与品质升级</w:t>
      </w:r>
      <w:r>
        <w:rPr>
          <w:rFonts w:hint="eastAsia" w:eastAsia="仿宋_GB2312" w:cstheme="minorBidi"/>
          <w:bCs/>
          <w:color w:val="000000"/>
          <w:kern w:val="32"/>
          <w:sz w:val="32"/>
          <w:szCs w:val="32"/>
          <w:highlight w:val="none"/>
          <w:lang w:eastAsia="zh-CN"/>
        </w:rPr>
        <w:t>，</w:t>
      </w:r>
      <w:r>
        <w:rPr>
          <w:rFonts w:hint="eastAsia" w:ascii="仿宋_GB2312" w:hAnsi="Times New Roman" w:eastAsia="仿宋_GB2312"/>
          <w:b w:val="0"/>
          <w:bCs w:val="0"/>
          <w:sz w:val="32"/>
          <w:szCs w:val="32"/>
          <w:lang w:val="en-US" w:eastAsia="zh-CN"/>
        </w:rPr>
        <w:t>植入非遗、文创与潮购业态，打造文商旅融合消费场景。</w:t>
      </w:r>
    </w:p>
    <w:p w14:paraId="43AC1712">
      <w:pPr>
        <w:spacing w:line="560" w:lineRule="exact"/>
        <w:ind w:firstLine="643" w:firstLineChars="200"/>
        <w:rPr>
          <w:rFonts w:hint="eastAsia" w:ascii="仿宋_GB2312" w:hAnsi="Times New Roman" w:eastAsia="仿宋_GB2312"/>
          <w:sz w:val="32"/>
          <w:szCs w:val="32"/>
          <w:lang w:val="en-US" w:eastAsia="zh-CN"/>
        </w:rPr>
      </w:pPr>
      <w:r>
        <w:rPr>
          <w:rFonts w:hint="eastAsia" w:ascii="仿宋_GB2312" w:hAnsi="Times New Roman" w:eastAsia="仿宋_GB2312"/>
          <w:b/>
          <w:bCs/>
          <w:sz w:val="32"/>
          <w:szCs w:val="32"/>
        </w:rPr>
        <w:t>提升</w:t>
      </w:r>
      <w:r>
        <w:rPr>
          <w:rFonts w:hint="eastAsia" w:ascii="仿宋_GB2312" w:hAnsi="Times New Roman" w:eastAsia="仿宋_GB2312"/>
          <w:b/>
          <w:bCs/>
          <w:sz w:val="32"/>
          <w:szCs w:val="32"/>
          <w:lang w:val="en-US" w:eastAsia="zh-CN"/>
        </w:rPr>
        <w:t>多元</w:t>
      </w:r>
      <w:r>
        <w:rPr>
          <w:rFonts w:hint="eastAsia" w:ascii="仿宋_GB2312" w:hAnsi="Times New Roman" w:eastAsia="仿宋_GB2312"/>
          <w:b/>
          <w:bCs/>
          <w:sz w:val="32"/>
          <w:szCs w:val="32"/>
        </w:rPr>
        <w:t>消费</w:t>
      </w:r>
      <w:r>
        <w:rPr>
          <w:rFonts w:hint="eastAsia" w:ascii="仿宋_GB2312" w:hAnsi="Times New Roman" w:eastAsia="仿宋_GB2312"/>
          <w:b/>
          <w:bCs/>
          <w:sz w:val="32"/>
          <w:szCs w:val="32"/>
          <w:lang w:val="en-US" w:eastAsia="zh-CN"/>
        </w:rPr>
        <w:t>场景业态</w:t>
      </w:r>
      <w:r>
        <w:rPr>
          <w:rFonts w:hint="eastAsia" w:ascii="仿宋_GB2312" w:hAnsi="Times New Roman" w:eastAsia="仿宋_GB2312"/>
          <w:b/>
          <w:bCs/>
          <w:sz w:val="32"/>
          <w:szCs w:val="32"/>
        </w:rPr>
        <w:t>。</w:t>
      </w:r>
      <w:r>
        <w:rPr>
          <w:rFonts w:hint="eastAsia" w:ascii="仿宋_GB2312" w:hAnsi="Times New Roman" w:eastAsia="仿宋_GB2312"/>
          <w:sz w:val="32"/>
          <w:szCs w:val="32"/>
        </w:rPr>
        <w:t>加快建设“环球影城×大运河”</w:t>
      </w:r>
      <w:r>
        <w:rPr>
          <w:rFonts w:hint="eastAsia" w:ascii="仿宋_GB2312" w:eastAsia="仿宋_GB2312"/>
          <w:sz w:val="32"/>
          <w:szCs w:val="32"/>
        </w:rPr>
        <w:t>国际消费体验区，提升文化旅游区“湾里”、环球城市大道、D.P.ONE源・心、大运河沿岸等消费场景主题化体验。</w:t>
      </w:r>
      <w:r>
        <w:rPr>
          <w:rFonts w:hint="eastAsia" w:ascii="仿宋_GB2312" w:hAnsi="Times New Roman" w:eastAsia="仿宋_GB2312"/>
          <w:b/>
          <w:bCs/>
          <w:sz w:val="32"/>
          <w:szCs w:val="32"/>
          <w:lang w:val="en-US" w:eastAsia="zh-CN"/>
        </w:rPr>
        <w:t>国际消费体验区</w:t>
      </w:r>
      <w:r>
        <w:rPr>
          <w:rFonts w:hint="eastAsia" w:ascii="仿宋_GB2312" w:hAnsi="Times New Roman" w:eastAsia="仿宋_GB2312"/>
          <w:sz w:val="32"/>
          <w:szCs w:val="32"/>
          <w:lang w:val="en-US" w:eastAsia="zh-CN"/>
        </w:rPr>
        <w:t>重点</w:t>
      </w:r>
      <w:r>
        <w:rPr>
          <w:rFonts w:hint="eastAsia" w:ascii="仿宋_GB2312" w:hAnsi="Times New Roman" w:eastAsia="仿宋_GB2312"/>
          <w:sz w:val="32"/>
          <w:szCs w:val="32"/>
        </w:rPr>
        <w:t>集聚首店</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旗舰店</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免税购物、国际轻奢、高端演艺、沉浸式数字娱乐、主题酒店集群</w:t>
      </w:r>
      <w:r>
        <w:rPr>
          <w:rFonts w:hint="eastAsia" w:ascii="仿宋_GB2312" w:hAnsi="Times New Roman" w:eastAsia="仿宋_GB2312"/>
          <w:sz w:val="32"/>
          <w:szCs w:val="32"/>
          <w:lang w:val="en-US" w:eastAsia="zh-CN"/>
        </w:rPr>
        <w:t>等场景业态。</w:t>
      </w:r>
      <w:r>
        <w:rPr>
          <w:rFonts w:hint="eastAsia" w:ascii="仿宋_GB2312" w:hAnsi="Times New Roman" w:eastAsia="仿宋_GB2312"/>
          <w:b/>
          <w:bCs/>
          <w:sz w:val="32"/>
          <w:szCs w:val="32"/>
          <w:lang w:val="en-US" w:eastAsia="zh-CN"/>
        </w:rPr>
        <w:t>城市消费中心</w:t>
      </w:r>
      <w:r>
        <w:rPr>
          <w:rFonts w:hint="eastAsia" w:ascii="仿宋_GB2312" w:hAnsi="Times New Roman" w:eastAsia="仿宋_GB2312"/>
          <w:sz w:val="32"/>
          <w:szCs w:val="32"/>
          <w:lang w:val="en-US" w:eastAsia="zh-CN"/>
        </w:rPr>
        <w:t>突出潮流引领、文化融合、社交属性，主</w:t>
      </w:r>
      <w:r>
        <w:rPr>
          <w:rFonts w:hint="eastAsia" w:ascii="仿宋_GB2312" w:hAnsi="Times New Roman" w:eastAsia="仿宋_GB2312"/>
          <w:b w:val="0"/>
          <w:bCs w:val="0"/>
          <w:sz w:val="32"/>
          <w:szCs w:val="32"/>
          <w:lang w:val="en-US" w:eastAsia="zh-CN"/>
        </w:rPr>
        <w:t>要包含运河核心区、副中心枢纽等，重点发展高能级综合体、总部商务、高端商业、艺术文化消费、特色餐饮集群等场景业态。</w:t>
      </w:r>
      <w:r>
        <w:rPr>
          <w:rFonts w:hint="eastAsia" w:ascii="仿宋_GB2312" w:hAnsi="Times New Roman" w:eastAsia="仿宋_GB2312"/>
          <w:b/>
          <w:bCs/>
          <w:sz w:val="32"/>
          <w:szCs w:val="32"/>
          <w:lang w:val="en-US" w:eastAsia="zh-CN"/>
        </w:rPr>
        <w:t>地区活力消费圈</w:t>
      </w:r>
      <w:r>
        <w:rPr>
          <w:rFonts w:hint="eastAsia" w:ascii="仿宋_GB2312" w:hAnsi="Times New Roman" w:eastAsia="仿宋_GB2312"/>
          <w:b w:val="0"/>
          <w:bCs w:val="0"/>
          <w:sz w:val="32"/>
          <w:szCs w:val="32"/>
          <w:lang w:val="en-US" w:eastAsia="zh-CN"/>
        </w:rPr>
        <w:t>依托片区资源集聚人气，主要包含九棵树、通州北苑、东夏园枢纽、张家湾小镇、宋庄艺术小镇、台湖演艺小镇，重点发展综合购物中心、社区型体验业态、亲子家庭消费、本地特色餐饮、生活方式集合店等场景业态。</w:t>
      </w:r>
      <w:r>
        <w:rPr>
          <w:rFonts w:hint="eastAsia" w:ascii="仿宋_GB2312" w:hAnsi="Times New Roman" w:eastAsia="仿宋_GB2312"/>
          <w:b/>
          <w:bCs/>
          <w:sz w:val="32"/>
          <w:szCs w:val="32"/>
          <w:lang w:val="en-US" w:eastAsia="zh-CN"/>
        </w:rPr>
        <w:t>社区便民生活圈</w:t>
      </w:r>
      <w:r>
        <w:rPr>
          <w:rFonts w:hint="eastAsia" w:ascii="仿宋_GB2312" w:hAnsi="Times New Roman" w:eastAsia="仿宋_GB2312"/>
          <w:b w:val="0"/>
          <w:bCs w:val="0"/>
          <w:sz w:val="32"/>
          <w:szCs w:val="32"/>
          <w:lang w:val="en-US" w:eastAsia="zh-CN"/>
        </w:rPr>
        <w:t>做足便民服务、亲子互动、社区温情的家门口生活消费圈，重点发展邻里共享空间、社区微市集、口袋公园商业、便民服务驿站等场景业态。推动剧院、博物馆、图书馆等传统单一功能场所复合利用，有机融入娱乐社交、沉浸式体验、文化</w:t>
      </w:r>
      <w:r>
        <w:rPr>
          <w:rFonts w:hint="eastAsia" w:ascii="仿宋_GB2312" w:hAnsi="Times New Roman" w:eastAsia="仿宋_GB2312"/>
          <w:sz w:val="32"/>
          <w:szCs w:val="32"/>
        </w:rPr>
        <w:t>展览等场景，建设</w:t>
      </w:r>
      <w:r>
        <w:rPr>
          <w:rFonts w:hint="eastAsia" w:ascii="仿宋_GB2312" w:hAnsi="Times New Roman" w:eastAsia="仿宋_GB2312"/>
          <w:sz w:val="32"/>
          <w:szCs w:val="32"/>
          <w:lang w:val="en-US" w:eastAsia="zh-CN"/>
        </w:rPr>
        <w:t>北京</w:t>
      </w:r>
      <w:r>
        <w:rPr>
          <w:rFonts w:hint="eastAsia" w:ascii="仿宋_GB2312" w:hAnsi="Times New Roman" w:eastAsia="仿宋_GB2312"/>
          <w:sz w:val="32"/>
          <w:szCs w:val="32"/>
        </w:rPr>
        <w:t>城市副中心“第二现场”，推动单一空间场所向生活方式中心和文化休闲消费地标转型。</w:t>
      </w:r>
      <w:r>
        <w:rPr>
          <w:rFonts w:hint="eastAsia" w:ascii="仿宋_GB2312" w:hAnsi="Times New Roman" w:eastAsia="仿宋_GB2312"/>
          <w:sz w:val="32"/>
          <w:szCs w:val="32"/>
          <w:lang w:val="en-US" w:eastAsia="zh-CN"/>
        </w:rPr>
        <w:t>稳步推进</w:t>
      </w:r>
      <w:r>
        <w:rPr>
          <w:rFonts w:hint="eastAsia" w:ascii="仿宋_GB2312" w:hAnsi="Times New Roman" w:eastAsia="仿宋_GB2312" w:cstheme="minorBidi"/>
          <w:sz w:val="32"/>
          <w:szCs w:val="32"/>
          <w:lang w:val="en-US" w:eastAsia="zh-CN"/>
        </w:rPr>
        <w:t>副中心六环</w:t>
      </w:r>
      <w:r>
        <w:rPr>
          <w:rFonts w:hint="eastAsia" w:ascii="仿宋_GB2312" w:hAnsi="Times New Roman" w:eastAsia="仿宋_GB2312" w:cstheme="minorBidi"/>
          <w:sz w:val="32"/>
          <w:szCs w:val="32"/>
        </w:rPr>
        <w:t>高线公园</w:t>
      </w:r>
      <w:r>
        <w:rPr>
          <w:rFonts w:hint="eastAsia" w:ascii="仿宋_GB2312" w:hAnsi="Times New Roman" w:eastAsia="仿宋_GB2312" w:cstheme="minorBidi"/>
          <w:sz w:val="32"/>
          <w:szCs w:val="32"/>
          <w:lang w:val="en-US" w:eastAsia="zh-CN"/>
        </w:rPr>
        <w:t>建设，通过</w:t>
      </w:r>
      <w:r>
        <w:rPr>
          <w:rFonts w:hint="eastAsia" w:ascii="仿宋_GB2312" w:hAnsi="Times New Roman" w:eastAsia="仿宋_GB2312" w:cstheme="minorBidi"/>
          <w:sz w:val="32"/>
          <w:szCs w:val="32"/>
        </w:rPr>
        <w:t>“</w:t>
      </w:r>
      <w:r>
        <w:rPr>
          <w:rFonts w:hint="eastAsia" w:ascii="仿宋_GB2312" w:hAnsi="Times New Roman" w:eastAsia="仿宋_GB2312" w:cstheme="minorBidi"/>
          <w:b w:val="0"/>
          <w:bCs w:val="0"/>
          <w:sz w:val="32"/>
          <w:szCs w:val="32"/>
        </w:rPr>
        <w:t>公园+文化+商业+旅游</w:t>
      </w:r>
      <w:r>
        <w:rPr>
          <w:rFonts w:hint="eastAsia" w:ascii="仿宋_GB2312" w:hAnsi="Times New Roman" w:eastAsia="仿宋_GB2312" w:cstheme="minorBidi"/>
          <w:sz w:val="32"/>
          <w:szCs w:val="32"/>
        </w:rPr>
        <w:t>”</w:t>
      </w:r>
      <w:r>
        <w:rPr>
          <w:rFonts w:hint="eastAsia" w:ascii="仿宋_GB2312" w:hAnsi="Times New Roman" w:eastAsia="仿宋_GB2312" w:cstheme="minorBidi"/>
          <w:sz w:val="32"/>
          <w:szCs w:val="32"/>
          <w:lang w:val="en-US" w:eastAsia="zh-CN"/>
        </w:rPr>
        <w:t>深度融合</w:t>
      </w:r>
      <w:r>
        <w:rPr>
          <w:rFonts w:hint="eastAsia" w:ascii="仿宋_GB2312" w:hAnsi="Times New Roman" w:eastAsia="仿宋_GB2312" w:cstheme="minorBidi"/>
          <w:sz w:val="32"/>
          <w:szCs w:val="32"/>
          <w:lang w:eastAsia="zh-CN"/>
        </w:rPr>
        <w:t>，</w:t>
      </w:r>
      <w:r>
        <w:rPr>
          <w:rFonts w:hint="eastAsia" w:ascii="仿宋_GB2312" w:hAnsi="Times New Roman" w:eastAsia="仿宋_GB2312" w:cstheme="minorBidi"/>
          <w:sz w:val="32"/>
          <w:szCs w:val="32"/>
        </w:rPr>
        <w:t>形成“空中绿廊+活力商街”的复合型消费场景</w:t>
      </w:r>
      <w:r>
        <w:rPr>
          <w:rFonts w:hint="eastAsia" w:ascii="仿宋_GB2312" w:hAnsi="Times New Roman" w:eastAsia="仿宋_GB2312" w:cstheme="minorBidi"/>
          <w:sz w:val="32"/>
          <w:szCs w:val="32"/>
          <w:lang w:eastAsia="zh-CN"/>
        </w:rPr>
        <w:t>。</w:t>
      </w:r>
    </w:p>
    <w:tbl>
      <w:tblPr>
        <w:tblStyle w:val="11"/>
        <w:tblW w:w="8620" w:type="dxa"/>
        <w:tblInd w:w="0" w:type="dxa"/>
        <w:tblLayout w:type="autofit"/>
        <w:tblCellMar>
          <w:top w:w="0" w:type="dxa"/>
          <w:left w:w="108" w:type="dxa"/>
          <w:bottom w:w="0" w:type="dxa"/>
          <w:right w:w="108" w:type="dxa"/>
        </w:tblCellMar>
      </w:tblPr>
      <w:tblGrid>
        <w:gridCol w:w="8620"/>
      </w:tblGrid>
      <w:tr w14:paraId="56029B2F">
        <w:tblPrEx>
          <w:tblCellMar>
            <w:top w:w="0" w:type="dxa"/>
            <w:left w:w="108" w:type="dxa"/>
            <w:bottom w:w="0" w:type="dxa"/>
            <w:right w:w="108" w:type="dxa"/>
          </w:tblCellMar>
        </w:tblPrEx>
        <w:trPr>
          <w:trHeight w:val="621" w:hRule="atLeast"/>
        </w:trPr>
        <w:tc>
          <w:tcPr>
            <w:tcW w:w="8620" w:type="dxa"/>
            <w:tcBorders>
              <w:top w:val="single" w:color="auto" w:sz="4" w:space="0"/>
              <w:left w:val="single" w:color="auto" w:sz="4" w:space="0"/>
              <w:bottom w:val="single" w:color="auto" w:sz="4" w:space="0"/>
              <w:right w:val="single" w:color="auto" w:sz="4" w:space="0"/>
            </w:tcBorders>
            <w:noWrap/>
            <w:vAlign w:val="center"/>
          </w:tcPr>
          <w:p w14:paraId="7BCF2D1D">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专栏5-</w:t>
            </w:r>
            <w:r>
              <w:rPr>
                <w:rFonts w:hint="eastAsia" w:ascii="仿宋_GB2312" w:hAnsi="等线" w:eastAsia="仿宋_GB2312" w:cs="宋体"/>
                <w:b/>
                <w:bCs/>
                <w:kern w:val="0"/>
                <w:sz w:val="28"/>
                <w:szCs w:val="28"/>
                <w:lang w:val="en-US" w:eastAsia="zh-CN"/>
              </w:rPr>
              <w:t>1</w:t>
            </w:r>
            <w:r>
              <w:rPr>
                <w:rFonts w:hint="eastAsia" w:ascii="仿宋_GB2312" w:hAnsi="等线" w:eastAsia="仿宋_GB2312" w:cs="宋体"/>
                <w:b/>
                <w:bCs/>
                <w:kern w:val="0"/>
                <w:sz w:val="28"/>
                <w:szCs w:val="28"/>
              </w:rPr>
              <w:t>：</w:t>
            </w:r>
            <w:r>
              <w:rPr>
                <w:rFonts w:hint="eastAsia" w:ascii="仿宋_GB2312" w:hAnsi="等线" w:eastAsia="仿宋_GB2312" w:cs="宋体"/>
                <w:b/>
                <w:bCs/>
                <w:kern w:val="0"/>
                <w:sz w:val="28"/>
                <w:szCs w:val="28"/>
                <w:lang w:val="en-US" w:eastAsia="zh-CN"/>
              </w:rPr>
              <w:t>北京</w:t>
            </w:r>
            <w:r>
              <w:rPr>
                <w:rFonts w:hint="eastAsia" w:ascii="仿宋_GB2312" w:hAnsi="等线" w:eastAsia="仿宋_GB2312" w:cs="宋体"/>
                <w:b/>
                <w:bCs/>
                <w:kern w:val="0"/>
                <w:sz w:val="28"/>
                <w:szCs w:val="28"/>
              </w:rPr>
              <w:t>城市副中心“第二现场”建设</w:t>
            </w:r>
          </w:p>
        </w:tc>
      </w:tr>
      <w:tr w14:paraId="77A5DB69">
        <w:tblPrEx>
          <w:tblCellMar>
            <w:top w:w="0" w:type="dxa"/>
            <w:left w:w="108" w:type="dxa"/>
            <w:bottom w:w="0" w:type="dxa"/>
            <w:right w:w="108" w:type="dxa"/>
          </w:tblCellMar>
        </w:tblPrEx>
        <w:trPr>
          <w:trHeight w:val="1058" w:hRule="atLeast"/>
        </w:trPr>
        <w:tc>
          <w:tcPr>
            <w:tcW w:w="8620" w:type="dxa"/>
            <w:tcBorders>
              <w:top w:val="nil"/>
              <w:left w:val="single" w:color="auto" w:sz="4" w:space="0"/>
              <w:bottom w:val="nil"/>
              <w:right w:val="single" w:color="auto" w:sz="4" w:space="0"/>
            </w:tcBorders>
            <w:vAlign w:val="center"/>
          </w:tcPr>
          <w:p w14:paraId="75AFE30A">
            <w:pPr>
              <w:widowControl/>
              <w:snapToGrid w:val="0"/>
              <w:ind w:firstLine="562" w:firstLineChars="200"/>
              <w:rPr>
                <w:rFonts w:hint="eastAsia" w:ascii="仿宋_GB2312" w:hAnsi="等线" w:eastAsia="仿宋_GB2312" w:cs="宋体"/>
                <w:kern w:val="0"/>
                <w:sz w:val="28"/>
                <w:szCs w:val="28"/>
              </w:rPr>
            </w:pPr>
            <w:r>
              <w:rPr>
                <w:rFonts w:hint="eastAsia" w:ascii="仿宋_GB2312" w:hAnsi="等线" w:eastAsia="仿宋_GB2312" w:cs="宋体"/>
                <w:b/>
                <w:bCs/>
                <w:kern w:val="0"/>
                <w:sz w:val="28"/>
                <w:szCs w:val="28"/>
              </w:rPr>
              <w:t>互动空间拓展：</w:t>
            </w:r>
            <w:r>
              <w:rPr>
                <w:rFonts w:hint="eastAsia" w:ascii="仿宋_GB2312" w:hAnsi="等线" w:eastAsia="仿宋_GB2312" w:cs="宋体"/>
                <w:kern w:val="0"/>
                <w:sz w:val="28"/>
                <w:szCs w:val="28"/>
              </w:rPr>
              <w:t>利用全区商业综合体、北运河滨水开放空间的户外大屏、沉浸式场馆，打造赛事和演艺直播的“第二现场”，延伸观赛观演空间。</w:t>
            </w:r>
          </w:p>
        </w:tc>
      </w:tr>
      <w:tr w14:paraId="7D60D4DB">
        <w:tblPrEx>
          <w:tblCellMar>
            <w:top w:w="0" w:type="dxa"/>
            <w:left w:w="108" w:type="dxa"/>
            <w:bottom w:w="0" w:type="dxa"/>
            <w:right w:w="108" w:type="dxa"/>
          </w:tblCellMar>
        </w:tblPrEx>
        <w:trPr>
          <w:trHeight w:val="519" w:hRule="atLeast"/>
        </w:trPr>
        <w:tc>
          <w:tcPr>
            <w:tcW w:w="8620" w:type="dxa"/>
            <w:tcBorders>
              <w:top w:val="nil"/>
              <w:left w:val="single" w:color="auto" w:sz="4" w:space="0"/>
              <w:bottom w:val="nil"/>
              <w:right w:val="single" w:color="auto" w:sz="4" w:space="0"/>
            </w:tcBorders>
            <w:vAlign w:val="center"/>
          </w:tcPr>
          <w:p w14:paraId="30DF30D3">
            <w:pPr>
              <w:widowControl/>
              <w:snapToGrid w:val="0"/>
              <w:ind w:firstLine="562" w:firstLineChars="200"/>
              <w:rPr>
                <w:rFonts w:hint="eastAsia" w:ascii="仿宋_GB2312" w:hAnsi="等线" w:eastAsia="仿宋_GB2312" w:cs="宋体"/>
                <w:kern w:val="0"/>
                <w:sz w:val="28"/>
                <w:szCs w:val="28"/>
              </w:rPr>
            </w:pPr>
            <w:r>
              <w:rPr>
                <w:rFonts w:hint="eastAsia" w:ascii="仿宋_GB2312" w:hAnsi="等线" w:eastAsia="仿宋_GB2312" w:cs="宋体"/>
                <w:b/>
                <w:bCs/>
                <w:kern w:val="0"/>
                <w:sz w:val="28"/>
                <w:szCs w:val="28"/>
              </w:rPr>
              <w:t>多元场景搭建：</w:t>
            </w:r>
            <w:r>
              <w:rPr>
                <w:rFonts w:hint="eastAsia" w:ascii="仿宋_GB2312" w:hAnsi="等线" w:eastAsia="仿宋_GB2312" w:cs="宋体"/>
                <w:kern w:val="0"/>
                <w:sz w:val="28"/>
                <w:szCs w:val="28"/>
              </w:rPr>
              <w:t>推动“第二现场”进商圈、进街区、进景区、进文化空间，探索“一屏带多屏”模式，开展运河边的赛事转播服务，以核心直播点位联动周边商业空间，打造“夜游+夜娱+夜购”复合型夜间消费场景。</w:t>
            </w:r>
          </w:p>
        </w:tc>
      </w:tr>
      <w:tr w14:paraId="6281BE73">
        <w:tblPrEx>
          <w:tblCellMar>
            <w:top w:w="0" w:type="dxa"/>
            <w:left w:w="108" w:type="dxa"/>
            <w:bottom w:w="0" w:type="dxa"/>
            <w:right w:w="108" w:type="dxa"/>
          </w:tblCellMar>
        </w:tblPrEx>
        <w:trPr>
          <w:trHeight w:val="1058" w:hRule="atLeast"/>
        </w:trPr>
        <w:tc>
          <w:tcPr>
            <w:tcW w:w="8620" w:type="dxa"/>
            <w:tcBorders>
              <w:top w:val="nil"/>
              <w:left w:val="single" w:color="auto" w:sz="4" w:space="0"/>
              <w:bottom w:val="single" w:color="auto" w:sz="4" w:space="0"/>
              <w:right w:val="single" w:color="auto" w:sz="4" w:space="0"/>
            </w:tcBorders>
            <w:vAlign w:val="center"/>
          </w:tcPr>
          <w:p w14:paraId="06D2DD55">
            <w:pPr>
              <w:widowControl/>
              <w:snapToGrid w:val="0"/>
              <w:ind w:firstLine="562" w:firstLineChars="200"/>
              <w:rPr>
                <w:rFonts w:hint="eastAsia" w:ascii="仿宋_GB2312" w:hAnsi="等线" w:eastAsia="仿宋_GB2312" w:cs="宋体"/>
                <w:kern w:val="0"/>
                <w:sz w:val="28"/>
                <w:szCs w:val="28"/>
              </w:rPr>
            </w:pPr>
            <w:r>
              <w:rPr>
                <w:rFonts w:hint="eastAsia" w:ascii="仿宋_GB2312" w:hAnsi="等线" w:eastAsia="仿宋_GB2312" w:cs="宋体"/>
                <w:b/>
                <w:bCs/>
                <w:kern w:val="0"/>
                <w:sz w:val="28"/>
                <w:szCs w:val="28"/>
              </w:rPr>
              <w:t>社交体验升级：</w:t>
            </w:r>
            <w:r>
              <w:rPr>
                <w:rFonts w:hint="eastAsia" w:ascii="仿宋_GB2312" w:hAnsi="等线" w:eastAsia="仿宋_GB2312" w:cs="宋体"/>
                <w:kern w:val="0"/>
                <w:sz w:val="28"/>
                <w:szCs w:val="28"/>
              </w:rPr>
              <w:t>引入专业体育赛事解说、竞猜互动、中场演艺等环节，提升观看现场的社交属性和娱乐价值，带动商圈夜间经济消费。</w:t>
            </w:r>
          </w:p>
        </w:tc>
      </w:tr>
    </w:tbl>
    <w:p w14:paraId="024658CF">
      <w:pPr>
        <w:pStyle w:val="4"/>
        <w:spacing w:before="0" w:after="0" w:line="560" w:lineRule="exact"/>
        <w:ind w:firstLine="640" w:firstLineChars="200"/>
        <w:rPr>
          <w:rFonts w:hint="eastAsia" w:ascii="黑体" w:hAnsi="黑体" w:eastAsia="黑体"/>
          <w:color w:val="auto"/>
          <w:sz w:val="32"/>
          <w:szCs w:val="32"/>
        </w:rPr>
      </w:pPr>
      <w:bookmarkStart w:id="124" w:name="_Toc2625"/>
      <w:bookmarkStart w:id="125" w:name="_Toc28618"/>
      <w:bookmarkStart w:id="126" w:name="_Toc23380"/>
      <w:r>
        <w:rPr>
          <w:rFonts w:hint="eastAsia" w:ascii="黑体" w:hAnsi="黑体" w:eastAsia="黑体"/>
          <w:color w:val="auto"/>
          <w:sz w:val="32"/>
          <w:szCs w:val="32"/>
          <w:lang w:val="en-US" w:eastAsia="zh-CN"/>
        </w:rPr>
        <w:t>二</w:t>
      </w:r>
      <w:r>
        <w:rPr>
          <w:rFonts w:hint="eastAsia" w:ascii="黑体" w:hAnsi="黑体" w:eastAsia="黑体"/>
          <w:color w:val="auto"/>
          <w:sz w:val="32"/>
          <w:szCs w:val="32"/>
        </w:rPr>
        <w:t>、焕活古今交融的水岸经济</w:t>
      </w:r>
      <w:bookmarkEnd w:id="124"/>
      <w:bookmarkEnd w:id="125"/>
    </w:p>
    <w:p w14:paraId="5B25EE23">
      <w:pPr>
        <w:spacing w:line="560" w:lineRule="exact"/>
        <w:ind w:firstLine="643" w:firstLineChars="200"/>
        <w:rPr>
          <w:rFonts w:ascii="仿宋_GB2312" w:eastAsia="仿宋_GB2312"/>
          <w:sz w:val="32"/>
          <w:szCs w:val="32"/>
        </w:rPr>
      </w:pPr>
      <w:r>
        <w:rPr>
          <w:rFonts w:hint="eastAsia" w:ascii="仿宋_GB2312" w:eastAsia="仿宋_GB2312"/>
          <w:b/>
          <w:bCs/>
          <w:sz w:val="32"/>
          <w:szCs w:val="32"/>
        </w:rPr>
        <w:t>打造“零距离”多层次亲水空间。</w:t>
      </w:r>
      <w:r>
        <w:rPr>
          <w:rFonts w:hint="eastAsia" w:ascii="仿宋_GB2312" w:eastAsia="仿宋_GB2312"/>
          <w:sz w:val="32"/>
          <w:szCs w:val="32"/>
        </w:rPr>
        <w:t>以北运河、通惠河、萧太后河为重点，分段式推进滨水空间功能提升与品质塑造，构建串景成链的百里水廊，打造北京最大的蓝色经济带。开辟连接亮马河</w:t>
      </w:r>
      <w:r>
        <w:rPr>
          <w:rFonts w:hint="eastAsia" w:ascii="仿宋_GB2312" w:eastAsia="仿宋_GB2312"/>
          <w:sz w:val="32"/>
          <w:szCs w:val="32"/>
          <w:lang w:eastAsia="zh-CN"/>
        </w:rPr>
        <w:t>—</w:t>
      </w:r>
      <w:r>
        <w:rPr>
          <w:rFonts w:hint="eastAsia" w:ascii="仿宋_GB2312" w:eastAsia="仿宋_GB2312"/>
          <w:sz w:val="32"/>
          <w:szCs w:val="32"/>
        </w:rPr>
        <w:t>坝河</w:t>
      </w:r>
      <w:r>
        <w:rPr>
          <w:rFonts w:hint="eastAsia" w:ascii="仿宋_GB2312" w:eastAsia="仿宋_GB2312"/>
          <w:sz w:val="32"/>
          <w:szCs w:val="32"/>
          <w:lang w:eastAsia="zh-CN"/>
        </w:rPr>
        <w:t>—</w:t>
      </w:r>
      <w:r>
        <w:rPr>
          <w:rFonts w:hint="eastAsia" w:ascii="仿宋_GB2312" w:eastAsia="仿宋_GB2312"/>
          <w:sz w:val="32"/>
          <w:szCs w:val="32"/>
        </w:rPr>
        <w:t>北运河和通惠河</w:t>
      </w:r>
      <w:r>
        <w:rPr>
          <w:rFonts w:hint="eastAsia" w:ascii="仿宋_GB2312" w:eastAsia="仿宋_GB2312"/>
          <w:sz w:val="32"/>
          <w:szCs w:val="32"/>
          <w:lang w:eastAsia="zh-CN"/>
        </w:rPr>
        <w:t>—</w:t>
      </w:r>
      <w:r>
        <w:rPr>
          <w:rFonts w:hint="eastAsia" w:ascii="仿宋_GB2312" w:eastAsia="仿宋_GB2312"/>
          <w:sz w:val="32"/>
          <w:szCs w:val="32"/>
        </w:rPr>
        <w:t>北运河的跨</w:t>
      </w:r>
      <w:r>
        <w:rPr>
          <w:rFonts w:hint="eastAsia" w:ascii="仿宋_GB2312" w:eastAsia="仿宋_GB2312"/>
          <w:sz w:val="32"/>
          <w:szCs w:val="32"/>
          <w:lang w:val="en-US" w:eastAsia="zh-CN"/>
        </w:rPr>
        <w:t>区域</w:t>
      </w:r>
      <w:r>
        <w:rPr>
          <w:rFonts w:hint="eastAsia" w:ascii="仿宋_GB2312" w:eastAsia="仿宋_GB2312"/>
          <w:sz w:val="32"/>
          <w:szCs w:val="32"/>
        </w:rPr>
        <w:t>“水纽带”。强化运河商务区与北运河岸线的联动发展，推动飞向人马座</w:t>
      </w:r>
      <w:r>
        <w:rPr>
          <w:rFonts w:hint="eastAsia" w:ascii="仿宋_GB2312" w:eastAsia="仿宋_GB2312"/>
          <w:sz w:val="32"/>
          <w:szCs w:val="32"/>
          <w:lang w:val="en-US" w:eastAsia="zh-CN"/>
        </w:rPr>
        <w:t>-</w:t>
      </w:r>
      <w:r>
        <w:rPr>
          <w:rFonts w:hint="eastAsia" w:ascii="仿宋_GB2312" w:eastAsia="仿宋_GB2312"/>
          <w:sz w:val="32"/>
          <w:szCs w:val="32"/>
        </w:rPr>
        <w:t>启航营地、易通乐动力体育公园等亲水潮玩项目落地。</w:t>
      </w:r>
    </w:p>
    <w:p w14:paraId="67C6C1CD">
      <w:pPr>
        <w:pStyle w:val="2"/>
        <w:spacing w:before="0" w:after="0" w:line="560" w:lineRule="exact"/>
        <w:ind w:left="0" w:leftChars="0" w:firstLine="643" w:firstLineChars="200"/>
        <w:rPr>
          <w:rFonts w:hint="eastAsia"/>
        </w:rPr>
      </w:pPr>
      <w:r>
        <w:rPr>
          <w:rFonts w:hint="eastAsia" w:ascii="仿宋_GB2312" w:eastAsia="仿宋_GB2312"/>
          <w:b/>
          <w:bCs/>
          <w:sz w:val="32"/>
          <w:szCs w:val="32"/>
        </w:rPr>
        <w:t>丰富“水岸联动”多元化消费体验。</w:t>
      </w:r>
      <w:r>
        <w:rPr>
          <w:rFonts w:hint="eastAsia" w:ascii="仿宋_GB2312" w:eastAsia="仿宋_GB2312"/>
          <w:sz w:val="32"/>
          <w:szCs w:val="32"/>
        </w:rPr>
        <w:t>植入漕运文化</w:t>
      </w:r>
      <w:r>
        <w:rPr>
          <w:rFonts w:hint="eastAsia" w:ascii="仿宋_GB2312" w:eastAsia="仿宋_GB2312"/>
          <w:sz w:val="32"/>
          <w:szCs w:val="32"/>
          <w:lang w:eastAsia="zh-CN"/>
        </w:rPr>
        <w:t>、</w:t>
      </w:r>
      <w:r>
        <w:rPr>
          <w:rFonts w:hint="eastAsia" w:ascii="仿宋_GB2312" w:eastAsia="仿宋_GB2312"/>
          <w:sz w:val="32"/>
          <w:szCs w:val="32"/>
        </w:rPr>
        <w:t>运河商埠等文化基因，高水平办好大运河水景演艺，利用行进式游船拓展水景演艺形式，构建赏夜景、观演艺、品文化的体验模式。</w:t>
      </w:r>
      <w:r>
        <w:rPr>
          <w:rFonts w:hint="eastAsia" w:ascii="仿宋_GB2312" w:hAnsi="Times New Roman" w:eastAsia="仿宋_GB2312" w:cstheme="minorBidi"/>
          <w:sz w:val="32"/>
          <w:szCs w:val="32"/>
        </w:rPr>
        <w:t>有效利用</w:t>
      </w:r>
      <w:r>
        <w:rPr>
          <w:rFonts w:hint="eastAsia" w:ascii="仿宋_GB2312" w:hAnsi="Times New Roman" w:eastAsia="仿宋_GB2312" w:cstheme="minorBidi"/>
          <w:sz w:val="32"/>
          <w:szCs w:val="32"/>
          <w:lang w:val="en-US" w:eastAsia="zh-CN"/>
        </w:rPr>
        <w:t>运河</w:t>
      </w:r>
      <w:r>
        <w:rPr>
          <w:rFonts w:hint="eastAsia" w:ascii="仿宋_GB2312" w:hAnsi="Times New Roman" w:eastAsia="仿宋_GB2312"/>
          <w:sz w:val="32"/>
          <w:szCs w:val="32"/>
        </w:rPr>
        <w:t>沿线高层建筑</w:t>
      </w:r>
      <w:r>
        <w:rPr>
          <w:rFonts w:hint="eastAsia" w:ascii="仿宋_GB2312" w:hAnsi="Times New Roman" w:eastAsia="仿宋_GB2312" w:cstheme="minorBidi"/>
          <w:sz w:val="32"/>
          <w:szCs w:val="32"/>
        </w:rPr>
        <w:t>屋顶及顶层空间，</w:t>
      </w:r>
      <w:r>
        <w:rPr>
          <w:rFonts w:hint="eastAsia" w:ascii="仿宋_GB2312" w:hAnsi="Times New Roman" w:eastAsia="仿宋_GB2312" w:cstheme="minorBidi"/>
          <w:sz w:val="32"/>
          <w:szCs w:val="32"/>
          <w:lang w:val="en-US" w:eastAsia="zh-CN"/>
        </w:rPr>
        <w:t>构建</w:t>
      </w:r>
      <w:r>
        <w:rPr>
          <w:rFonts w:hint="eastAsia" w:ascii="仿宋_GB2312" w:hAnsi="Times New Roman" w:eastAsia="仿宋_GB2312" w:cstheme="minorBidi"/>
          <w:sz w:val="32"/>
          <w:szCs w:val="32"/>
        </w:rPr>
        <w:t>“看城市”与“看自然”双向贯通的景观眺</w:t>
      </w:r>
      <w:r>
        <w:rPr>
          <w:rFonts w:hint="eastAsia" w:ascii="Times New Roman" w:hAnsi="Times New Roman" w:eastAsia="仿宋_GB2312" w:cs="Times New Roman"/>
          <w:sz w:val="32"/>
          <w:szCs w:val="32"/>
        </w:rPr>
        <w:t>望体系，植入高空餐厅、云端酒吧、文化会客厅等功能，</w:t>
      </w:r>
      <w:r>
        <w:rPr>
          <w:rFonts w:hint="eastAsia" w:ascii="Times New Roman" w:hAnsi="Times New Roman" w:eastAsia="仿宋_GB2312" w:cs="Times New Roman"/>
          <w:sz w:val="32"/>
          <w:szCs w:val="32"/>
          <w:lang w:val="en-US" w:eastAsia="zh-CN"/>
        </w:rPr>
        <w:t>营造</w:t>
      </w:r>
      <w:r>
        <w:rPr>
          <w:rFonts w:hint="eastAsia" w:ascii="Times New Roman" w:hAnsi="Times New Roman" w:eastAsia="仿宋_GB2312" w:cs="Times New Roman"/>
          <w:sz w:val="32"/>
          <w:szCs w:val="32"/>
        </w:rPr>
        <w:t>年轻化、时尚化活力消费空间</w:t>
      </w:r>
      <w:r>
        <w:rPr>
          <w:rFonts w:hint="eastAsia" w:ascii="Times New Roman" w:hAnsi="Times New Roman" w:eastAsia="仿宋_GB2312" w:cs="Times New Roman"/>
          <w:sz w:val="32"/>
          <w:szCs w:val="32"/>
          <w:lang w:eastAsia="zh-CN"/>
        </w:rPr>
        <w:t>，</w:t>
      </w:r>
      <w:r>
        <w:rPr>
          <w:rFonts w:hint="eastAsia" w:ascii="仿宋_GB2312" w:eastAsia="仿宋_GB2312"/>
          <w:sz w:val="32"/>
          <w:szCs w:val="32"/>
          <w:lang w:val="en-US" w:eastAsia="zh-CN"/>
        </w:rPr>
        <w:t>打造“晚霞+沉浸式餐饮”“晚霞+商务雅叙”“晚霞+漕运市集”“晚霞+潮玩夜经济”等年轻化、时尚化活力消费场景。</w:t>
      </w:r>
      <w:r>
        <w:rPr>
          <w:rFonts w:hint="eastAsia" w:ascii="仿宋_GB2312" w:eastAsia="仿宋_GB2312"/>
          <w:sz w:val="32"/>
          <w:szCs w:val="32"/>
        </w:rPr>
        <w:t>优化游船运营管理，适当延长夜航时段，谋划在非航行时段开展水上发布会、</w:t>
      </w:r>
      <w:r>
        <w:rPr>
          <w:rFonts w:hint="eastAsia" w:ascii="仿宋_GB2312" w:eastAsia="仿宋_GB2312"/>
          <w:sz w:val="32"/>
          <w:szCs w:val="32"/>
          <w:lang w:val="en-US" w:eastAsia="zh-CN"/>
        </w:rPr>
        <w:t>水上社交</w:t>
      </w:r>
      <w:r>
        <w:rPr>
          <w:rFonts w:hint="eastAsia" w:ascii="仿宋_GB2312" w:eastAsia="仿宋_GB2312"/>
          <w:sz w:val="32"/>
          <w:szCs w:val="32"/>
        </w:rPr>
        <w:t>等主题活动。</w:t>
      </w:r>
    </w:p>
    <w:p w14:paraId="532849D3">
      <w:pPr>
        <w:pStyle w:val="4"/>
        <w:spacing w:before="0" w:after="0" w:line="560" w:lineRule="exact"/>
        <w:ind w:firstLine="640" w:firstLineChars="200"/>
        <w:rPr>
          <w:rFonts w:hint="default" w:ascii="黑体" w:hAnsi="黑体" w:eastAsia="黑体"/>
          <w:color w:val="auto"/>
          <w:sz w:val="32"/>
          <w:szCs w:val="32"/>
          <w:lang w:val="en-US"/>
        </w:rPr>
      </w:pPr>
      <w:bookmarkStart w:id="127" w:name="_Toc498"/>
      <w:bookmarkStart w:id="128" w:name="_Toc10522"/>
      <w:r>
        <w:rPr>
          <w:rFonts w:hint="eastAsia" w:ascii="黑体" w:hAnsi="黑体" w:eastAsia="黑体"/>
          <w:color w:val="auto"/>
          <w:sz w:val="32"/>
          <w:szCs w:val="32"/>
        </w:rPr>
        <w:t>三、构建</w:t>
      </w:r>
      <w:r>
        <w:rPr>
          <w:rFonts w:hint="eastAsia" w:ascii="黑体" w:hAnsi="黑体" w:eastAsia="黑体"/>
          <w:color w:val="auto"/>
          <w:sz w:val="32"/>
          <w:szCs w:val="32"/>
          <w:lang w:val="en-US" w:eastAsia="zh-CN"/>
        </w:rPr>
        <w:t>特色</w:t>
      </w:r>
      <w:r>
        <w:rPr>
          <w:rFonts w:hint="eastAsia" w:ascii="黑体" w:hAnsi="黑体" w:eastAsia="黑体"/>
          <w:color w:val="auto"/>
          <w:sz w:val="32"/>
          <w:szCs w:val="32"/>
        </w:rPr>
        <w:t>消费</w:t>
      </w:r>
      <w:r>
        <w:rPr>
          <w:rFonts w:hint="eastAsia" w:ascii="黑体" w:hAnsi="黑体" w:eastAsia="黑体"/>
          <w:color w:val="auto"/>
          <w:sz w:val="32"/>
          <w:szCs w:val="32"/>
          <w:lang w:val="en-US" w:eastAsia="zh-CN"/>
        </w:rPr>
        <w:t>产业</w:t>
      </w:r>
      <w:bookmarkEnd w:id="126"/>
      <w:bookmarkEnd w:id="127"/>
      <w:r>
        <w:rPr>
          <w:rFonts w:hint="eastAsia" w:ascii="黑体" w:hAnsi="黑体" w:eastAsia="黑体"/>
          <w:color w:val="auto"/>
          <w:sz w:val="32"/>
          <w:szCs w:val="32"/>
          <w:lang w:val="en-US" w:eastAsia="zh-CN"/>
        </w:rPr>
        <w:t>生态</w:t>
      </w:r>
      <w:bookmarkEnd w:id="128"/>
    </w:p>
    <w:p w14:paraId="715F9AE8">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sz w:val="32"/>
          <w:szCs w:val="32"/>
          <w:lang w:bidi="ar"/>
        </w:rPr>
      </w:pPr>
      <w:r>
        <w:rPr>
          <w:rFonts w:hint="eastAsia" w:ascii="仿宋_GB2312" w:eastAsia="仿宋_GB2312"/>
          <w:b/>
          <w:bCs/>
          <w:sz w:val="32"/>
          <w:szCs w:val="32"/>
        </w:rPr>
        <w:t>大力发展首发经济。</w:t>
      </w:r>
      <w:r>
        <w:rPr>
          <w:rFonts w:hint="eastAsia" w:ascii="仿宋_GB2312" w:eastAsia="仿宋_GB2312"/>
          <w:sz w:val="32"/>
          <w:szCs w:val="32"/>
          <w:lang w:eastAsia="zh-CN" w:bidi="ar"/>
        </w:rPr>
        <w:t>以首发经济为抓手，推动文旅消费升级与商业能级提升，助力</w:t>
      </w:r>
      <w:r>
        <w:rPr>
          <w:rFonts w:hint="eastAsia" w:ascii="仿宋_GB2312" w:eastAsia="仿宋_GB2312"/>
          <w:sz w:val="32"/>
          <w:szCs w:val="32"/>
          <w:lang w:val="en-US" w:eastAsia="zh-CN" w:bidi="ar"/>
        </w:rPr>
        <w:t>文</w:t>
      </w:r>
      <w:r>
        <w:rPr>
          <w:rFonts w:hint="eastAsia" w:ascii="仿宋_GB2312" w:eastAsia="仿宋_GB2312"/>
          <w:sz w:val="32"/>
          <w:szCs w:val="32"/>
          <w:lang w:eastAsia="zh-CN" w:bidi="ar"/>
        </w:rPr>
        <w:t>商旅深度融合发展。</w:t>
      </w:r>
      <w:r>
        <w:rPr>
          <w:rFonts w:ascii="Times New Roman" w:hAnsi="Times New Roman" w:eastAsia="仿宋_GB2312" w:cs="Times New Roman"/>
          <w:sz w:val="32"/>
          <w:szCs w:val="32"/>
        </w:rPr>
        <w:t>支持高品质文商旅综合体发展，</w:t>
      </w:r>
      <w:r>
        <w:rPr>
          <w:rFonts w:hint="eastAsia" w:ascii="Times New Roman" w:hAnsi="Times New Roman" w:eastAsia="仿宋_GB2312" w:cs="Times New Roman"/>
          <w:sz w:val="32"/>
          <w:szCs w:val="32"/>
        </w:rPr>
        <w:t>促进</w:t>
      </w:r>
      <w:r>
        <w:rPr>
          <w:rFonts w:ascii="Times New Roman" w:hAnsi="Times New Roman" w:eastAsia="仿宋_GB2312" w:cs="Times New Roman"/>
          <w:sz w:val="32"/>
          <w:szCs w:val="32"/>
        </w:rPr>
        <w:t>品牌首店、旗舰店、创新概念店落地，推出集品牌展示、首发首秀、体验消费于一体的首发空间，打造多层次的新品发布平台</w:t>
      </w:r>
      <w:r>
        <w:rPr>
          <w:rFonts w:hint="eastAsia" w:ascii="仿宋_GB2312" w:hAnsi="仿宋_GB2312" w:eastAsia="仿宋_GB2312" w:cs="仿宋_GB2312"/>
          <w:sz w:val="32"/>
          <w:szCs w:val="32"/>
        </w:rPr>
        <w:t>。</w:t>
      </w:r>
      <w:r>
        <w:rPr>
          <w:rFonts w:hint="eastAsia" w:ascii="仿宋_GB2312" w:eastAsia="仿宋_GB2312"/>
          <w:sz w:val="32"/>
          <w:szCs w:val="32"/>
          <w:lang w:bidi="ar"/>
        </w:rPr>
        <w:t>联动景区、演艺场所、特色街区，举办首发发布、新品体验等活动，强化宣传引流，推动首发经济与文旅消费、夜间经济深度融合。</w:t>
      </w:r>
    </w:p>
    <w:p w14:paraId="7FF91F92">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仿宋_GB2312" w:eastAsia="仿宋_GB2312"/>
          <w:sz w:val="32"/>
          <w:szCs w:val="32"/>
        </w:rPr>
      </w:pPr>
      <w:r>
        <w:rPr>
          <w:rFonts w:hint="eastAsia" w:ascii="仿宋_GB2312" w:eastAsia="仿宋_GB2312"/>
          <w:b/>
          <w:bCs/>
          <w:sz w:val="32"/>
          <w:szCs w:val="32"/>
        </w:rPr>
        <w:t>持续做大票根经济</w:t>
      </w:r>
      <w:r>
        <w:rPr>
          <w:rFonts w:hint="eastAsia" w:ascii="仿宋_GB2312" w:eastAsia="仿宋_GB2312"/>
          <w:b/>
          <w:bCs/>
          <w:sz w:val="32"/>
          <w:szCs w:val="32"/>
          <w:lang w:eastAsia="zh-CN"/>
        </w:rPr>
        <w:t>。</w:t>
      </w:r>
      <w:r>
        <w:rPr>
          <w:rFonts w:hint="eastAsia" w:ascii="仿宋_GB2312" w:eastAsia="仿宋_GB2312"/>
          <w:sz w:val="32"/>
          <w:szCs w:val="32"/>
        </w:rPr>
        <w:t>实施“一票通享”计划，让“副中心双马”“大运河音乐节”“大运河博物馆特展”等热点</w:t>
      </w:r>
      <w:r>
        <w:rPr>
          <w:rFonts w:hint="eastAsia" w:ascii="仿宋_GB2312" w:eastAsia="仿宋_GB2312"/>
          <w:sz w:val="32"/>
          <w:szCs w:val="32"/>
          <w:lang w:val="en-US" w:eastAsia="zh-CN"/>
        </w:rPr>
        <w:t>活动</w:t>
      </w:r>
      <w:r>
        <w:rPr>
          <w:rFonts w:hint="eastAsia" w:ascii="仿宋_GB2312" w:eastAsia="仿宋_GB2312"/>
          <w:sz w:val="32"/>
          <w:szCs w:val="32"/>
        </w:rPr>
        <w:t>门票，成为串联全区餐饮、住宿、购物、娱乐的“消费通行证”。推动</w:t>
      </w:r>
      <w:r>
        <w:rPr>
          <w:rFonts w:hint="eastAsia" w:ascii="仿宋_GB2312" w:eastAsia="仿宋_GB2312"/>
          <w:sz w:val="32"/>
          <w:szCs w:val="32"/>
          <w:lang w:val="en-US" w:eastAsia="zh-CN"/>
        </w:rPr>
        <w:t>北京环球度假区</w:t>
      </w:r>
      <w:r>
        <w:rPr>
          <w:rFonts w:hint="eastAsia" w:ascii="仿宋_GB2312" w:eastAsia="仿宋_GB2312"/>
          <w:sz w:val="32"/>
          <w:szCs w:val="32"/>
        </w:rPr>
        <w:t>、台湖演艺小镇、三大文化建筑与周边商业综合体建立联动机制，推出联票套餐和消费优惠，实现流量互引、消费转化。支持重点活动进商圈、进街区、进景区，常态化在商圈举办文艺演出、光影艺术节、灯会等活动，打造“超现场”体验。</w:t>
      </w:r>
    </w:p>
    <w:p w14:paraId="13FF580D">
      <w:pPr>
        <w:keepNext w:val="0"/>
        <w:keepLines w:val="0"/>
        <w:pageBreakBefore w:val="0"/>
        <w:kinsoku/>
        <w:wordWrap/>
        <w:overflowPunct/>
        <w:topLinePunct w:val="0"/>
        <w:autoSpaceDE/>
        <w:autoSpaceDN/>
        <w:bidi w:val="0"/>
        <w:adjustRightInd/>
        <w:snapToGrid/>
        <w:spacing w:line="560" w:lineRule="exact"/>
        <w:ind w:firstLine="643" w:firstLineChars="200"/>
        <w:textAlignment w:val="auto"/>
        <w:rPr>
          <w:rFonts w:hint="eastAsia" w:ascii="Times New Roman" w:hAnsi="Times New Roman" w:eastAsia="仿宋_GB2312" w:cs="Times New Roman"/>
          <w:sz w:val="32"/>
          <w:szCs w:val="32"/>
          <w:lang w:eastAsia="zh-CN"/>
        </w:rPr>
      </w:pPr>
      <w:r>
        <w:rPr>
          <w:rFonts w:hint="eastAsia" w:ascii="仿宋_GB2312" w:eastAsia="仿宋_GB2312"/>
          <w:b/>
          <w:bCs/>
          <w:sz w:val="32"/>
          <w:szCs w:val="32"/>
        </w:rPr>
        <w:t>不断激活夜间经济</w:t>
      </w:r>
      <w:r>
        <w:rPr>
          <w:rFonts w:hint="eastAsia" w:ascii="仿宋_GB2312" w:eastAsia="仿宋_GB2312"/>
          <w:b/>
          <w:bCs/>
          <w:sz w:val="32"/>
          <w:szCs w:val="32"/>
          <w:lang w:eastAsia="zh-CN"/>
        </w:rPr>
        <w:t>。</w:t>
      </w:r>
      <w:r>
        <w:rPr>
          <w:rFonts w:ascii="Times New Roman" w:hAnsi="Times New Roman" w:eastAsia="仿宋_GB2312" w:cs="Times New Roman"/>
          <w:sz w:val="32"/>
          <w:szCs w:val="32"/>
        </w:rPr>
        <w:t>加速释放湾里</w:t>
      </w:r>
      <w:r>
        <w:rPr>
          <w:rFonts w:hint="eastAsia" w:ascii="仿宋" w:hAnsi="仿宋" w:eastAsia="仿宋" w:cs="仿宋"/>
          <w:sz w:val="32"/>
          <w:szCs w:val="32"/>
        </w:rPr>
        <w:t>·</w:t>
      </w:r>
      <w:r>
        <w:rPr>
          <w:rFonts w:ascii="Times New Roman" w:hAnsi="Times New Roman" w:eastAsia="仿宋_GB2312" w:cs="Times New Roman"/>
          <w:sz w:val="32"/>
          <w:szCs w:val="32"/>
        </w:rPr>
        <w:t>汀云小镇、首开万象汇溪谷聚场等商业空间活力</w:t>
      </w:r>
      <w:r>
        <w:rPr>
          <w:rFonts w:hint="eastAsia" w:ascii="Times New Roman" w:hAnsi="Times New Roman" w:eastAsia="仿宋_GB2312" w:cs="Times New Roman"/>
          <w:sz w:val="32"/>
          <w:szCs w:val="32"/>
        </w:rPr>
        <w:t>，依托运河西岸、月亮河休闲小镇、</w:t>
      </w:r>
      <w:r>
        <w:rPr>
          <w:rFonts w:hint="eastAsia" w:ascii="Times New Roman" w:hAnsi="Times New Roman" w:eastAsia="仿宋_GB2312" w:cs="Times New Roman"/>
          <w:sz w:val="32"/>
          <w:szCs w:val="32"/>
          <w:lang w:val="en-US" w:eastAsia="zh-CN"/>
        </w:rPr>
        <w:t>环球</w:t>
      </w:r>
      <w:r>
        <w:rPr>
          <w:rFonts w:hint="eastAsia" w:ascii="Times New Roman" w:hAnsi="Times New Roman" w:eastAsia="仿宋_GB2312" w:cs="Times New Roman"/>
          <w:sz w:val="32"/>
          <w:szCs w:val="32"/>
        </w:rPr>
        <w:t>城市大道、万象汇</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文创园区</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旅游休闲街区</w:t>
      </w:r>
      <w:r>
        <w:rPr>
          <w:rFonts w:hint="eastAsia" w:ascii="Times New Roman" w:hAnsi="Times New Roman" w:eastAsia="仿宋_GB2312" w:cs="Times New Roman"/>
          <w:sz w:val="32"/>
          <w:szCs w:val="32"/>
        </w:rPr>
        <w:t>等各类场地资源，完善夜间文创市集、潮流市集、光影艺术装置、夜景灯光秀、精品</w:t>
      </w:r>
      <w:r>
        <w:rPr>
          <w:rFonts w:hint="eastAsia" w:ascii="Times New Roman" w:hAnsi="Times New Roman" w:eastAsia="仿宋_GB2312" w:cs="Times New Roman"/>
          <w:sz w:val="32"/>
          <w:szCs w:val="32"/>
          <w:lang w:val="en-US" w:eastAsia="zh-CN"/>
        </w:rPr>
        <w:t>酒吧</w:t>
      </w:r>
      <w:r>
        <w:rPr>
          <w:rFonts w:hint="eastAsia" w:ascii="Times New Roman" w:hAnsi="Times New Roman" w:eastAsia="仿宋_GB2312" w:cs="Times New Roman"/>
          <w:sz w:val="32"/>
          <w:szCs w:val="32"/>
        </w:rPr>
        <w:t>、沉浸式夜游</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lang w:val="en-US" w:eastAsia="zh-CN"/>
        </w:rPr>
        <w:t>主题民宿、精品度假酒店</w:t>
      </w:r>
      <w:r>
        <w:rPr>
          <w:rFonts w:hint="eastAsia" w:ascii="Times New Roman" w:hAnsi="Times New Roman" w:eastAsia="仿宋_GB2312" w:cs="Times New Roman"/>
          <w:sz w:val="32"/>
          <w:szCs w:val="32"/>
        </w:rPr>
        <w:t>等</w:t>
      </w:r>
      <w:r>
        <w:rPr>
          <w:rFonts w:hint="eastAsia" w:ascii="Times New Roman" w:hAnsi="Times New Roman" w:eastAsia="仿宋_GB2312" w:cs="Times New Roman"/>
          <w:sz w:val="32"/>
          <w:szCs w:val="32"/>
          <w:lang w:val="en-US" w:eastAsia="zh-CN"/>
        </w:rPr>
        <w:t>休闲业态</w:t>
      </w:r>
      <w:r>
        <w:rPr>
          <w:rFonts w:hint="eastAsia" w:ascii="Times New Roman" w:hAnsi="Times New Roman" w:eastAsia="仿宋_GB2312" w:cs="Times New Roman"/>
          <w:sz w:val="32"/>
          <w:szCs w:val="32"/>
        </w:rPr>
        <w:t>，构建“夜游</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夜娱</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夜购</w:t>
      </w:r>
      <w:r>
        <w:rPr>
          <w:rFonts w:hint="eastAsia" w:ascii="Times New Roman" w:hAnsi="Times New Roman" w:eastAsia="仿宋_GB2312" w:cs="Times New Roman"/>
          <w:sz w:val="32"/>
          <w:szCs w:val="32"/>
          <w:lang w:eastAsia="zh-CN"/>
        </w:rPr>
        <w:t>、</w:t>
      </w:r>
      <w:r>
        <w:rPr>
          <w:rFonts w:hint="eastAsia" w:ascii="Times New Roman" w:hAnsi="Times New Roman" w:eastAsia="仿宋_GB2312" w:cs="Times New Roman"/>
          <w:sz w:val="32"/>
          <w:szCs w:val="32"/>
        </w:rPr>
        <w:t>夜宿”的立体化夜间消费场景，</w:t>
      </w:r>
      <w:r>
        <w:rPr>
          <w:rFonts w:hint="eastAsia" w:ascii="Times New Roman" w:hAnsi="Times New Roman" w:eastAsia="仿宋_GB2312" w:cs="Times New Roman"/>
          <w:sz w:val="32"/>
          <w:szCs w:val="32"/>
          <w:lang w:val="en-US" w:eastAsia="zh-CN"/>
        </w:rPr>
        <w:t>打造</w:t>
      </w:r>
      <w:r>
        <w:rPr>
          <w:rFonts w:hint="eastAsia" w:ascii="Times New Roman" w:hAnsi="Times New Roman" w:eastAsia="仿宋_GB2312" w:cs="Times New Roman"/>
          <w:sz w:val="32"/>
          <w:szCs w:val="32"/>
        </w:rPr>
        <w:t>全天候文旅消费闭环。</w:t>
      </w:r>
      <w:r>
        <w:rPr>
          <w:rFonts w:hint="eastAsia" w:ascii="仿宋_GB2312" w:hAnsi="Times New Roman" w:eastAsia="仿宋_GB2312"/>
          <w:sz w:val="32"/>
          <w:szCs w:val="32"/>
        </w:rPr>
        <w:t>推动运河商务区第五立面形象提</w:t>
      </w:r>
      <w:r>
        <w:rPr>
          <w:rFonts w:hint="eastAsia" w:ascii="Times New Roman" w:hAnsi="Times New Roman" w:eastAsia="仿宋_GB2312" w:cs="Times New Roman"/>
          <w:sz w:val="32"/>
          <w:szCs w:val="32"/>
        </w:rPr>
        <w:t>升</w:t>
      </w:r>
      <w:r>
        <w:rPr>
          <w:rFonts w:hint="eastAsia" w:ascii="仿宋_GB2312" w:hAnsi="Times New Roman" w:eastAsia="仿宋_GB2312"/>
          <w:sz w:val="32"/>
          <w:szCs w:val="32"/>
        </w:rPr>
        <w:t>，构建通州区夜间</w:t>
      </w:r>
      <w:r>
        <w:rPr>
          <w:rFonts w:hint="eastAsia" w:ascii="仿宋_GB2312" w:hAnsi="Times New Roman" w:eastAsia="仿宋_GB2312"/>
          <w:sz w:val="32"/>
          <w:szCs w:val="32"/>
          <w:lang w:val="en-US" w:eastAsia="zh-CN"/>
        </w:rPr>
        <w:t>消费</w:t>
      </w:r>
      <w:r>
        <w:rPr>
          <w:rFonts w:hint="eastAsia" w:ascii="仿宋_GB2312" w:hAnsi="Times New Roman" w:eastAsia="仿宋_GB2312"/>
          <w:sz w:val="32"/>
          <w:szCs w:val="32"/>
        </w:rPr>
        <w:t>新地标。</w:t>
      </w:r>
    </w:p>
    <w:p w14:paraId="45E1AB16">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ascii="仿宋_GB2312" w:eastAsia="仿宋_GB2312"/>
          <w:sz w:val="32"/>
          <w:szCs w:val="32"/>
        </w:rPr>
      </w:pPr>
      <w:r>
        <w:rPr>
          <w:rFonts w:hint="eastAsia" w:ascii="仿宋_GB2312" w:eastAsia="仿宋_GB2312"/>
          <w:b/>
          <w:bCs/>
          <w:sz w:val="32"/>
          <w:szCs w:val="32"/>
        </w:rPr>
        <w:t>创新</w:t>
      </w:r>
      <w:r>
        <w:rPr>
          <w:rFonts w:hint="eastAsia" w:ascii="仿宋_GB2312" w:eastAsia="仿宋_GB2312"/>
          <w:b/>
          <w:bCs/>
          <w:sz w:val="32"/>
          <w:szCs w:val="32"/>
          <w:lang w:val="en-US" w:eastAsia="zh-CN"/>
        </w:rPr>
        <w:t>发展</w:t>
      </w:r>
      <w:r>
        <w:rPr>
          <w:rFonts w:hint="eastAsia" w:ascii="仿宋_GB2312" w:eastAsia="仿宋_GB2312"/>
          <w:b/>
          <w:bCs/>
          <w:sz w:val="32"/>
          <w:szCs w:val="32"/>
        </w:rPr>
        <w:t>枢纽经济。</w:t>
      </w:r>
      <w:r>
        <w:rPr>
          <w:rFonts w:hint="eastAsia" w:ascii="仿宋_GB2312" w:eastAsia="仿宋_GB2312"/>
          <w:sz w:val="32"/>
          <w:szCs w:val="32"/>
        </w:rPr>
        <w:t>依托枢纽集散功能，提供“一站式”旅游服务，实现人流、商流的高效转化，支撑</w:t>
      </w:r>
      <w:r>
        <w:rPr>
          <w:rFonts w:hint="eastAsia" w:ascii="仿宋_GB2312" w:eastAsia="仿宋_GB2312"/>
          <w:sz w:val="32"/>
          <w:szCs w:val="32"/>
          <w:lang w:val="en-US" w:eastAsia="zh-CN"/>
        </w:rPr>
        <w:t>北京城市</w:t>
      </w:r>
      <w:r>
        <w:rPr>
          <w:rFonts w:hint="eastAsia" w:ascii="仿宋_GB2312" w:eastAsia="仿宋_GB2312"/>
          <w:sz w:val="32"/>
          <w:szCs w:val="32"/>
        </w:rPr>
        <w:t>副中心建设成为京津冀区域富有活力的创新城市和消费枢纽。依托</w:t>
      </w:r>
      <w:r>
        <w:rPr>
          <w:rFonts w:hint="eastAsia" w:ascii="仿宋_GB2312" w:eastAsia="仿宋_GB2312"/>
          <w:sz w:val="32"/>
          <w:szCs w:val="32"/>
          <w:lang w:val="en-US" w:eastAsia="zh-CN"/>
        </w:rPr>
        <w:t>北京通州站</w:t>
      </w:r>
      <w:r>
        <w:rPr>
          <w:rFonts w:hint="eastAsia" w:ascii="仿宋_GB2312" w:eastAsia="仿宋_GB2312"/>
          <w:sz w:val="32"/>
          <w:szCs w:val="32"/>
        </w:rPr>
        <w:t>、万盛西交通枢纽、群芳交通枢纽等重大项目，推动交通功能与商务办公、文化娱乐、消费服务功能的深度融合。结合轨道交通M101线和M102线等站点建设，统筹周边商业开发，实现“轨道+物业+商业”的一体化发展。强化与北三县的通勤联系，开通旅游专线，串联全区资源，构建文旅“新干线”。</w:t>
      </w:r>
    </w:p>
    <w:p w14:paraId="7D6D45F4">
      <w:pPr>
        <w:widowControl/>
        <w:spacing w:before="156" w:beforeLines="50" w:after="156" w:afterLines="50" w:line="560" w:lineRule="exact"/>
        <w:rPr>
          <w:rFonts w:hint="eastAsia" w:ascii="黑体" w:hAnsi="黑体" w:eastAsia="黑体"/>
          <w:b/>
          <w:bCs/>
          <w:sz w:val="32"/>
          <w:szCs w:val="32"/>
        </w:rPr>
      </w:pPr>
      <w:bookmarkStart w:id="129" w:name="_Toc13805"/>
      <w:bookmarkStart w:id="130" w:name="_Toc27558"/>
      <w:bookmarkStart w:id="131" w:name="_Toc2237"/>
      <w:bookmarkStart w:id="132" w:name="_Toc19844"/>
      <w:bookmarkStart w:id="133" w:name="_Toc9274"/>
      <w:r>
        <w:rPr>
          <w:rFonts w:hint="eastAsia" w:ascii="黑体" w:hAnsi="黑体" w:eastAsia="黑体"/>
          <w:b/>
          <w:bCs/>
          <w:sz w:val="32"/>
          <w:szCs w:val="32"/>
        </w:rPr>
        <w:br w:type="page"/>
      </w:r>
    </w:p>
    <w:p w14:paraId="6ADDE8D6">
      <w:pPr>
        <w:pStyle w:val="3"/>
        <w:keepNext w:val="0"/>
        <w:keepLines w:val="0"/>
        <w:widowControl/>
        <w:spacing w:before="156" w:beforeLines="50" w:after="156" w:afterLines="50" w:line="560" w:lineRule="exact"/>
        <w:jc w:val="center"/>
        <w:rPr>
          <w:rFonts w:hint="eastAsia" w:ascii="黑体" w:hAnsi="黑体" w:eastAsia="黑体"/>
          <w:b/>
          <w:bCs/>
          <w:color w:val="auto"/>
          <w:sz w:val="32"/>
          <w:szCs w:val="32"/>
        </w:rPr>
      </w:pPr>
      <w:bookmarkStart w:id="134" w:name="_Toc5282"/>
      <w:bookmarkStart w:id="135" w:name="_Toc31842"/>
      <w:bookmarkStart w:id="136" w:name="_Toc27749"/>
      <w:r>
        <w:rPr>
          <w:rFonts w:hint="eastAsia" w:ascii="黑体" w:hAnsi="黑体" w:eastAsia="黑体"/>
          <w:b/>
          <w:bCs/>
          <w:color w:val="auto"/>
          <w:sz w:val="32"/>
          <w:szCs w:val="32"/>
        </w:rPr>
        <w:t>第六章 以体引流，打造首都城市活力新引擎</w:t>
      </w:r>
      <w:bookmarkEnd w:id="134"/>
      <w:bookmarkEnd w:id="135"/>
    </w:p>
    <w:p w14:paraId="6A4B4D6F">
      <w:pPr>
        <w:spacing w:line="560" w:lineRule="exact"/>
        <w:ind w:firstLine="640" w:firstLineChars="200"/>
        <w:rPr>
          <w:rFonts w:ascii="仿宋_GB2312" w:hAnsi="Times New Roman" w:eastAsia="仿宋_GB2312"/>
          <w:sz w:val="32"/>
          <w:szCs w:val="32"/>
        </w:rPr>
      </w:pPr>
      <w:bookmarkStart w:id="137" w:name="_Toc15906"/>
      <w:r>
        <w:rPr>
          <w:rFonts w:hint="eastAsia" w:ascii="仿宋_GB2312" w:hAnsi="Times New Roman" w:eastAsia="仿宋_GB2312"/>
          <w:sz w:val="32"/>
          <w:szCs w:val="32"/>
          <w:lang w:val="en-US" w:eastAsia="zh-CN"/>
        </w:rPr>
        <w:t>以高质量户外运动目的地建设为目标，</w:t>
      </w:r>
      <w:r>
        <w:rPr>
          <w:rFonts w:hint="eastAsia" w:ascii="仿宋_GB2312" w:hAnsi="Times New Roman" w:eastAsia="仿宋_GB2312"/>
          <w:sz w:val="32"/>
          <w:szCs w:val="32"/>
        </w:rPr>
        <w:t>完善全民健身公共服务体系，推动体育产业提质升级，深化赛事与文商旅多维联动，为北京建设“双奥国际赛事名城”持续注入</w:t>
      </w:r>
      <w:r>
        <w:rPr>
          <w:rFonts w:hint="eastAsia" w:ascii="仿宋_GB2312" w:hAnsi="Times New Roman" w:eastAsia="仿宋_GB2312"/>
          <w:sz w:val="32"/>
          <w:szCs w:val="32"/>
          <w:lang w:val="en-US" w:eastAsia="zh-CN"/>
        </w:rPr>
        <w:t>城市</w:t>
      </w:r>
      <w:r>
        <w:rPr>
          <w:rFonts w:hint="eastAsia" w:ascii="仿宋_GB2312" w:hAnsi="Times New Roman" w:eastAsia="仿宋_GB2312"/>
          <w:sz w:val="32"/>
          <w:szCs w:val="32"/>
        </w:rPr>
        <w:t>副中心动能。</w:t>
      </w:r>
    </w:p>
    <w:p w14:paraId="0A3CCDF1">
      <w:pPr>
        <w:pStyle w:val="4"/>
        <w:numPr>
          <w:ilvl w:val="0"/>
          <w:numId w:val="0"/>
        </w:numPr>
        <w:spacing w:before="0" w:after="0" w:line="560" w:lineRule="exact"/>
        <w:ind w:firstLine="640" w:firstLineChars="200"/>
        <w:rPr>
          <w:rFonts w:hint="eastAsia" w:ascii="黑体" w:hAnsi="黑体" w:eastAsia="黑体"/>
          <w:color w:val="auto"/>
          <w:sz w:val="32"/>
          <w:szCs w:val="32"/>
          <w:lang w:val="en-US" w:eastAsia="zh-CN"/>
        </w:rPr>
      </w:pPr>
      <w:bookmarkStart w:id="138" w:name="_Toc14013"/>
      <w:bookmarkStart w:id="139" w:name="_Toc16894"/>
      <w:bookmarkStart w:id="140" w:name="_Toc2059"/>
      <w:r>
        <w:rPr>
          <w:rFonts w:hint="eastAsia" w:ascii="黑体" w:hAnsi="黑体" w:eastAsia="黑体" w:cstheme="majorBidi"/>
          <w:color w:val="auto"/>
          <w:kern w:val="2"/>
          <w:sz w:val="32"/>
          <w:szCs w:val="32"/>
          <w:lang w:val="en-US" w:eastAsia="zh-CN" w:bidi="ar-SA"/>
        </w:rPr>
        <w:t>一、</w:t>
      </w:r>
      <w:r>
        <w:rPr>
          <w:rFonts w:hint="eastAsia" w:ascii="黑体" w:hAnsi="黑体" w:eastAsia="黑体"/>
          <w:color w:val="auto"/>
          <w:sz w:val="32"/>
          <w:szCs w:val="32"/>
          <w:lang w:val="en-US" w:eastAsia="zh-CN"/>
        </w:rPr>
        <w:t>完善全民健身公共服务体系</w:t>
      </w:r>
      <w:bookmarkEnd w:id="138"/>
      <w:bookmarkEnd w:id="139"/>
      <w:bookmarkEnd w:id="140"/>
    </w:p>
    <w:p w14:paraId="1C573187">
      <w:pPr>
        <w:spacing w:line="560" w:lineRule="exact"/>
        <w:ind w:firstLine="640" w:firstLineChars="200"/>
        <w:rPr>
          <w:rFonts w:hint="eastAsia" w:ascii="仿宋_GB2312" w:hAnsi="Times New Roman" w:eastAsia="仿宋_GB2312"/>
          <w:sz w:val="32"/>
          <w:szCs w:val="32"/>
          <w:lang w:val="en-US" w:eastAsia="zh-CN"/>
        </w:rPr>
      </w:pPr>
      <w:r>
        <w:rPr>
          <w:rFonts w:hint="eastAsia" w:ascii="仿宋_GB2312" w:hAnsi="Times New Roman" w:eastAsia="仿宋_GB2312"/>
          <w:sz w:val="32"/>
          <w:szCs w:val="32"/>
        </w:rPr>
        <w:t>优化全民健身设施布局，加快构建社区15分钟健身圈，推动行政村、社区健身设施全覆盖，实现城乡全民健身设施均等化发展。推进健身设施适老化、适儿化改造，建设老年人友好型运动设施和适儿化运动空间，推动公共健身设施全龄友好；推动现有户外运动场馆、老旧体育设施数字化改造与迭代更新，适配全龄段多样化户外运动需求</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鼓励各乡镇立足资源禀赋，按照一镇一特色原则，差异化培育特色体育项目</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推进</w:t>
      </w:r>
      <w:r>
        <w:rPr>
          <w:rFonts w:hint="eastAsia" w:ascii="仿宋_GB2312" w:hAnsi="Times New Roman" w:eastAsia="仿宋_GB2312"/>
          <w:sz w:val="32"/>
          <w:szCs w:val="32"/>
          <w:lang w:val="en-US" w:eastAsia="zh-CN"/>
        </w:rPr>
        <w:t>副中心</w:t>
      </w:r>
      <w:r>
        <w:rPr>
          <w:rFonts w:hint="eastAsia" w:ascii="仿宋_GB2312" w:hAnsi="Times New Roman" w:eastAsia="仿宋_GB2312"/>
          <w:sz w:val="32"/>
          <w:szCs w:val="32"/>
        </w:rPr>
        <w:t>六环高线公园</w:t>
      </w:r>
      <w:r>
        <w:rPr>
          <w:rFonts w:hint="eastAsia" w:ascii="仿宋_GB2312" w:hAnsi="Times New Roman" w:eastAsia="仿宋_GB2312"/>
          <w:sz w:val="32"/>
          <w:szCs w:val="32"/>
          <w:lang w:val="en-US" w:eastAsia="zh-CN"/>
        </w:rPr>
        <w:t>沿线</w:t>
      </w:r>
      <w:r>
        <w:rPr>
          <w:rFonts w:hint="eastAsia" w:ascii="仿宋_GB2312" w:hAnsi="Times New Roman" w:eastAsia="仿宋_GB2312"/>
          <w:sz w:val="32"/>
          <w:szCs w:val="32"/>
        </w:rPr>
        <w:t>体育</w:t>
      </w:r>
      <w:r>
        <w:rPr>
          <w:rFonts w:hint="eastAsia" w:ascii="仿宋_GB2312" w:hAnsi="Times New Roman" w:eastAsia="仿宋_GB2312"/>
          <w:sz w:val="32"/>
          <w:szCs w:val="32"/>
          <w:lang w:val="en-US" w:eastAsia="zh-CN"/>
        </w:rPr>
        <w:t>设施</w:t>
      </w:r>
      <w:r>
        <w:rPr>
          <w:rFonts w:hint="eastAsia" w:ascii="仿宋_GB2312" w:hAnsi="Times New Roman" w:eastAsia="仿宋_GB2312"/>
          <w:sz w:val="32"/>
          <w:szCs w:val="32"/>
        </w:rPr>
        <w:t>建设，涵盖攀岩、卡丁车、电竞等活力设施，棒球、垒球等新潮场地，以及足球、篮球、网球等常规球类场地。支持商业综合体、购物中心等商业设施布局室内滑冰场、屋顶球场、亲子运动区等便民体育场地。</w:t>
      </w:r>
      <w:r>
        <w:rPr>
          <w:rFonts w:hint="eastAsia" w:ascii="仿宋_GB2312" w:hAnsi="Times New Roman" w:eastAsia="仿宋_GB2312"/>
          <w:sz w:val="32"/>
          <w:szCs w:val="32"/>
          <w:lang w:val="en-US" w:eastAsia="zh-CN"/>
        </w:rPr>
        <w:t>推动中国人民大学、北京工业大学、北京服装学院等高校体育场馆向社会开放，探索建立校地合作机制，提升高校体育资源的社会服务能力。</w:t>
      </w:r>
      <w:r>
        <w:rPr>
          <w:rFonts w:hint="eastAsia" w:ascii="仿宋_GB2312" w:hAnsi="Times New Roman" w:eastAsia="仿宋_GB2312"/>
          <w:sz w:val="32"/>
          <w:szCs w:val="32"/>
        </w:rPr>
        <w:t>鼓励社会力量参与健身设施建设与运营，提升管理服务水平。</w:t>
      </w:r>
    </w:p>
    <w:p w14:paraId="2AA64734">
      <w:pPr>
        <w:pStyle w:val="4"/>
        <w:spacing w:before="0" w:after="0" w:line="560" w:lineRule="exact"/>
        <w:ind w:firstLine="640" w:firstLineChars="200"/>
        <w:rPr>
          <w:rFonts w:hint="eastAsia" w:ascii="黑体" w:hAnsi="黑体" w:eastAsia="黑体"/>
          <w:color w:val="auto"/>
          <w:sz w:val="32"/>
          <w:szCs w:val="32"/>
        </w:rPr>
      </w:pPr>
      <w:bookmarkStart w:id="141" w:name="_Toc20865"/>
      <w:bookmarkStart w:id="142" w:name="_Toc2838"/>
      <w:bookmarkStart w:id="143" w:name="_Toc12132"/>
      <w:r>
        <w:rPr>
          <w:rFonts w:hint="eastAsia" w:ascii="黑体" w:hAnsi="黑体" w:eastAsia="黑体"/>
          <w:color w:val="auto"/>
          <w:sz w:val="32"/>
          <w:szCs w:val="32"/>
          <w:lang w:val="en-US" w:eastAsia="zh-CN"/>
        </w:rPr>
        <w:t>二</w:t>
      </w:r>
      <w:r>
        <w:rPr>
          <w:rFonts w:hint="eastAsia" w:ascii="黑体" w:hAnsi="黑体" w:eastAsia="黑体"/>
          <w:color w:val="auto"/>
          <w:sz w:val="32"/>
          <w:szCs w:val="32"/>
        </w:rPr>
        <w:t>、推动赛事与文商旅多维联动</w:t>
      </w:r>
      <w:bookmarkEnd w:id="141"/>
      <w:bookmarkEnd w:id="142"/>
      <w:bookmarkEnd w:id="143"/>
    </w:p>
    <w:p w14:paraId="721EC30A">
      <w:pPr>
        <w:spacing w:line="560" w:lineRule="exact"/>
        <w:ind w:firstLine="643" w:firstLineChars="200"/>
        <w:rPr>
          <w:rFonts w:ascii="仿宋_GB2312" w:hAnsi="Times New Roman" w:eastAsia="仿宋_GB2312" w:cs="仿宋_GB2312"/>
          <w:sz w:val="32"/>
          <w:szCs w:val="32"/>
        </w:rPr>
      </w:pPr>
      <w:r>
        <w:rPr>
          <w:rFonts w:hint="eastAsia" w:ascii="仿宋_GB2312" w:hAnsi="Times New Roman" w:eastAsia="仿宋_GB2312" w:cs="仿宋_GB2312"/>
          <w:b/>
          <w:bCs/>
          <w:sz w:val="32"/>
          <w:szCs w:val="32"/>
          <w:lang w:bidi="ar"/>
        </w:rPr>
        <w:t>建设高品质赛事体系。</w:t>
      </w:r>
      <w:r>
        <w:rPr>
          <w:rFonts w:hint="eastAsia" w:ascii="仿宋_GB2312" w:hAnsi="Times New Roman" w:eastAsia="仿宋_GB2312"/>
          <w:sz w:val="32"/>
          <w:szCs w:val="32"/>
        </w:rPr>
        <w:t>分层推进赛事举办，</w:t>
      </w:r>
      <w:r>
        <w:rPr>
          <w:rFonts w:hint="eastAsia" w:ascii="仿宋_GB2312" w:hAnsi="Times New Roman" w:eastAsia="仿宋_GB2312" w:cs="仿宋_GB2312"/>
          <w:sz w:val="32"/>
          <w:szCs w:val="32"/>
          <w:lang w:bidi="ar"/>
        </w:rPr>
        <w:t>高水平举办大运河龙舟、</w:t>
      </w:r>
      <w:r>
        <w:rPr>
          <w:rFonts w:hint="eastAsia" w:ascii="仿宋_GB2312" w:hAnsi="Times New Roman" w:eastAsia="仿宋_GB2312" w:cs="仿宋_GB2312"/>
          <w:sz w:val="32"/>
          <w:szCs w:val="32"/>
          <w:lang w:val="en-US" w:eastAsia="zh-CN" w:bidi="ar"/>
        </w:rPr>
        <w:t>北京</w:t>
      </w:r>
      <w:r>
        <w:rPr>
          <w:rFonts w:hint="eastAsia" w:ascii="仿宋_GB2312" w:hAnsi="Times New Roman" w:eastAsia="仿宋_GB2312" w:cs="仿宋_GB2312"/>
          <w:sz w:val="32"/>
          <w:szCs w:val="32"/>
          <w:lang w:bidi="ar"/>
        </w:rPr>
        <w:t>城市副中心马拉松、国际象棋等高水准赛事；积极争取京城徒步大会、北京市青少年飞盘公开赛、北京击剑公开赛等市级赛事活动落地通州，积极争取北京“双奥100”赛事承办权；常态化开展运河骑游、运河皮划艇公开赛等区级赛事；</w:t>
      </w:r>
      <w:r>
        <w:rPr>
          <w:rFonts w:hint="eastAsia" w:ascii="仿宋_GB2312" w:hAnsi="Times New Roman" w:eastAsia="仿宋_GB2312" w:cs="仿宋_GB2312"/>
          <w:sz w:val="32"/>
          <w:szCs w:val="32"/>
          <w:lang w:val="en-US" w:eastAsia="zh-CN" w:bidi="ar"/>
        </w:rPr>
        <w:t>积极</w:t>
      </w:r>
      <w:r>
        <w:rPr>
          <w:rFonts w:hint="eastAsia" w:ascii="仿宋_GB2312" w:hAnsi="Times New Roman" w:eastAsia="仿宋_GB2312" w:cs="仿宋_GB2312"/>
          <w:sz w:val="32"/>
          <w:szCs w:val="32"/>
          <w:lang w:bidi="ar"/>
        </w:rPr>
        <w:t>引进培育国际化、高能级及新兴潮流赛事，推动跨区域赛事合作。</w:t>
      </w:r>
      <w:r>
        <w:rPr>
          <w:rFonts w:hint="eastAsia" w:ascii="仿宋_GB2312" w:hAnsi="Times New Roman" w:eastAsia="仿宋_GB2312" w:cs="仿宋_GB2312"/>
          <w:sz w:val="32"/>
          <w:szCs w:val="32"/>
          <w:lang w:val="en-US" w:eastAsia="zh-CN" w:bidi="ar"/>
        </w:rPr>
        <w:t>加强区内外高校体育赛事协同，组织开展大学生皮划艇、桨板等水上运动赛事和篮球、足球、排球等球类赛事，推动校园体育与全民健身体系深度融合。</w:t>
      </w:r>
      <w:r>
        <w:rPr>
          <w:rFonts w:hint="eastAsia" w:ascii="仿宋_GB2312" w:hAnsi="Times New Roman" w:eastAsia="仿宋_GB2312" w:cs="仿宋_GB2312"/>
          <w:sz w:val="32"/>
          <w:szCs w:val="32"/>
          <w:lang w:bidi="ar"/>
        </w:rPr>
        <w:t>推动智能技术在赛事全流程应用，探索人形机器人参与赛事服务及表演展示，运用智能技术提升“通通来运动”品牌影响力。</w:t>
      </w:r>
    </w:p>
    <w:p w14:paraId="2B55B761">
      <w:pPr>
        <w:spacing w:line="560" w:lineRule="exact"/>
        <w:ind w:firstLine="643" w:firstLineChars="200"/>
        <w:rPr>
          <w:rFonts w:ascii="仿宋_GB2312" w:hAnsi="Times New Roman" w:eastAsia="仿宋_GB2312" w:cs="仿宋_GB2312"/>
          <w:sz w:val="32"/>
          <w:szCs w:val="32"/>
          <w:lang w:bidi="ar"/>
        </w:rPr>
      </w:pPr>
      <w:r>
        <w:rPr>
          <w:rFonts w:hint="eastAsia" w:ascii="仿宋_GB2312" w:hAnsi="Times New Roman" w:eastAsia="仿宋_GB2312" w:cs="仿宋_GB2312"/>
          <w:b/>
          <w:bCs/>
          <w:sz w:val="32"/>
          <w:szCs w:val="32"/>
          <w:lang w:bidi="ar"/>
        </w:rPr>
        <w:t>发挥赛事经济带动效益。</w:t>
      </w:r>
      <w:r>
        <w:rPr>
          <w:rFonts w:hint="eastAsia" w:ascii="仿宋_GB2312" w:hAnsi="Times New Roman" w:eastAsia="仿宋_GB2312" w:cs="仿宋_GB2312"/>
          <w:sz w:val="32"/>
          <w:szCs w:val="32"/>
          <w:lang w:val="en-US" w:eastAsia="zh-CN" w:bidi="ar"/>
        </w:rPr>
        <w:t>持续</w:t>
      </w:r>
      <w:r>
        <w:rPr>
          <w:rFonts w:hint="eastAsia" w:ascii="仿宋_GB2312" w:hAnsi="Times New Roman" w:eastAsia="仿宋_GB2312" w:cs="仿宋_GB2312"/>
          <w:sz w:val="32"/>
          <w:szCs w:val="32"/>
          <w:lang w:bidi="ar"/>
        </w:rPr>
        <w:t>打造“跟着赛事去旅行”品牌，构建“赛前引流、赛中消费、赛后延伸”的闭环消费体系。扶持通州鹏瑞足球俱乐部提质发展，依托职业赛事集聚人流商气，激活文体消费市场。深化赛事与文旅联动，串联北京（通州）大运河文化旅游景区、</w:t>
      </w:r>
      <w:r>
        <w:rPr>
          <w:rFonts w:ascii="仿宋_GB2312" w:hAnsi="Times New Roman" w:eastAsia="仿宋_GB2312" w:cs="仿宋_GB2312"/>
          <w:sz w:val="32"/>
          <w:szCs w:val="32"/>
          <w:lang w:bidi="ar"/>
        </w:rPr>
        <w:t>三大文化设施等，</w:t>
      </w:r>
      <w:r>
        <w:rPr>
          <w:rFonts w:hint="eastAsia" w:ascii="仿宋_GB2312" w:hAnsi="Times New Roman" w:eastAsia="仿宋_GB2312" w:cs="仿宋_GB2312"/>
          <w:sz w:val="32"/>
          <w:szCs w:val="32"/>
          <w:lang w:bidi="ar"/>
        </w:rPr>
        <w:t>开发赛事主题旅游线路</w:t>
      </w:r>
      <w:r>
        <w:rPr>
          <w:rFonts w:hint="eastAsia" w:ascii="仿宋_GB2312" w:hAnsi="Times New Roman" w:eastAsia="仿宋_GB2312" w:cs="仿宋_GB2312"/>
          <w:sz w:val="32"/>
          <w:szCs w:val="32"/>
          <w:lang w:eastAsia="zh-CN" w:bidi="ar"/>
        </w:rPr>
        <w:t>。</w:t>
      </w:r>
      <w:r>
        <w:rPr>
          <w:rFonts w:hint="eastAsia" w:ascii="仿宋_GB2312" w:hAnsi="Times New Roman" w:eastAsia="仿宋_GB2312" w:cs="仿宋_GB2312"/>
          <w:sz w:val="32"/>
          <w:szCs w:val="32"/>
          <w:lang w:val="en-US" w:eastAsia="zh-CN" w:bidi="ar"/>
        </w:rPr>
        <w:t>完善通过赛事引流促消费举措</w:t>
      </w:r>
      <w:r>
        <w:rPr>
          <w:rFonts w:hint="eastAsia" w:ascii="仿宋_GB2312" w:hAnsi="Times New Roman" w:eastAsia="仿宋_GB2312" w:cs="仿宋_GB2312"/>
          <w:sz w:val="32"/>
          <w:szCs w:val="32"/>
          <w:lang w:bidi="ar"/>
        </w:rPr>
        <w:t>，研发设计赛事特许</w:t>
      </w:r>
      <w:r>
        <w:rPr>
          <w:rFonts w:hint="eastAsia" w:ascii="仿宋_GB2312" w:hAnsi="Times New Roman" w:eastAsia="仿宋_GB2312" w:cs="仿宋_GB2312"/>
          <w:sz w:val="32"/>
          <w:szCs w:val="32"/>
          <w:lang w:val="en-US" w:eastAsia="zh-CN" w:bidi="ar"/>
        </w:rPr>
        <w:t>商品</w:t>
      </w:r>
      <w:r>
        <w:rPr>
          <w:rFonts w:hint="eastAsia" w:ascii="仿宋_GB2312" w:hAnsi="Times New Roman" w:eastAsia="仿宋_GB2312" w:cs="仿宋_GB2312"/>
          <w:sz w:val="32"/>
          <w:szCs w:val="32"/>
          <w:lang w:bidi="ar"/>
        </w:rPr>
        <w:t>及联名周边商品，通过完赛积分兑换商业券、观赛人群定向优惠等方式引流，以赛事流量激发消费增量。</w:t>
      </w:r>
    </w:p>
    <w:p w14:paraId="5EBBAEB6">
      <w:pPr>
        <w:pStyle w:val="4"/>
        <w:spacing w:before="0" w:after="0" w:line="560" w:lineRule="exact"/>
        <w:ind w:firstLine="640" w:firstLineChars="200"/>
        <w:rPr>
          <w:rFonts w:hint="eastAsia" w:ascii="黑体" w:hAnsi="黑体" w:eastAsia="黑体"/>
          <w:color w:val="auto"/>
          <w:sz w:val="32"/>
          <w:szCs w:val="32"/>
        </w:rPr>
      </w:pPr>
      <w:bookmarkStart w:id="144" w:name="_Toc26083"/>
      <w:bookmarkStart w:id="145" w:name="_Toc2837"/>
      <w:bookmarkStart w:id="146" w:name="_Toc25500"/>
      <w:r>
        <w:rPr>
          <w:rFonts w:hint="eastAsia" w:ascii="黑体" w:hAnsi="黑体" w:eastAsia="黑体"/>
          <w:color w:val="auto"/>
          <w:sz w:val="32"/>
          <w:szCs w:val="32"/>
          <w:lang w:val="en-US" w:eastAsia="zh-CN"/>
        </w:rPr>
        <w:t>三、推动</w:t>
      </w:r>
      <w:r>
        <w:rPr>
          <w:rFonts w:hint="eastAsia" w:ascii="黑体" w:hAnsi="黑体" w:eastAsia="黑体"/>
          <w:color w:val="auto"/>
          <w:sz w:val="32"/>
          <w:szCs w:val="32"/>
        </w:rPr>
        <w:t>体育产业高质量发展</w:t>
      </w:r>
      <w:bookmarkEnd w:id="144"/>
      <w:bookmarkEnd w:id="145"/>
      <w:bookmarkEnd w:id="146"/>
    </w:p>
    <w:p w14:paraId="7FA544E9">
      <w:pPr>
        <w:spacing w:line="560" w:lineRule="exact"/>
        <w:ind w:firstLine="643" w:firstLineChars="200"/>
        <w:rPr>
          <w:rFonts w:hint="eastAsia" w:ascii="仿宋_GB2312" w:hAnsi="Times New Roman" w:eastAsia="仿宋_GB2312"/>
          <w:sz w:val="32"/>
          <w:szCs w:val="32"/>
          <w:lang w:val="en-US" w:eastAsia="zh-CN"/>
        </w:rPr>
      </w:pPr>
      <w:r>
        <w:rPr>
          <w:rFonts w:hint="eastAsia" w:ascii="仿宋_GB2312" w:hAnsi="Times New Roman" w:eastAsia="仿宋_GB2312"/>
          <w:b/>
          <w:bCs/>
          <w:sz w:val="32"/>
          <w:szCs w:val="32"/>
        </w:rPr>
        <w:t>构建“水</w:t>
      </w:r>
      <w:r>
        <w:rPr>
          <w:rFonts w:hint="eastAsia" w:ascii="仿宋_GB2312" w:hAnsi="Times New Roman" w:eastAsia="仿宋_GB2312"/>
          <w:b/>
          <w:bCs/>
          <w:sz w:val="32"/>
          <w:szCs w:val="32"/>
          <w:lang w:eastAsia="zh-CN"/>
        </w:rPr>
        <w:t>－</w:t>
      </w:r>
      <w:r>
        <w:rPr>
          <w:rFonts w:hint="eastAsia" w:ascii="仿宋_GB2312" w:hAnsi="Times New Roman" w:eastAsia="仿宋_GB2312"/>
          <w:b/>
          <w:bCs/>
          <w:sz w:val="32"/>
          <w:szCs w:val="32"/>
        </w:rPr>
        <w:t>陆</w:t>
      </w:r>
      <w:r>
        <w:rPr>
          <w:rFonts w:hint="eastAsia" w:ascii="仿宋_GB2312" w:hAnsi="Times New Roman" w:eastAsia="仿宋_GB2312"/>
          <w:b/>
          <w:bCs/>
          <w:sz w:val="32"/>
          <w:szCs w:val="32"/>
          <w:lang w:eastAsia="zh-CN"/>
        </w:rPr>
        <w:t>－</w:t>
      </w:r>
      <w:r>
        <w:rPr>
          <w:rFonts w:hint="eastAsia" w:ascii="仿宋_GB2312" w:hAnsi="Times New Roman" w:eastAsia="仿宋_GB2312"/>
          <w:b/>
          <w:bCs/>
          <w:sz w:val="32"/>
          <w:szCs w:val="32"/>
        </w:rPr>
        <w:t>空”三维体育休闲带。</w:t>
      </w:r>
      <w:r>
        <w:rPr>
          <w:rFonts w:hint="eastAsia" w:ascii="仿宋_GB2312" w:hAnsi="Times New Roman" w:eastAsia="仿宋_GB2312"/>
          <w:sz w:val="32"/>
          <w:szCs w:val="32"/>
        </w:rPr>
        <w:t>依托大运河文化带建设，构建水上运动活力走廊；依托大运河</w:t>
      </w:r>
      <w:r>
        <w:rPr>
          <w:rFonts w:hint="eastAsia" w:ascii="仿宋_GB2312" w:hAnsi="Times New Roman" w:eastAsia="仿宋_GB2312"/>
          <w:sz w:val="32"/>
          <w:szCs w:val="32"/>
          <w:lang w:val="en-US" w:eastAsia="zh-CN"/>
        </w:rPr>
        <w:t>文化旅游景区</w:t>
      </w:r>
      <w:r>
        <w:rPr>
          <w:rFonts w:hint="eastAsia" w:ascii="仿宋_GB2312" w:hAnsi="Times New Roman" w:eastAsia="仿宋_GB2312"/>
          <w:sz w:val="32"/>
          <w:szCs w:val="32"/>
        </w:rPr>
        <w:t>、体育场地设施、健身步道网络等，打造陆地体育旅游带；依托</w:t>
      </w:r>
      <w:r>
        <w:rPr>
          <w:rFonts w:hint="eastAsia" w:ascii="仿宋_GB2312" w:hAnsi="Times New Roman" w:eastAsia="仿宋_GB2312"/>
          <w:sz w:val="32"/>
          <w:szCs w:val="32"/>
          <w:lang w:val="en-US" w:eastAsia="zh-CN"/>
        </w:rPr>
        <w:t>副中心</w:t>
      </w:r>
      <w:r>
        <w:rPr>
          <w:rFonts w:hint="eastAsia" w:ascii="仿宋_GB2312" w:hAnsi="Times New Roman" w:eastAsia="仿宋_GB2312"/>
          <w:sz w:val="32"/>
          <w:szCs w:val="32"/>
        </w:rPr>
        <w:t>六环高线公园，打造融合城市体育与智慧生活的特色公园，</w:t>
      </w:r>
      <w:r>
        <w:rPr>
          <w:rFonts w:hint="eastAsia" w:ascii="仿宋_GB2312" w:hAnsi="Times New Roman" w:eastAsia="仿宋_GB2312"/>
          <w:sz w:val="32"/>
          <w:szCs w:val="32"/>
          <w:lang w:val="en-US" w:eastAsia="zh-CN"/>
        </w:rPr>
        <w:t>实现漫步道、跑步道、骑行道、无人驾驶游览车道“四道闭环贯通”，打造空中运动生态廊道。</w:t>
      </w:r>
    </w:p>
    <w:p w14:paraId="6D2FCE23">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Times New Roman" w:eastAsia="仿宋_GB2312" w:cs="仿宋_GB2312"/>
          <w:sz w:val="32"/>
          <w:szCs w:val="32"/>
          <w:lang w:bidi="ar"/>
        </w:rPr>
      </w:pPr>
      <w:r>
        <w:rPr>
          <w:rFonts w:hint="eastAsia" w:ascii="仿宋_GB2312" w:hAnsi="Times New Roman" w:eastAsia="仿宋_GB2312" w:cs="仿宋_GB2312"/>
          <w:b/>
          <w:bCs/>
          <w:sz w:val="32"/>
          <w:szCs w:val="32"/>
          <w:lang w:bidi="ar"/>
        </w:rPr>
        <w:t>深化</w:t>
      </w:r>
      <w:r>
        <w:rPr>
          <w:rFonts w:hint="eastAsia" w:ascii="仿宋_GB2312" w:hAnsi="Times New Roman" w:eastAsia="仿宋_GB2312" w:cs="仿宋_GB2312"/>
          <w:b/>
          <w:bCs/>
          <w:sz w:val="32"/>
          <w:szCs w:val="32"/>
          <w:lang w:val="en-US" w:eastAsia="zh-CN" w:bidi="ar"/>
        </w:rPr>
        <w:t>电竞与</w:t>
      </w:r>
      <w:r>
        <w:rPr>
          <w:rFonts w:hint="eastAsia" w:ascii="仿宋_GB2312" w:hAnsi="Times New Roman" w:eastAsia="仿宋_GB2312" w:cs="仿宋_GB2312"/>
          <w:b/>
          <w:bCs/>
          <w:sz w:val="32"/>
          <w:szCs w:val="32"/>
          <w:lang w:bidi="ar"/>
        </w:rPr>
        <w:t>文旅融合。</w:t>
      </w:r>
      <w:r>
        <w:rPr>
          <w:rFonts w:hint="eastAsia" w:ascii="仿宋_GB2312" w:hAnsi="Times New Roman" w:eastAsia="仿宋_GB2312" w:cs="仿宋_GB2312"/>
          <w:sz w:val="32"/>
          <w:szCs w:val="32"/>
          <w:lang w:bidi="ar"/>
        </w:rPr>
        <w:t>支持新建（改建）符合国际标准</w:t>
      </w:r>
      <w:r>
        <w:rPr>
          <w:rFonts w:hint="eastAsia" w:ascii="仿宋_GB2312" w:hAnsi="Times New Roman" w:eastAsia="仿宋_GB2312" w:cs="仿宋_GB2312"/>
          <w:sz w:val="32"/>
          <w:szCs w:val="32"/>
          <w:lang w:val="en-US" w:eastAsia="zh-CN" w:bidi="ar"/>
        </w:rPr>
        <w:t>的</w:t>
      </w:r>
      <w:r>
        <w:rPr>
          <w:rFonts w:hint="eastAsia" w:ascii="仿宋_GB2312" w:hAnsi="Times New Roman" w:eastAsia="仿宋_GB2312" w:cs="仿宋_GB2312"/>
          <w:sz w:val="32"/>
          <w:szCs w:val="32"/>
          <w:lang w:bidi="ar"/>
        </w:rPr>
        <w:t>职业电竞赛事专业场馆。支持企业与专业机构合作，引入国际顶级赛事，培育通州特色自主品牌赛事，争取国际、全国性职业赛事永久落户</w:t>
      </w:r>
      <w:r>
        <w:rPr>
          <w:rFonts w:hint="eastAsia" w:ascii="仿宋_GB2312" w:hAnsi="Times New Roman" w:eastAsia="仿宋_GB2312" w:cs="仿宋_GB2312"/>
          <w:sz w:val="32"/>
          <w:szCs w:val="32"/>
          <w:lang w:val="en-US" w:eastAsia="zh-CN" w:bidi="ar"/>
        </w:rPr>
        <w:t>通州</w:t>
      </w:r>
      <w:r>
        <w:rPr>
          <w:rFonts w:hint="eastAsia" w:ascii="仿宋_GB2312" w:hAnsi="Times New Roman" w:eastAsia="仿宋_GB2312" w:cs="仿宋_GB2312"/>
          <w:sz w:val="32"/>
          <w:szCs w:val="32"/>
          <w:lang w:bidi="ar"/>
        </w:rPr>
        <w:t>。推动赛事与北京环球度假区、运河景区等文旅资源联动，打造观赛</w:t>
      </w:r>
      <w:r>
        <w:rPr>
          <w:rFonts w:hint="eastAsia" w:ascii="仿宋_GB2312" w:hAnsi="Times New Roman" w:eastAsia="仿宋_GB2312" w:cs="仿宋_GB2312"/>
          <w:sz w:val="32"/>
          <w:szCs w:val="32"/>
          <w:lang w:eastAsia="zh-CN" w:bidi="ar"/>
        </w:rPr>
        <w:t>、</w:t>
      </w:r>
      <w:r>
        <w:rPr>
          <w:rFonts w:hint="eastAsia" w:ascii="仿宋_GB2312" w:hAnsi="Times New Roman" w:eastAsia="仿宋_GB2312" w:cs="仿宋_GB2312"/>
          <w:sz w:val="32"/>
          <w:szCs w:val="32"/>
          <w:lang w:bidi="ar"/>
        </w:rPr>
        <w:t>游览</w:t>
      </w:r>
      <w:r>
        <w:rPr>
          <w:rFonts w:hint="eastAsia" w:ascii="仿宋_GB2312" w:hAnsi="Times New Roman" w:eastAsia="仿宋_GB2312" w:cs="仿宋_GB2312"/>
          <w:sz w:val="32"/>
          <w:szCs w:val="32"/>
          <w:lang w:eastAsia="zh-CN" w:bidi="ar"/>
        </w:rPr>
        <w:t>、</w:t>
      </w:r>
      <w:r>
        <w:rPr>
          <w:rFonts w:hint="eastAsia" w:ascii="仿宋_GB2312" w:hAnsi="Times New Roman" w:eastAsia="仿宋_GB2312" w:cs="仿宋_GB2312"/>
          <w:sz w:val="32"/>
          <w:szCs w:val="32"/>
          <w:lang w:bidi="ar"/>
        </w:rPr>
        <w:t>消费一体化发展模式，通过消费联动优化提升赛事影响力与消费转化率。</w:t>
      </w:r>
    </w:p>
    <w:p w14:paraId="4E822E26">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ascii="仿宋_GB2312" w:hAnsi="Times New Roman" w:eastAsia="仿宋_GB2312"/>
          <w:sz w:val="32"/>
          <w:szCs w:val="32"/>
          <w:lang w:eastAsia="zh-CN"/>
        </w:rPr>
      </w:pPr>
      <w:r>
        <w:rPr>
          <w:rFonts w:hint="eastAsia" w:ascii="仿宋_GB2312" w:hAnsi="Times New Roman" w:eastAsia="仿宋_GB2312"/>
          <w:b/>
          <w:bCs/>
          <w:sz w:val="32"/>
          <w:szCs w:val="32"/>
        </w:rPr>
        <w:t>打造高品质水上运动目的地。</w:t>
      </w:r>
      <w:r>
        <w:rPr>
          <w:rFonts w:hint="eastAsia" w:ascii="仿宋_GB2312" w:hAnsi="Times New Roman" w:eastAsia="仿宋_GB2312"/>
          <w:b w:val="0"/>
          <w:bCs w:val="0"/>
          <w:sz w:val="32"/>
          <w:szCs w:val="32"/>
          <w:lang w:eastAsia="zh-CN"/>
        </w:rPr>
        <w:t>按照“一河一策”</w:t>
      </w:r>
      <w:r>
        <w:rPr>
          <w:rFonts w:hint="eastAsia" w:ascii="仿宋_GB2312" w:hAnsi="Times New Roman" w:eastAsia="仿宋_GB2312"/>
          <w:b w:val="0"/>
          <w:bCs w:val="0"/>
          <w:sz w:val="32"/>
          <w:szCs w:val="32"/>
          <w:lang w:val="en-US" w:eastAsia="zh-CN"/>
        </w:rPr>
        <w:t>思路，针对北运河、潮白河、温榆河、凉水河、通惠河等河流，分类别、有针对性地开展水上活动。拓展“运河+”融合赛事，依托运河两岸绿道网络、城市绿心森林公园、大运河森林公园等生态资源，开展“运河骑游”“运河夜跑”“运河马拉松”“运河铁人三项”等系列赛事，构建“水岸联动、文体交融”的特色滨水赛事格局。强化运河水上运动配套设施，统筹建设水上运动专用码头和配套驿站，完善运河沿岸水上运动设施网络，提升水上运动承载能力和服务水平</w:t>
      </w:r>
      <w:r>
        <w:rPr>
          <w:rFonts w:hint="eastAsia" w:ascii="仿宋_GB2312" w:hAnsi="Times New Roman" w:eastAsia="仿宋_GB2312"/>
          <w:sz w:val="32"/>
          <w:szCs w:val="32"/>
          <w:lang w:eastAsia="zh-CN"/>
        </w:rPr>
        <w:t>。</w:t>
      </w:r>
    </w:p>
    <w:p w14:paraId="03DA2970">
      <w:pPr>
        <w:keepNext w:val="0"/>
        <w:keepLines w:val="0"/>
        <w:pageBreakBefore w:val="0"/>
        <w:widowControl w:val="0"/>
        <w:kinsoku/>
        <w:wordWrap/>
        <w:overflowPunct/>
        <w:topLinePunct w:val="0"/>
        <w:autoSpaceDE/>
        <w:autoSpaceDN/>
        <w:bidi w:val="0"/>
        <w:adjustRightInd/>
        <w:snapToGrid/>
        <w:spacing w:line="560" w:lineRule="exact"/>
        <w:ind w:firstLine="643" w:firstLineChars="200"/>
        <w:textAlignment w:val="auto"/>
        <w:rPr>
          <w:rFonts w:hint="eastAsia" w:ascii="仿宋_GB2312" w:hAnsi="Times New Roman" w:eastAsia="仿宋_GB2312"/>
          <w:sz w:val="32"/>
          <w:szCs w:val="32"/>
        </w:rPr>
      </w:pPr>
      <w:r>
        <w:rPr>
          <w:rFonts w:hint="eastAsia" w:ascii="仿宋_GB2312" w:hAnsi="Times New Roman" w:eastAsia="仿宋_GB2312"/>
          <w:b/>
          <w:bCs/>
          <w:sz w:val="32"/>
          <w:szCs w:val="32"/>
        </w:rPr>
        <w:t>建设一批高质量体育设施。</w:t>
      </w:r>
      <w:r>
        <w:rPr>
          <w:rFonts w:hint="eastAsia" w:ascii="仿宋_GB2312" w:hAnsi="Times New Roman" w:eastAsia="仿宋_GB2312"/>
          <w:sz w:val="32"/>
          <w:szCs w:val="32"/>
        </w:rPr>
        <w:t>重点推进星耀中心、绿心体育综合体、中国人民大学水上运动中心</w:t>
      </w:r>
      <w:r>
        <w:rPr>
          <w:rFonts w:hint="eastAsia" w:ascii="仿宋_GB2312" w:hAnsi="Times New Roman" w:eastAsia="仿宋_GB2312"/>
          <w:sz w:val="32"/>
          <w:szCs w:val="32"/>
          <w:lang w:val="en-US" w:eastAsia="zh-CN"/>
        </w:rPr>
        <w:t>等体育场馆设施建设</w:t>
      </w:r>
      <w:r>
        <w:rPr>
          <w:rFonts w:hint="eastAsia" w:ascii="仿宋_GB2312" w:hAnsi="Times New Roman" w:eastAsia="仿宋_GB2312"/>
          <w:sz w:val="32"/>
          <w:szCs w:val="32"/>
        </w:rPr>
        <w:t>，全面满足高规格国际赛事与演艺活动承办需求。升级改造通州体育场、奥体公园体育场等区级体育场馆，加快现有户外运动场地及老旧体育设施数字化提档、功能迭代与智慧化更新。</w:t>
      </w:r>
    </w:p>
    <w:p w14:paraId="7C27727D">
      <w:pPr>
        <w:pStyle w:val="2"/>
        <w:keepNext w:val="0"/>
        <w:keepLines w:val="0"/>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rPr>
          <w:rFonts w:hint="eastAsia"/>
        </w:rPr>
      </w:pPr>
      <w:r>
        <w:rPr>
          <w:rFonts w:hint="eastAsia" w:ascii="仿宋_GB2312" w:hAnsi="Times New Roman" w:eastAsia="仿宋_GB2312"/>
          <w:b/>
          <w:bCs/>
          <w:sz w:val="32"/>
          <w:szCs w:val="32"/>
        </w:rPr>
        <w:t>培育壮大体育产业市场主体。</w:t>
      </w:r>
      <w:r>
        <w:rPr>
          <w:rFonts w:hint="eastAsia" w:ascii="仿宋_GB2312" w:hAnsi="Times New Roman" w:eastAsia="仿宋_GB2312" w:cstheme="minorBidi"/>
          <w:kern w:val="2"/>
          <w:sz w:val="32"/>
          <w:szCs w:val="32"/>
          <w:lang w:val="en-US" w:eastAsia="zh-CN" w:bidi="ar-SA"/>
        </w:rPr>
        <w:t>做强北京北投体育国有平台，统筹重大场馆运营与赛事资源整合；</w:t>
      </w:r>
      <w:r>
        <w:rPr>
          <w:rFonts w:hint="eastAsia" w:ascii="仿宋_GB2312" w:hAnsi="Times New Roman" w:eastAsia="仿宋_GB2312"/>
          <w:sz w:val="32"/>
          <w:szCs w:val="32"/>
          <w:lang w:val="en-US" w:eastAsia="zh-CN"/>
        </w:rPr>
        <w:t>重点</w:t>
      </w:r>
      <w:r>
        <w:rPr>
          <w:rFonts w:hint="eastAsia" w:ascii="仿宋_GB2312" w:hAnsi="Times New Roman" w:eastAsia="仿宋_GB2312" w:cstheme="minorBidi"/>
          <w:kern w:val="2"/>
          <w:sz w:val="32"/>
          <w:szCs w:val="32"/>
          <w:lang w:val="en-US" w:eastAsia="zh-CN" w:bidi="ar-SA"/>
        </w:rPr>
        <w:t>扶持赛事运营、体教融合、电竞与潮流体育融合类企业。</w:t>
      </w:r>
      <w:r>
        <w:rPr>
          <w:rFonts w:hint="eastAsia" w:ascii="仿宋_GB2312" w:hAnsi="Times New Roman" w:eastAsia="仿宋_GB2312"/>
          <w:sz w:val="32"/>
          <w:szCs w:val="32"/>
        </w:rPr>
        <w:t>推动体育用品装备制造业高端化</w:t>
      </w:r>
      <w:r>
        <w:rPr>
          <w:rFonts w:hint="eastAsia" w:ascii="仿宋_GB2312" w:hAnsi="Times New Roman" w:eastAsia="仿宋_GB2312"/>
          <w:sz w:val="32"/>
          <w:szCs w:val="32"/>
          <w:lang w:eastAsia="zh-CN"/>
        </w:rPr>
        <w:t>、</w:t>
      </w:r>
      <w:r>
        <w:rPr>
          <w:rFonts w:hint="eastAsia" w:ascii="仿宋_GB2312" w:hAnsi="Times New Roman" w:eastAsia="仿宋_GB2312"/>
          <w:sz w:val="32"/>
          <w:szCs w:val="32"/>
          <w:lang w:val="en-US" w:eastAsia="zh-CN"/>
        </w:rPr>
        <w:t>数字化</w:t>
      </w:r>
      <w:r>
        <w:rPr>
          <w:rFonts w:hint="eastAsia" w:ascii="仿宋_GB2312" w:hAnsi="Times New Roman" w:eastAsia="仿宋_GB2312"/>
          <w:sz w:val="32"/>
          <w:szCs w:val="32"/>
        </w:rPr>
        <w:t>发展。加大头部企业招引力度，积极引进铁人三项等专业机构落地，打造具有影响力的体育赛事IP</w:t>
      </w:r>
      <w:r>
        <w:rPr>
          <w:rFonts w:hint="eastAsia" w:ascii="仿宋_GB2312" w:hAnsi="Times New Roman" w:eastAsia="仿宋_GB2312"/>
          <w:sz w:val="32"/>
          <w:szCs w:val="32"/>
          <w:lang w:val="en-US" w:eastAsia="zh-CN"/>
        </w:rPr>
        <w:t>和产业生态圈</w:t>
      </w:r>
      <w:r>
        <w:rPr>
          <w:rFonts w:hint="eastAsia" w:ascii="仿宋_GB2312" w:hAnsi="Times New Roman" w:eastAsia="仿宋_GB2312"/>
          <w:sz w:val="32"/>
          <w:szCs w:val="32"/>
        </w:rPr>
        <w:t>。</w:t>
      </w:r>
      <w:r>
        <w:rPr>
          <w:rFonts w:hint="eastAsia" w:ascii="仿宋_GB2312" w:hAnsi="Times New Roman" w:eastAsia="仿宋_GB2312"/>
          <w:sz w:val="32"/>
          <w:szCs w:val="32"/>
          <w:lang w:val="en-US" w:eastAsia="zh-CN"/>
        </w:rPr>
        <w:t>持续推进公共体育场馆市场化运营、复合型经营，培育一批专业化体育场馆运营主体和服务品牌</w:t>
      </w:r>
      <w:r>
        <w:rPr>
          <w:rFonts w:hint="eastAsia" w:ascii="仿宋_GB2312" w:hAnsi="Times New Roman" w:eastAsia="仿宋_GB2312"/>
          <w:sz w:val="32"/>
          <w:szCs w:val="32"/>
        </w:rPr>
        <w:t>。</w:t>
      </w:r>
    </w:p>
    <w:p w14:paraId="1062C296">
      <w:pPr>
        <w:spacing w:line="560" w:lineRule="exact"/>
        <w:jc w:val="center"/>
        <w:rPr>
          <w:rFonts w:ascii="仿宋_GB2312" w:hAnsi="Times New Roman" w:eastAsia="仿宋_GB2312"/>
          <w:b/>
          <w:bCs/>
          <w:sz w:val="28"/>
          <w:szCs w:val="28"/>
        </w:rPr>
      </w:pPr>
      <w:r>
        <w:rPr>
          <w:rFonts w:hint="eastAsia" w:ascii="仿宋_GB2312" w:hAnsi="Times New Roman" w:eastAsia="仿宋_GB2312"/>
          <w:b/>
          <w:bCs/>
          <w:sz w:val="28"/>
          <w:szCs w:val="28"/>
        </w:rPr>
        <w:t xml:space="preserve">表6-1 </w:t>
      </w:r>
      <w:r>
        <w:rPr>
          <w:rFonts w:hint="eastAsia" w:ascii="仿宋_GB2312" w:hAnsi="Times New Roman" w:eastAsia="仿宋_GB2312"/>
          <w:b/>
          <w:bCs/>
          <w:sz w:val="28"/>
          <w:szCs w:val="28"/>
          <w:lang w:val="en-US" w:eastAsia="zh-CN"/>
        </w:rPr>
        <w:t>体育场馆设施</w:t>
      </w:r>
      <w:r>
        <w:rPr>
          <w:rFonts w:hint="eastAsia" w:ascii="仿宋_GB2312" w:hAnsi="Times New Roman" w:eastAsia="仿宋_GB2312"/>
          <w:b/>
          <w:bCs/>
          <w:sz w:val="28"/>
          <w:szCs w:val="28"/>
        </w:rPr>
        <w:t>重点项目</w:t>
      </w:r>
    </w:p>
    <w:tbl>
      <w:tblPr>
        <w:tblStyle w:val="11"/>
        <w:tblW w:w="8680" w:type="dxa"/>
        <w:tblInd w:w="0" w:type="dxa"/>
        <w:tblLayout w:type="autofit"/>
        <w:tblCellMar>
          <w:top w:w="0" w:type="dxa"/>
          <w:left w:w="108" w:type="dxa"/>
          <w:bottom w:w="0" w:type="dxa"/>
          <w:right w:w="108" w:type="dxa"/>
        </w:tblCellMar>
      </w:tblPr>
      <w:tblGrid>
        <w:gridCol w:w="2540"/>
        <w:gridCol w:w="6140"/>
      </w:tblGrid>
      <w:tr w14:paraId="5B736493">
        <w:tblPrEx>
          <w:tblCellMar>
            <w:top w:w="0" w:type="dxa"/>
            <w:left w:w="108" w:type="dxa"/>
            <w:bottom w:w="0" w:type="dxa"/>
            <w:right w:w="108" w:type="dxa"/>
          </w:tblCellMar>
        </w:tblPrEx>
        <w:trPr>
          <w:trHeight w:val="405" w:hRule="atLeast"/>
        </w:trPr>
        <w:tc>
          <w:tcPr>
            <w:tcW w:w="2540" w:type="dxa"/>
            <w:tcBorders>
              <w:top w:val="single" w:color="auto" w:sz="4" w:space="0"/>
              <w:left w:val="single" w:color="auto" w:sz="4" w:space="0"/>
              <w:bottom w:val="single" w:color="auto" w:sz="4" w:space="0"/>
              <w:right w:val="single" w:color="auto" w:sz="4" w:space="0"/>
            </w:tcBorders>
            <w:noWrap/>
            <w:vAlign w:val="center"/>
          </w:tcPr>
          <w:p w14:paraId="2D21733F">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项目名称</w:t>
            </w:r>
          </w:p>
        </w:tc>
        <w:tc>
          <w:tcPr>
            <w:tcW w:w="6140" w:type="dxa"/>
            <w:tcBorders>
              <w:top w:val="single" w:color="auto" w:sz="4" w:space="0"/>
              <w:left w:val="nil"/>
              <w:bottom w:val="single" w:color="auto" w:sz="4" w:space="0"/>
              <w:right w:val="single" w:color="auto" w:sz="4" w:space="0"/>
            </w:tcBorders>
            <w:noWrap/>
            <w:vAlign w:val="center"/>
          </w:tcPr>
          <w:p w14:paraId="0324FC4E">
            <w:pPr>
              <w:widowControl/>
              <w:snapToGrid w:val="0"/>
              <w:jc w:val="center"/>
              <w:rPr>
                <w:rFonts w:hint="eastAsia" w:ascii="仿宋_GB2312" w:hAnsi="等线" w:eastAsia="仿宋_GB2312" w:cs="宋体"/>
                <w:b/>
                <w:bCs/>
                <w:kern w:val="0"/>
                <w:sz w:val="28"/>
                <w:szCs w:val="28"/>
              </w:rPr>
            </w:pPr>
            <w:r>
              <w:rPr>
                <w:rFonts w:hint="eastAsia" w:ascii="仿宋_GB2312" w:hAnsi="等线" w:eastAsia="仿宋_GB2312" w:cs="宋体"/>
                <w:b/>
                <w:bCs/>
                <w:kern w:val="0"/>
                <w:sz w:val="28"/>
                <w:szCs w:val="28"/>
              </w:rPr>
              <w:t>项目内容</w:t>
            </w:r>
          </w:p>
        </w:tc>
      </w:tr>
      <w:tr w14:paraId="653E40AA">
        <w:tblPrEx>
          <w:tblCellMar>
            <w:top w:w="0" w:type="dxa"/>
            <w:left w:w="108" w:type="dxa"/>
            <w:bottom w:w="0" w:type="dxa"/>
            <w:right w:w="108" w:type="dxa"/>
          </w:tblCellMar>
        </w:tblPrEx>
        <w:trPr>
          <w:trHeight w:val="1410" w:hRule="atLeast"/>
        </w:trPr>
        <w:tc>
          <w:tcPr>
            <w:tcW w:w="2540" w:type="dxa"/>
            <w:tcBorders>
              <w:top w:val="nil"/>
              <w:left w:val="single" w:color="auto" w:sz="4" w:space="0"/>
              <w:bottom w:val="single" w:color="auto" w:sz="4" w:space="0"/>
              <w:right w:val="single" w:color="auto" w:sz="4" w:space="0"/>
            </w:tcBorders>
            <w:noWrap/>
            <w:vAlign w:val="center"/>
          </w:tcPr>
          <w:p w14:paraId="02383E18">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rPr>
              <w:t>星耀中心</w:t>
            </w:r>
          </w:p>
        </w:tc>
        <w:tc>
          <w:tcPr>
            <w:tcW w:w="6140" w:type="dxa"/>
            <w:tcBorders>
              <w:top w:val="nil"/>
              <w:left w:val="nil"/>
              <w:bottom w:val="single" w:color="auto" w:sz="4" w:space="0"/>
              <w:right w:val="single" w:color="auto" w:sz="4" w:space="0"/>
            </w:tcBorders>
            <w:vAlign w:val="center"/>
          </w:tcPr>
          <w:p w14:paraId="28B7BD33">
            <w:pPr>
              <w:widowControl/>
              <w:snapToGrid w:val="0"/>
              <w:rPr>
                <w:rFonts w:hint="eastAsia" w:ascii="仿宋_GB2312" w:hAnsi="等线" w:eastAsia="仿宋_GB2312" w:cs="宋体"/>
                <w:kern w:val="0"/>
                <w:sz w:val="28"/>
                <w:szCs w:val="28"/>
              </w:rPr>
            </w:pPr>
            <w:r>
              <w:rPr>
                <w:rFonts w:hint="eastAsia" w:ascii="仿宋_GB2312" w:hAnsi="等线" w:eastAsia="仿宋_GB2312" w:cs="宋体"/>
                <w:kern w:val="0"/>
                <w:sz w:val="28"/>
                <w:szCs w:val="28"/>
              </w:rPr>
              <w:t>位于</w:t>
            </w:r>
            <w:r>
              <w:rPr>
                <w:rFonts w:hint="eastAsia" w:ascii="仿宋_GB2312" w:hAnsi="等线" w:eastAsia="仿宋_GB2312" w:cs="宋体"/>
                <w:kern w:val="0"/>
                <w:sz w:val="28"/>
                <w:szCs w:val="28"/>
                <w:lang w:val="en-US" w:eastAsia="zh-CN"/>
              </w:rPr>
              <w:t>北京</w:t>
            </w:r>
            <w:r>
              <w:rPr>
                <w:rFonts w:hint="eastAsia" w:ascii="仿宋_GB2312" w:hAnsi="等线" w:eastAsia="仿宋_GB2312" w:cs="宋体"/>
                <w:kern w:val="0"/>
                <w:sz w:val="28"/>
                <w:szCs w:val="28"/>
              </w:rPr>
              <w:t>城市副中心1201街区，以万人体育馆为主体，建设体育配套设施用房、广场、停车场等附属设施，满足单项国际级别赛事要求，同时兼顾未来承办更高级别国际赛事及演出演艺活动。</w:t>
            </w:r>
          </w:p>
        </w:tc>
      </w:tr>
      <w:tr w14:paraId="096505DD">
        <w:tblPrEx>
          <w:tblCellMar>
            <w:top w:w="0" w:type="dxa"/>
            <w:left w:w="108" w:type="dxa"/>
            <w:bottom w:w="0" w:type="dxa"/>
            <w:right w:w="108" w:type="dxa"/>
          </w:tblCellMar>
        </w:tblPrEx>
        <w:trPr>
          <w:trHeight w:val="1058" w:hRule="atLeast"/>
        </w:trPr>
        <w:tc>
          <w:tcPr>
            <w:tcW w:w="2540" w:type="dxa"/>
            <w:tcBorders>
              <w:top w:val="nil"/>
              <w:left w:val="single" w:color="auto" w:sz="4" w:space="0"/>
              <w:bottom w:val="single" w:color="auto" w:sz="4" w:space="0"/>
              <w:right w:val="single" w:color="auto" w:sz="4" w:space="0"/>
            </w:tcBorders>
            <w:vAlign w:val="center"/>
          </w:tcPr>
          <w:p w14:paraId="7B4B3CBC">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lang w:val="en-US" w:eastAsia="zh-CN"/>
              </w:rPr>
              <w:t>中国人民大学水上运动中心</w:t>
            </w:r>
          </w:p>
        </w:tc>
        <w:tc>
          <w:tcPr>
            <w:tcW w:w="6140" w:type="dxa"/>
            <w:tcBorders>
              <w:top w:val="nil"/>
              <w:left w:val="nil"/>
              <w:bottom w:val="single" w:color="auto" w:sz="4" w:space="0"/>
              <w:right w:val="single" w:color="auto" w:sz="4" w:space="0"/>
            </w:tcBorders>
            <w:vAlign w:val="center"/>
          </w:tcPr>
          <w:p w14:paraId="5A552853">
            <w:pPr>
              <w:widowControl/>
              <w:snapToGrid w:val="0"/>
              <w:jc w:val="center"/>
              <w:rPr>
                <w:rFonts w:hint="eastAsia" w:ascii="仿宋_GB2312" w:hAnsi="等线" w:eastAsia="仿宋_GB2312" w:cs="宋体"/>
                <w:kern w:val="0"/>
                <w:sz w:val="28"/>
                <w:szCs w:val="28"/>
              </w:rPr>
            </w:pPr>
            <w:r>
              <w:rPr>
                <w:rFonts w:hint="eastAsia" w:ascii="仿宋_GB2312" w:hAnsi="等线" w:eastAsia="仿宋_GB2312" w:cs="宋体"/>
                <w:kern w:val="0"/>
                <w:sz w:val="28"/>
                <w:szCs w:val="28"/>
                <w:lang w:val="en-US" w:eastAsia="zh-CN"/>
              </w:rPr>
              <w:t>利用中国人民大学通州校区北侧规划公共体育用地，建设水上运动中心，总用地面积3.13公顷，总建筑规模34562平方米，建设内容包括水上运动训练中心和健身中心两部分。</w:t>
            </w:r>
          </w:p>
        </w:tc>
      </w:tr>
      <w:bookmarkEnd w:id="137"/>
    </w:tbl>
    <w:p w14:paraId="636C9470">
      <w:pPr>
        <w:rPr>
          <w:b/>
          <w:bCs/>
          <w:sz w:val="28"/>
          <w:szCs w:val="32"/>
        </w:rPr>
      </w:pPr>
      <w:r>
        <w:rPr>
          <w:rFonts w:hint="eastAsia"/>
          <w:b/>
          <w:bCs/>
          <w:sz w:val="28"/>
          <w:szCs w:val="32"/>
        </w:rPr>
        <w:br w:type="page"/>
      </w:r>
    </w:p>
    <w:p w14:paraId="4F4DE2A0">
      <w:pPr>
        <w:pStyle w:val="3"/>
        <w:widowControl/>
        <w:spacing w:before="156" w:beforeLines="50" w:after="156" w:afterLines="50" w:line="560" w:lineRule="exact"/>
        <w:jc w:val="center"/>
        <w:rPr>
          <w:rFonts w:hint="eastAsia" w:ascii="黑体" w:hAnsi="黑体" w:eastAsia="黑体"/>
          <w:b/>
          <w:bCs/>
          <w:color w:val="auto"/>
          <w:sz w:val="32"/>
          <w:szCs w:val="32"/>
        </w:rPr>
      </w:pPr>
      <w:bookmarkStart w:id="147" w:name="_Toc24711"/>
      <w:bookmarkStart w:id="148" w:name="_Toc746"/>
      <w:r>
        <w:rPr>
          <w:rFonts w:hint="eastAsia" w:ascii="黑体" w:hAnsi="黑体" w:eastAsia="黑体"/>
          <w:b/>
          <w:bCs/>
          <w:color w:val="auto"/>
          <w:sz w:val="32"/>
          <w:szCs w:val="32"/>
        </w:rPr>
        <w:t>第七章 深化业态融合，推进文旅</w:t>
      </w:r>
      <w:r>
        <w:rPr>
          <w:rFonts w:hint="eastAsia" w:ascii="黑体" w:hAnsi="黑体" w:eastAsia="黑体"/>
          <w:b/>
          <w:bCs/>
          <w:color w:val="auto"/>
          <w:sz w:val="32"/>
          <w:szCs w:val="32"/>
          <w:lang w:val="en-US" w:eastAsia="zh-CN"/>
        </w:rPr>
        <w:t>+</w:t>
      </w:r>
      <w:r>
        <w:rPr>
          <w:rFonts w:hint="eastAsia" w:ascii="黑体" w:hAnsi="黑体" w:eastAsia="黑体"/>
          <w:b/>
          <w:bCs/>
          <w:color w:val="auto"/>
          <w:sz w:val="32"/>
          <w:szCs w:val="32"/>
        </w:rPr>
        <w:t>百业协同发展</w:t>
      </w:r>
      <w:bookmarkEnd w:id="147"/>
      <w:bookmarkEnd w:id="148"/>
    </w:p>
    <w:p w14:paraId="47E7B690">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深化“文旅+百业”“百业+文旅”双向赋能，着力推动资源要素跨界配置，促进文旅与会展、农业、工业、研学、生态、康养等多元业态深度融合，构建多业态协同发展格局，全面激发区域消费潜能。</w:t>
      </w:r>
    </w:p>
    <w:p w14:paraId="73D3C060">
      <w:pPr>
        <w:pStyle w:val="4"/>
        <w:spacing w:before="0" w:after="0" w:line="560" w:lineRule="exact"/>
        <w:ind w:firstLine="640" w:firstLineChars="200"/>
        <w:rPr>
          <w:rFonts w:hint="eastAsia" w:ascii="黑体" w:hAnsi="黑体" w:eastAsia="黑体"/>
          <w:color w:val="auto"/>
          <w:sz w:val="32"/>
          <w:szCs w:val="32"/>
        </w:rPr>
      </w:pPr>
      <w:bookmarkStart w:id="149" w:name="_Toc29825"/>
      <w:bookmarkStart w:id="150" w:name="_Toc2223"/>
      <w:r>
        <w:rPr>
          <w:rFonts w:hint="eastAsia" w:ascii="黑体" w:hAnsi="黑体" w:eastAsia="黑体"/>
          <w:color w:val="auto"/>
          <w:sz w:val="32"/>
          <w:szCs w:val="32"/>
        </w:rPr>
        <w:t>一、文旅</w:t>
      </w:r>
      <w:r>
        <w:rPr>
          <w:rFonts w:ascii="黑体" w:hAnsi="黑体" w:eastAsia="黑体"/>
          <w:color w:val="auto"/>
          <w:sz w:val="32"/>
          <w:szCs w:val="32"/>
        </w:rPr>
        <w:t>+</w:t>
      </w:r>
      <w:r>
        <w:rPr>
          <w:rFonts w:hint="eastAsia" w:ascii="黑体" w:hAnsi="黑体" w:eastAsia="黑体"/>
          <w:color w:val="auto"/>
          <w:sz w:val="32"/>
          <w:szCs w:val="32"/>
        </w:rPr>
        <w:t>会展融合发展</w:t>
      </w:r>
      <w:bookmarkEnd w:id="149"/>
      <w:bookmarkEnd w:id="150"/>
    </w:p>
    <w:p w14:paraId="1E706EDB">
      <w:pPr>
        <w:spacing w:line="560" w:lineRule="exact"/>
        <w:ind w:firstLine="643" w:firstLineChars="200"/>
        <w:rPr>
          <w:rFonts w:hint="eastAsia" w:ascii="仿宋_GB2312" w:hAnsi="等线" w:eastAsia="仿宋_GB2312" w:cs="Times New Roman"/>
          <w:bCs/>
          <w:strike/>
          <w:sz w:val="32"/>
          <w:szCs w:val="32"/>
        </w:rPr>
      </w:pPr>
      <w:r>
        <w:rPr>
          <w:rFonts w:hint="eastAsia" w:ascii="仿宋_GB2312" w:hAnsi="等线" w:eastAsia="仿宋_GB2312" w:cs="Times New Roman"/>
          <w:b/>
          <w:sz w:val="32"/>
          <w:szCs w:val="32"/>
          <w:lang w:val="en-US" w:eastAsia="zh-CN"/>
        </w:rPr>
        <w:t>完善</w:t>
      </w:r>
      <w:r>
        <w:rPr>
          <w:rFonts w:hint="eastAsia" w:ascii="仿宋_GB2312" w:hAnsi="等线" w:eastAsia="仿宋_GB2312" w:cs="Times New Roman"/>
          <w:b/>
          <w:sz w:val="32"/>
          <w:szCs w:val="32"/>
        </w:rPr>
        <w:t>会展</w:t>
      </w:r>
      <w:r>
        <w:rPr>
          <w:rFonts w:hint="eastAsia" w:ascii="仿宋_GB2312" w:hAnsi="等线" w:eastAsia="仿宋_GB2312" w:cs="Times New Roman"/>
          <w:b/>
          <w:sz w:val="32"/>
          <w:szCs w:val="32"/>
          <w:lang w:val="en-US" w:eastAsia="zh-CN"/>
        </w:rPr>
        <w:t>设施体系，优化功能布局</w:t>
      </w:r>
      <w:r>
        <w:rPr>
          <w:rFonts w:hint="eastAsia" w:ascii="仿宋_GB2312" w:hAnsi="等线" w:eastAsia="仿宋_GB2312" w:cs="Times New Roman"/>
          <w:b/>
          <w:sz w:val="32"/>
          <w:szCs w:val="32"/>
        </w:rPr>
        <w:t>。</w:t>
      </w:r>
      <w:r>
        <w:rPr>
          <w:rFonts w:hint="eastAsia" w:ascii="仿宋_GB2312" w:hAnsi="等线" w:eastAsia="仿宋_GB2312" w:cs="Times New Roman"/>
          <w:bCs/>
          <w:sz w:val="32"/>
          <w:szCs w:val="32"/>
        </w:rPr>
        <w:t>高水平建设源头岛会客厅、城市绿心国际会客厅，</w:t>
      </w:r>
      <w:r>
        <w:rPr>
          <w:rFonts w:hint="eastAsia" w:ascii="仿宋_GB2312" w:hAnsi="等线" w:eastAsia="仿宋_GB2312" w:cs="Times New Roman"/>
          <w:bCs/>
          <w:sz w:val="32"/>
          <w:szCs w:val="32"/>
          <w:lang w:val="en-US" w:eastAsia="zh-CN"/>
        </w:rPr>
        <w:t>打造北京城市副中心</w:t>
      </w:r>
      <w:r>
        <w:rPr>
          <w:rFonts w:hint="eastAsia" w:ascii="仿宋_GB2312" w:hAnsi="等线" w:eastAsia="仿宋_GB2312" w:cs="Times New Roman"/>
          <w:bCs/>
          <w:sz w:val="32"/>
          <w:szCs w:val="32"/>
        </w:rPr>
        <w:t>高端会议</w:t>
      </w:r>
      <w:r>
        <w:rPr>
          <w:rFonts w:hint="eastAsia" w:ascii="仿宋_GB2312" w:hAnsi="等线" w:eastAsia="仿宋_GB2312" w:cs="Times New Roman"/>
          <w:bCs/>
          <w:sz w:val="32"/>
          <w:szCs w:val="32"/>
          <w:lang w:val="en-US" w:eastAsia="zh-CN"/>
        </w:rPr>
        <w:t>承载地；</w:t>
      </w:r>
      <w:r>
        <w:rPr>
          <w:rFonts w:hint="eastAsia" w:ascii="仿宋_GB2312" w:hAnsi="等线" w:eastAsia="仿宋_GB2312" w:cs="Times New Roman"/>
          <w:bCs/>
          <w:sz w:val="32"/>
          <w:szCs w:val="32"/>
        </w:rPr>
        <w:t>推动运河商务区蝶变升级，</w:t>
      </w:r>
      <w:r>
        <w:rPr>
          <w:rFonts w:hint="eastAsia" w:ascii="仿宋_GB2312" w:hAnsi="等线" w:eastAsia="仿宋_GB2312" w:cs="Times New Roman"/>
          <w:bCs/>
          <w:sz w:val="32"/>
          <w:szCs w:val="32"/>
          <w:lang w:val="en-US" w:eastAsia="zh-CN"/>
        </w:rPr>
        <w:t>借势</w:t>
      </w:r>
      <w:r>
        <w:rPr>
          <w:rFonts w:hint="default" w:ascii="仿宋_GB2312" w:hAnsi="等线" w:eastAsia="仿宋_GB2312" w:cs="Times New Roman"/>
          <w:bCs/>
          <w:sz w:val="32"/>
          <w:szCs w:val="32"/>
          <w:lang w:val="en-US" w:eastAsia="zh-CN"/>
        </w:rPr>
        <w:t>北京通州站</w:t>
      </w:r>
      <w:r>
        <w:rPr>
          <w:rFonts w:hint="eastAsia" w:ascii="仿宋_GB2312" w:hAnsi="等线" w:eastAsia="仿宋_GB2312" w:cs="Times New Roman"/>
          <w:bCs/>
          <w:sz w:val="32"/>
          <w:szCs w:val="32"/>
          <w:lang w:val="en-US" w:eastAsia="zh-CN"/>
        </w:rPr>
        <w:t>优势，规划布局</w:t>
      </w:r>
      <w:r>
        <w:rPr>
          <w:rFonts w:hint="default" w:ascii="仿宋_GB2312" w:hAnsi="等线" w:eastAsia="仿宋_GB2312" w:cs="Times New Roman"/>
          <w:bCs/>
          <w:sz w:val="32"/>
          <w:szCs w:val="32"/>
          <w:lang w:val="en-US" w:eastAsia="zh-CN"/>
        </w:rPr>
        <w:t>高端商务会议</w:t>
      </w:r>
      <w:r>
        <w:rPr>
          <w:rFonts w:hint="eastAsia" w:ascii="仿宋_GB2312" w:hAnsi="等线" w:eastAsia="仿宋_GB2312" w:cs="Times New Roman"/>
          <w:bCs/>
          <w:sz w:val="32"/>
          <w:szCs w:val="32"/>
          <w:lang w:val="en-US" w:eastAsia="zh-CN"/>
        </w:rPr>
        <w:t>中心。完</w:t>
      </w:r>
      <w:r>
        <w:rPr>
          <w:rFonts w:hint="eastAsia" w:ascii="仿宋_GB2312" w:hAnsi="等线" w:eastAsia="仿宋_GB2312" w:cs="Times New Roman"/>
          <w:bCs/>
          <w:sz w:val="32"/>
          <w:szCs w:val="32"/>
        </w:rPr>
        <w:t>善现有会展载体功能，</w:t>
      </w:r>
      <w:r>
        <w:rPr>
          <w:rFonts w:hint="eastAsia" w:ascii="仿宋_GB2312" w:hAnsi="等线" w:eastAsia="仿宋_GB2312" w:cs="Times New Roman"/>
          <w:bCs/>
          <w:sz w:val="32"/>
          <w:szCs w:val="32"/>
          <w:lang w:val="en-US" w:eastAsia="zh-CN"/>
        </w:rPr>
        <w:t>提升</w:t>
      </w:r>
      <w:r>
        <w:rPr>
          <w:rFonts w:hint="eastAsia" w:ascii="仿宋_GB2312" w:hAnsi="等线" w:eastAsia="仿宋_GB2312" w:cs="Times New Roman"/>
          <w:bCs/>
          <w:sz w:val="32"/>
          <w:szCs w:val="32"/>
        </w:rPr>
        <w:t>诺金会展中心、北京国际财富会议中心</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lang w:val="en-US" w:eastAsia="zh-CN"/>
        </w:rPr>
        <w:t>于家务国际种业科技园区会展中心</w:t>
      </w:r>
      <w:r>
        <w:rPr>
          <w:rFonts w:hint="eastAsia" w:ascii="仿宋_GB2312" w:hAnsi="等线" w:eastAsia="仿宋_GB2312" w:cs="Times New Roman"/>
          <w:bCs/>
          <w:sz w:val="32"/>
          <w:szCs w:val="32"/>
        </w:rPr>
        <w:t>及三大文化设施的会议服务能力</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lang w:val="en-US" w:eastAsia="zh-CN"/>
        </w:rPr>
        <w:t>依托</w:t>
      </w:r>
      <w:r>
        <w:rPr>
          <w:rFonts w:hint="eastAsia" w:ascii="仿宋_GB2312" w:hAnsi="等线" w:eastAsia="仿宋_GB2312" w:cs="Times New Roman"/>
          <w:bCs/>
          <w:sz w:val="32"/>
          <w:szCs w:val="32"/>
        </w:rPr>
        <w:t>北京国际设计周永久会址等设施，打造一批具有国际影响力和辨识度的交流平台，承接国际化特色会展、学术论坛、交流会议，增强会展资源集聚能力</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rPr>
        <w:t>谋划重大会展设施项目，支持高端酒店完善会议配套设施，</w:t>
      </w:r>
      <w:r>
        <w:rPr>
          <w:rFonts w:hint="eastAsia" w:ascii="仿宋_GB2312" w:hAnsi="等线" w:eastAsia="仿宋_GB2312" w:cs="Times New Roman"/>
          <w:bCs/>
          <w:sz w:val="32"/>
          <w:szCs w:val="32"/>
          <w:lang w:val="en-US" w:eastAsia="zh-CN"/>
        </w:rPr>
        <w:t>打造</w:t>
      </w:r>
      <w:r>
        <w:rPr>
          <w:rFonts w:hint="eastAsia" w:ascii="仿宋_GB2312" w:hAnsi="等线" w:eastAsia="仿宋_GB2312" w:cs="Times New Roman"/>
          <w:bCs/>
          <w:sz w:val="32"/>
          <w:szCs w:val="32"/>
        </w:rPr>
        <w:t>“酒店+会展”深度融合</w:t>
      </w:r>
      <w:r>
        <w:rPr>
          <w:rFonts w:hint="eastAsia" w:ascii="仿宋_GB2312" w:hAnsi="等线" w:eastAsia="仿宋_GB2312" w:cs="Times New Roman"/>
          <w:bCs/>
          <w:sz w:val="32"/>
          <w:szCs w:val="32"/>
          <w:lang w:val="en-US" w:eastAsia="zh-CN"/>
        </w:rPr>
        <w:t>的配套设施体系</w:t>
      </w:r>
      <w:r>
        <w:rPr>
          <w:rFonts w:hint="eastAsia" w:ascii="仿宋_GB2312" w:hAnsi="等线" w:eastAsia="仿宋_GB2312" w:cs="Times New Roman"/>
          <w:bCs/>
          <w:sz w:val="32"/>
          <w:szCs w:val="32"/>
        </w:rPr>
        <w:t>。</w:t>
      </w:r>
    </w:p>
    <w:p w14:paraId="77C321D4">
      <w:pPr>
        <w:spacing w:line="560" w:lineRule="exact"/>
        <w:ind w:firstLine="643" w:firstLineChars="200"/>
        <w:rPr>
          <w:rFonts w:hint="eastAsia" w:ascii="仿宋_GB2312" w:hAnsi="等线" w:eastAsia="仿宋_GB2312" w:cs="Times New Roman"/>
          <w:bCs/>
          <w:sz w:val="32"/>
          <w:szCs w:val="32"/>
        </w:rPr>
      </w:pPr>
      <w:r>
        <w:rPr>
          <w:rFonts w:hint="eastAsia" w:ascii="仿宋_GB2312" w:hAnsi="等线" w:eastAsia="仿宋_GB2312" w:cs="Times New Roman"/>
          <w:b/>
          <w:sz w:val="32"/>
          <w:szCs w:val="32"/>
        </w:rPr>
        <w:t>创新“会展+”融合模式，</w:t>
      </w:r>
      <w:r>
        <w:rPr>
          <w:rFonts w:hint="eastAsia" w:ascii="仿宋_GB2312" w:hAnsi="等线" w:eastAsia="仿宋_GB2312" w:cs="Times New Roman"/>
          <w:b/>
          <w:sz w:val="32"/>
          <w:szCs w:val="32"/>
          <w:lang w:val="en-US" w:eastAsia="zh-CN"/>
        </w:rPr>
        <w:t>放大会展经济效应</w:t>
      </w:r>
      <w:r>
        <w:rPr>
          <w:rFonts w:hint="eastAsia" w:ascii="仿宋_GB2312" w:hAnsi="等线" w:eastAsia="仿宋_GB2312" w:cs="Times New Roman"/>
          <w:b/>
          <w:sz w:val="32"/>
          <w:szCs w:val="32"/>
        </w:rPr>
        <w:t>。</w:t>
      </w:r>
      <w:r>
        <w:rPr>
          <w:rFonts w:hint="eastAsia" w:ascii="仿宋_GB2312" w:hAnsi="等线" w:eastAsia="仿宋_GB2312" w:cs="Times New Roman"/>
          <w:bCs/>
          <w:sz w:val="32"/>
          <w:szCs w:val="32"/>
        </w:rPr>
        <w:t>鼓励场馆围绕核心展会活动，拓展演艺、赛事、文创市集、沉浸式体验等多元业态，推动会展与文旅、商业深度融合</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lang w:val="en-US" w:eastAsia="zh-CN"/>
        </w:rPr>
        <w:t>打造展城融合发展新标杆</w:t>
      </w:r>
      <w:r>
        <w:rPr>
          <w:rFonts w:hint="eastAsia" w:ascii="仿宋_GB2312" w:hAnsi="等线" w:eastAsia="仿宋_GB2312" w:cs="Times New Roman"/>
          <w:bCs/>
          <w:sz w:val="32"/>
          <w:szCs w:val="32"/>
        </w:rPr>
        <w:t>。</w:t>
      </w:r>
      <w:r>
        <w:rPr>
          <w:rFonts w:hint="eastAsia" w:ascii="仿宋_GB2312" w:hAnsi="等线" w:eastAsia="仿宋_GB2312" w:cs="Times New Roman"/>
          <w:bCs/>
          <w:sz w:val="32"/>
          <w:szCs w:val="32"/>
          <w:lang w:val="en-US" w:eastAsia="zh-CN"/>
        </w:rPr>
        <w:t>创新“</w:t>
      </w:r>
      <w:r>
        <w:rPr>
          <w:rFonts w:hint="default" w:ascii="仿宋_GB2312" w:hAnsi="等线" w:eastAsia="仿宋_GB2312" w:cs="Times New Roman"/>
          <w:bCs/>
          <w:sz w:val="32"/>
          <w:szCs w:val="32"/>
          <w:lang w:val="en-US" w:eastAsia="zh-CN"/>
        </w:rPr>
        <w:t>日展夜市</w:t>
      </w:r>
      <w:r>
        <w:rPr>
          <w:rFonts w:hint="eastAsia" w:ascii="仿宋_GB2312" w:hAnsi="等线" w:eastAsia="仿宋_GB2312" w:cs="Times New Roman"/>
          <w:bCs/>
          <w:sz w:val="32"/>
          <w:szCs w:val="32"/>
          <w:lang w:val="en-US" w:eastAsia="zh-CN"/>
        </w:rPr>
        <w:t>”</w:t>
      </w:r>
      <w:r>
        <w:rPr>
          <w:rFonts w:hint="default" w:ascii="仿宋_GB2312" w:hAnsi="等线" w:eastAsia="仿宋_GB2312" w:cs="Times New Roman"/>
          <w:bCs/>
          <w:sz w:val="32"/>
          <w:szCs w:val="32"/>
          <w:lang w:val="en-US" w:eastAsia="zh-CN"/>
        </w:rPr>
        <w:t>模式，白天办展会、夜晚潮消费，融合展集联动、赛演融合等多元场景</w:t>
      </w:r>
      <w:r>
        <w:rPr>
          <w:rFonts w:hint="eastAsia" w:ascii="仿宋_GB2312" w:hAnsi="等线" w:eastAsia="仿宋_GB2312" w:cs="Times New Roman"/>
          <w:bCs/>
          <w:sz w:val="32"/>
          <w:szCs w:val="32"/>
        </w:rPr>
        <w:t>。立足国家绿色发展示范区优势，举办</w:t>
      </w:r>
      <w:r>
        <w:rPr>
          <w:rFonts w:hint="eastAsia" w:ascii="仿宋_GB2312" w:hAnsi="等线" w:eastAsia="仿宋_GB2312" w:cs="Times New Roman"/>
          <w:bCs/>
          <w:sz w:val="32"/>
          <w:szCs w:val="32"/>
          <w:lang w:val="en-US" w:eastAsia="zh-CN"/>
        </w:rPr>
        <w:t>北京绿色产业博览会</w:t>
      </w:r>
      <w:r>
        <w:rPr>
          <w:rFonts w:hint="eastAsia" w:ascii="仿宋_GB2312" w:hAnsi="等线" w:eastAsia="仿宋_GB2312" w:cs="Times New Roman"/>
          <w:bCs/>
          <w:sz w:val="32"/>
          <w:szCs w:val="32"/>
        </w:rPr>
        <w:t>、</w:t>
      </w:r>
      <w:r>
        <w:rPr>
          <w:rFonts w:hint="eastAsia" w:ascii="仿宋_GB2312" w:hAnsi="等线" w:eastAsia="仿宋_GB2312" w:cs="Times New Roman"/>
          <w:bCs/>
          <w:sz w:val="32"/>
          <w:szCs w:val="32"/>
          <w:lang w:val="en-US" w:eastAsia="zh-CN"/>
        </w:rPr>
        <w:t>北京绿色发展论坛</w:t>
      </w:r>
      <w:r>
        <w:rPr>
          <w:rFonts w:hint="eastAsia" w:ascii="仿宋_GB2312" w:hAnsi="等线" w:eastAsia="仿宋_GB2312" w:cs="Times New Roman"/>
          <w:bCs/>
          <w:sz w:val="32"/>
          <w:szCs w:val="32"/>
        </w:rPr>
        <w:t>等主题</w:t>
      </w:r>
      <w:r>
        <w:rPr>
          <w:rFonts w:hint="eastAsia" w:ascii="仿宋_GB2312" w:hAnsi="等线" w:eastAsia="仿宋_GB2312" w:cs="Times New Roman"/>
          <w:bCs/>
          <w:sz w:val="32"/>
          <w:szCs w:val="32"/>
          <w:lang w:val="en-US" w:eastAsia="zh-CN"/>
        </w:rPr>
        <w:t>活动</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rPr>
        <w:t>发挥网络视听产业走廊和微短剧基地优势，举办网络视听大会、AIGC文旅应用展，培育数字文旅会展产品，打造数字文旅创新策源地和绿色智慧会展特色品牌。</w:t>
      </w:r>
    </w:p>
    <w:p w14:paraId="73EDE668">
      <w:pPr>
        <w:spacing w:line="560" w:lineRule="exact"/>
        <w:ind w:firstLine="643" w:firstLineChars="200"/>
        <w:rPr>
          <w:rFonts w:hint="eastAsia" w:ascii="仿宋_GB2312" w:hAnsi="等线" w:eastAsia="仿宋_GB2312" w:cs="Times New Roman"/>
          <w:bCs/>
          <w:sz w:val="32"/>
          <w:szCs w:val="32"/>
        </w:rPr>
      </w:pPr>
      <w:r>
        <w:rPr>
          <w:rFonts w:hint="eastAsia" w:ascii="仿宋_GB2312" w:hAnsi="等线" w:eastAsia="仿宋_GB2312" w:cs="Times New Roman"/>
          <w:b/>
          <w:bCs w:val="0"/>
          <w:sz w:val="32"/>
          <w:szCs w:val="32"/>
        </w:rPr>
        <w:t>提升专业化运营水平，完善服务生态。</w:t>
      </w:r>
      <w:r>
        <w:rPr>
          <w:rFonts w:hint="eastAsia" w:ascii="仿宋_GB2312" w:hAnsi="等线" w:eastAsia="仿宋_GB2312" w:cs="Times New Roman"/>
          <w:bCs/>
          <w:sz w:val="32"/>
          <w:szCs w:val="32"/>
        </w:rPr>
        <w:t>立足各乡镇街道资源禀赋</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rPr>
        <w:t>差异化布局会展业态，引进专业会展运营团队，赋能完善服务生态。提升场馆管理和服务标准化水平。</w:t>
      </w:r>
      <w:r>
        <w:rPr>
          <w:rFonts w:hint="eastAsia" w:ascii="仿宋_GB2312" w:hAnsi="等线" w:eastAsia="仿宋_GB2312" w:cs="Times New Roman"/>
          <w:bCs/>
          <w:sz w:val="32"/>
          <w:szCs w:val="32"/>
          <w:lang w:val="en-US" w:eastAsia="zh-CN"/>
        </w:rPr>
        <w:t>重点</w:t>
      </w:r>
      <w:r>
        <w:rPr>
          <w:rFonts w:hint="eastAsia" w:ascii="仿宋_GB2312" w:hAnsi="等线" w:eastAsia="仿宋_GB2312" w:cs="Times New Roman"/>
          <w:bCs/>
          <w:sz w:val="32"/>
          <w:szCs w:val="32"/>
        </w:rPr>
        <w:t>打造数字体育与电竞产业</w:t>
      </w:r>
      <w:r>
        <w:rPr>
          <w:rFonts w:hint="eastAsia" w:ascii="仿宋_GB2312" w:hAnsi="等线" w:eastAsia="仿宋_GB2312" w:cs="Times New Roman"/>
          <w:bCs/>
          <w:sz w:val="32"/>
          <w:szCs w:val="32"/>
          <w:lang w:val="en-US" w:eastAsia="zh-CN"/>
        </w:rPr>
        <w:t>类</w:t>
      </w:r>
      <w:r>
        <w:rPr>
          <w:rFonts w:hint="eastAsia" w:ascii="仿宋_GB2312" w:hAnsi="等线" w:eastAsia="仿宋_GB2312" w:cs="Times New Roman"/>
          <w:bCs/>
          <w:sz w:val="32"/>
          <w:szCs w:val="32"/>
        </w:rPr>
        <w:t>会展</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rPr>
        <w:t>水上运动与户外潮流体育</w:t>
      </w:r>
      <w:r>
        <w:rPr>
          <w:rFonts w:hint="eastAsia" w:ascii="仿宋_GB2312" w:hAnsi="等线" w:eastAsia="仿宋_GB2312" w:cs="Times New Roman"/>
          <w:bCs/>
          <w:sz w:val="32"/>
          <w:szCs w:val="32"/>
          <w:lang w:val="en-US" w:eastAsia="zh-CN"/>
        </w:rPr>
        <w:t>类</w:t>
      </w:r>
      <w:r>
        <w:rPr>
          <w:rFonts w:hint="eastAsia" w:ascii="仿宋_GB2312" w:hAnsi="等线" w:eastAsia="仿宋_GB2312" w:cs="Times New Roman"/>
          <w:bCs/>
          <w:sz w:val="32"/>
          <w:szCs w:val="32"/>
        </w:rPr>
        <w:t>会展</w:t>
      </w:r>
      <w:r>
        <w:rPr>
          <w:rFonts w:hint="eastAsia" w:ascii="仿宋_GB2312" w:hAnsi="等线" w:eastAsia="仿宋_GB2312" w:cs="Times New Roman"/>
          <w:bCs/>
          <w:sz w:val="32"/>
          <w:szCs w:val="32"/>
          <w:lang w:eastAsia="zh-CN"/>
        </w:rPr>
        <w:t>、</w:t>
      </w:r>
      <w:r>
        <w:rPr>
          <w:rFonts w:hint="eastAsia" w:ascii="仿宋_GB2312" w:hAnsi="等线" w:eastAsia="仿宋_GB2312" w:cs="Times New Roman"/>
          <w:bCs/>
          <w:sz w:val="32"/>
          <w:szCs w:val="32"/>
        </w:rPr>
        <w:t>京津冀协同</w:t>
      </w:r>
      <w:r>
        <w:rPr>
          <w:rFonts w:hint="eastAsia" w:ascii="仿宋_GB2312" w:hAnsi="等线" w:eastAsia="仿宋_GB2312" w:cs="Times New Roman"/>
          <w:bCs/>
          <w:sz w:val="32"/>
          <w:szCs w:val="32"/>
          <w:lang w:val="en-US" w:eastAsia="zh-CN"/>
        </w:rPr>
        <w:t>类</w:t>
      </w:r>
      <w:r>
        <w:rPr>
          <w:rFonts w:hint="eastAsia" w:ascii="仿宋_GB2312" w:hAnsi="等线" w:eastAsia="仿宋_GB2312" w:cs="Times New Roman"/>
          <w:bCs/>
          <w:sz w:val="32"/>
          <w:szCs w:val="32"/>
        </w:rPr>
        <w:t>会展等</w:t>
      </w:r>
      <w:r>
        <w:rPr>
          <w:rFonts w:hint="eastAsia" w:ascii="仿宋_GB2312" w:hAnsi="等线" w:eastAsia="仿宋_GB2312" w:cs="Times New Roman"/>
          <w:bCs/>
          <w:sz w:val="32"/>
          <w:szCs w:val="32"/>
          <w:lang w:val="en-US" w:eastAsia="zh-CN"/>
        </w:rPr>
        <w:t>主题</w:t>
      </w:r>
      <w:r>
        <w:rPr>
          <w:rFonts w:hint="eastAsia" w:ascii="仿宋_GB2312" w:hAnsi="等线" w:eastAsia="仿宋_GB2312" w:cs="Times New Roman"/>
          <w:bCs/>
          <w:sz w:val="32"/>
          <w:szCs w:val="32"/>
        </w:rPr>
        <w:t>会展品牌。建</w:t>
      </w:r>
      <w:r>
        <w:rPr>
          <w:rFonts w:hint="eastAsia" w:ascii="仿宋_GB2312" w:hAnsi="等线" w:eastAsia="仿宋_GB2312" w:cs="Times New Roman"/>
          <w:bCs/>
          <w:sz w:val="32"/>
          <w:szCs w:val="32"/>
          <w:lang w:val="en-US" w:eastAsia="zh-CN"/>
        </w:rPr>
        <w:t>立</w:t>
      </w:r>
      <w:r>
        <w:rPr>
          <w:rFonts w:hint="eastAsia" w:ascii="仿宋_GB2312" w:hAnsi="等线" w:eastAsia="仿宋_GB2312" w:cs="Times New Roman"/>
          <w:bCs/>
          <w:sz w:val="32"/>
          <w:szCs w:val="32"/>
        </w:rPr>
        <w:t>政府引领与市场运营联动的协同推进机制，完善会展业发展的政策支撑体系。优化会展服务配套，加强场馆周边交通、餐饮、住宿、文旅等一体化保障，提升会展服务综合保障能力，营造国际化、专业化、市场化的会展发展环境。</w:t>
      </w:r>
    </w:p>
    <w:p w14:paraId="0C82B595">
      <w:pPr>
        <w:pStyle w:val="4"/>
        <w:spacing w:before="0" w:after="0" w:line="560" w:lineRule="exact"/>
        <w:ind w:firstLine="640" w:firstLineChars="200"/>
        <w:rPr>
          <w:rFonts w:hint="eastAsia" w:ascii="黑体" w:hAnsi="黑体" w:eastAsia="黑体"/>
          <w:color w:val="auto"/>
          <w:sz w:val="32"/>
          <w:szCs w:val="32"/>
        </w:rPr>
      </w:pPr>
      <w:bookmarkStart w:id="151" w:name="_Toc42"/>
      <w:bookmarkStart w:id="152" w:name="_Toc23644"/>
      <w:r>
        <w:rPr>
          <w:rFonts w:hint="eastAsia" w:ascii="黑体" w:hAnsi="黑体" w:eastAsia="黑体"/>
          <w:color w:val="auto"/>
          <w:sz w:val="32"/>
          <w:szCs w:val="32"/>
        </w:rPr>
        <w:t>二、文旅+农业融合发展</w:t>
      </w:r>
      <w:bookmarkEnd w:id="151"/>
      <w:bookmarkEnd w:id="152"/>
    </w:p>
    <w:p w14:paraId="5D85BBD8">
      <w:pPr>
        <w:spacing w:line="56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bCs/>
          <w:sz w:val="32"/>
          <w:szCs w:val="32"/>
          <w:lang w:val="en-US" w:eastAsia="zh-CN"/>
        </w:rPr>
        <w:t>构建</w:t>
      </w:r>
      <w:r>
        <w:rPr>
          <w:rFonts w:hint="eastAsia" w:ascii="仿宋_GB2312" w:hAnsi="Times New Roman" w:eastAsia="仿宋_GB2312" w:cs="Times New Roman"/>
          <w:b/>
          <w:bCs/>
          <w:sz w:val="32"/>
          <w:szCs w:val="32"/>
        </w:rPr>
        <w:t>乡村旅游片区</w:t>
      </w:r>
      <w:r>
        <w:rPr>
          <w:rFonts w:hint="eastAsia" w:ascii="仿宋_GB2312" w:hAnsi="Times New Roman" w:eastAsia="仿宋_GB2312" w:cs="Times New Roman"/>
          <w:b/>
          <w:bCs/>
          <w:sz w:val="32"/>
          <w:szCs w:val="32"/>
          <w:lang w:val="en-US" w:eastAsia="zh-CN"/>
        </w:rPr>
        <w:t>引领格局</w:t>
      </w:r>
      <w:r>
        <w:rPr>
          <w:rFonts w:hint="eastAsia" w:ascii="仿宋_GB2312" w:hAnsi="Times New Roman" w:eastAsia="仿宋_GB2312" w:cs="Times New Roman"/>
          <w:b/>
          <w:bCs/>
          <w:sz w:val="32"/>
          <w:szCs w:val="32"/>
        </w:rPr>
        <w:t>。</w:t>
      </w:r>
      <w:r>
        <w:rPr>
          <w:rFonts w:hint="eastAsia" w:ascii="仿宋_GB2312" w:hAnsi="Times New Roman" w:eastAsia="仿宋_GB2312" w:cs="Times New Roman"/>
          <w:b w:val="0"/>
          <w:bCs w:val="0"/>
          <w:sz w:val="32"/>
          <w:szCs w:val="32"/>
        </w:rPr>
        <w:t>深入落实“百千工程”，以片区统筹乡村振兴，构建片区引领、村镇联动的乡村旅游格局。</w:t>
      </w:r>
      <w:r>
        <w:rPr>
          <w:rFonts w:hint="eastAsia" w:ascii="仿宋_GB2312" w:hAnsi="Times New Roman" w:eastAsia="仿宋_GB2312" w:cs="Times New Roman"/>
          <w:b w:val="0"/>
          <w:bCs w:val="0"/>
          <w:sz w:val="32"/>
          <w:szCs w:val="32"/>
          <w:lang w:val="en-US" w:eastAsia="zh-CN"/>
        </w:rPr>
        <w:t>深化</w:t>
      </w:r>
      <w:r>
        <w:rPr>
          <w:rFonts w:hint="eastAsia" w:ascii="仿宋_GB2312" w:hAnsi="Times New Roman" w:eastAsia="仿宋_GB2312" w:cs="Times New Roman"/>
          <w:bCs/>
          <w:sz w:val="32"/>
          <w:szCs w:val="32"/>
        </w:rPr>
        <w:t>台湖</w:t>
      </w:r>
      <w:r>
        <w:rPr>
          <w:rFonts w:hint="eastAsia" w:ascii="仿宋_GB2312" w:hAnsi="Times New Roman" w:eastAsia="仿宋_GB2312" w:cs="Times New Roman"/>
          <w:bCs/>
          <w:sz w:val="32"/>
          <w:szCs w:val="32"/>
          <w:lang w:eastAsia="zh-CN"/>
        </w:rPr>
        <w:t>“</w:t>
      </w:r>
      <w:r>
        <w:rPr>
          <w:rFonts w:hint="eastAsia" w:ascii="仿宋_GB2312" w:hAnsi="Times New Roman" w:eastAsia="仿宋_GB2312" w:cs="Times New Roman"/>
          <w:bCs/>
          <w:sz w:val="32"/>
          <w:szCs w:val="32"/>
        </w:rPr>
        <w:t>环影宿游</w:t>
      </w:r>
      <w:r>
        <w:rPr>
          <w:rFonts w:hint="eastAsia" w:ascii="仿宋_GB2312" w:hAnsi="Times New Roman" w:eastAsia="仿宋_GB2312" w:cs="Times New Roman"/>
          <w:bCs/>
          <w:sz w:val="32"/>
          <w:szCs w:val="32"/>
          <w:lang w:eastAsia="zh-CN"/>
        </w:rPr>
        <w:t>”</w:t>
      </w:r>
      <w:r>
        <w:rPr>
          <w:rFonts w:hint="eastAsia" w:ascii="仿宋_GB2312" w:hAnsi="Times New Roman" w:eastAsia="仿宋_GB2312" w:cs="Times New Roman"/>
          <w:bCs/>
          <w:sz w:val="32"/>
          <w:szCs w:val="32"/>
          <w:lang w:val="en-US" w:eastAsia="zh-CN"/>
        </w:rPr>
        <w:t>示范</w:t>
      </w:r>
      <w:r>
        <w:rPr>
          <w:rFonts w:hint="eastAsia" w:ascii="仿宋_GB2312" w:hAnsi="Times New Roman" w:eastAsia="仿宋_GB2312" w:cs="Times New Roman"/>
          <w:bCs/>
          <w:sz w:val="32"/>
          <w:szCs w:val="32"/>
        </w:rPr>
        <w:t>片区</w:t>
      </w:r>
      <w:r>
        <w:rPr>
          <w:rFonts w:hint="eastAsia" w:ascii="仿宋_GB2312" w:hAnsi="Times New Roman" w:eastAsia="仿宋_GB2312" w:cs="Times New Roman"/>
          <w:bCs/>
          <w:sz w:val="32"/>
          <w:szCs w:val="32"/>
          <w:lang w:val="en-US" w:eastAsia="zh-CN"/>
        </w:rPr>
        <w:t>建设，</w:t>
      </w:r>
      <w:r>
        <w:rPr>
          <w:rFonts w:hint="eastAsia" w:ascii="仿宋_GB2312" w:hAnsi="Times New Roman" w:eastAsia="仿宋_GB2312" w:cs="Times New Roman"/>
          <w:sz w:val="32"/>
          <w:szCs w:val="32"/>
        </w:rPr>
        <w:t>聚焦村庄风貌提质与民宿产业升级，培育民宿文旅融合集群。</w:t>
      </w:r>
      <w:r>
        <w:rPr>
          <w:rFonts w:hint="eastAsia" w:ascii="仿宋_GB2312" w:hAnsi="Times New Roman" w:eastAsia="仿宋_GB2312" w:cs="Times New Roman"/>
          <w:sz w:val="32"/>
          <w:szCs w:val="32"/>
          <w:lang w:val="en-US" w:eastAsia="zh-CN"/>
        </w:rPr>
        <w:t>提质建设</w:t>
      </w:r>
      <w:r>
        <w:rPr>
          <w:rFonts w:hint="eastAsia" w:ascii="仿宋_GB2312" w:hAnsi="Times New Roman" w:eastAsia="仿宋_GB2312" w:cs="Times New Roman"/>
          <w:bCs/>
          <w:sz w:val="32"/>
          <w:szCs w:val="32"/>
        </w:rPr>
        <w:t>西集</w:t>
      </w:r>
      <w:r>
        <w:rPr>
          <w:rFonts w:hint="eastAsia" w:ascii="仿宋_GB2312" w:hAnsi="Times New Roman" w:eastAsia="仿宋_GB2312" w:cs="Times New Roman"/>
          <w:bCs/>
          <w:sz w:val="32"/>
          <w:szCs w:val="32"/>
          <w:lang w:eastAsia="zh-CN"/>
        </w:rPr>
        <w:t>“</w:t>
      </w:r>
      <w:r>
        <w:rPr>
          <w:rFonts w:hint="eastAsia" w:ascii="仿宋_GB2312" w:hAnsi="Times New Roman" w:eastAsia="仿宋_GB2312" w:cs="Times New Roman"/>
          <w:bCs/>
          <w:sz w:val="32"/>
          <w:szCs w:val="32"/>
        </w:rPr>
        <w:t>樱游运河</w:t>
      </w:r>
      <w:r>
        <w:rPr>
          <w:rFonts w:hint="eastAsia" w:ascii="仿宋_GB2312" w:hAnsi="Times New Roman" w:eastAsia="仿宋_GB2312" w:cs="Times New Roman"/>
          <w:bCs/>
          <w:sz w:val="32"/>
          <w:szCs w:val="32"/>
          <w:lang w:eastAsia="zh-CN"/>
        </w:rPr>
        <w:t>”</w:t>
      </w:r>
      <w:r>
        <w:rPr>
          <w:rFonts w:hint="eastAsia" w:ascii="仿宋_GB2312" w:hAnsi="Times New Roman" w:eastAsia="仿宋_GB2312" w:cs="Times New Roman"/>
          <w:bCs/>
          <w:sz w:val="32"/>
          <w:szCs w:val="32"/>
          <w:lang w:val="en-US" w:eastAsia="zh-CN"/>
        </w:rPr>
        <w:t>示范</w:t>
      </w:r>
      <w:r>
        <w:rPr>
          <w:rFonts w:hint="eastAsia" w:ascii="仿宋_GB2312" w:hAnsi="Times New Roman" w:eastAsia="仿宋_GB2312" w:cs="Times New Roman"/>
          <w:bCs/>
          <w:sz w:val="32"/>
          <w:szCs w:val="32"/>
        </w:rPr>
        <w:t>片区</w:t>
      </w:r>
      <w:r>
        <w:rPr>
          <w:rFonts w:hint="eastAsia" w:ascii="仿宋_GB2312" w:hAnsi="Times New Roman" w:eastAsia="仿宋_GB2312" w:cs="Times New Roman"/>
          <w:bCs/>
          <w:sz w:val="32"/>
          <w:szCs w:val="32"/>
          <w:lang w:eastAsia="zh-CN"/>
        </w:rPr>
        <w:t>，</w:t>
      </w:r>
      <w:r>
        <w:rPr>
          <w:rFonts w:hint="eastAsia" w:ascii="仿宋_GB2312" w:hAnsi="Times New Roman" w:eastAsia="仿宋_GB2312" w:cs="Times New Roman"/>
          <w:bCs/>
          <w:sz w:val="32"/>
          <w:szCs w:val="32"/>
        </w:rPr>
        <w:t>做强精品果蔬，</w:t>
      </w:r>
      <w:r>
        <w:rPr>
          <w:rFonts w:hint="eastAsia" w:ascii="仿宋_GB2312" w:hAnsi="Times New Roman" w:eastAsia="仿宋_GB2312" w:cs="Times New Roman"/>
          <w:sz w:val="32"/>
          <w:szCs w:val="32"/>
        </w:rPr>
        <w:t>延伸樱桃全产业链，培育民宿露营、生态骑行</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文学研学</w:t>
      </w:r>
      <w:r>
        <w:rPr>
          <w:rFonts w:hint="eastAsia" w:ascii="仿宋_GB2312" w:hAnsi="Times New Roman" w:eastAsia="仿宋_GB2312" w:cs="Times New Roman"/>
          <w:sz w:val="32"/>
          <w:szCs w:val="32"/>
        </w:rPr>
        <w:t>等</w:t>
      </w:r>
      <w:r>
        <w:rPr>
          <w:rFonts w:hint="eastAsia" w:ascii="仿宋_GB2312" w:hAnsi="Times New Roman" w:eastAsia="仿宋_GB2312" w:cs="Times New Roman"/>
          <w:sz w:val="32"/>
          <w:szCs w:val="32"/>
          <w:lang w:val="en-US" w:eastAsia="zh-CN"/>
        </w:rPr>
        <w:t>融合</w:t>
      </w:r>
      <w:r>
        <w:rPr>
          <w:rFonts w:hint="eastAsia" w:ascii="仿宋_GB2312" w:hAnsi="Times New Roman" w:eastAsia="仿宋_GB2312" w:cs="Times New Roman"/>
          <w:sz w:val="32"/>
          <w:szCs w:val="32"/>
        </w:rPr>
        <w:t>业态。</w:t>
      </w:r>
      <w:r>
        <w:rPr>
          <w:rFonts w:hint="eastAsia" w:ascii="仿宋_GB2312" w:hAnsi="Times New Roman" w:eastAsia="仿宋_GB2312" w:cs="Times New Roman"/>
          <w:sz w:val="32"/>
          <w:szCs w:val="32"/>
          <w:lang w:val="en-US" w:eastAsia="zh-CN"/>
        </w:rPr>
        <w:t>推进</w:t>
      </w:r>
      <w:r>
        <w:rPr>
          <w:rFonts w:hint="eastAsia" w:ascii="仿宋_GB2312" w:hAnsi="Times New Roman" w:eastAsia="仿宋_GB2312" w:cs="Times New Roman"/>
          <w:sz w:val="32"/>
          <w:szCs w:val="32"/>
        </w:rPr>
        <w:t>宋庄</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艺术创意田园</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示范</w:t>
      </w:r>
      <w:r>
        <w:rPr>
          <w:rFonts w:hint="eastAsia" w:ascii="仿宋_GB2312" w:hAnsi="Times New Roman" w:eastAsia="仿宋_GB2312" w:cs="Times New Roman"/>
          <w:sz w:val="32"/>
          <w:szCs w:val="32"/>
        </w:rPr>
        <w:t>片区</w:t>
      </w:r>
      <w:r>
        <w:rPr>
          <w:rFonts w:hint="eastAsia" w:ascii="仿宋_GB2312" w:hAnsi="Times New Roman" w:eastAsia="仿宋_GB2312" w:cs="Times New Roman"/>
          <w:sz w:val="32"/>
          <w:szCs w:val="32"/>
          <w:lang w:val="en-US" w:eastAsia="zh-CN"/>
        </w:rPr>
        <w:t>建设，</w:t>
      </w:r>
      <w:r>
        <w:rPr>
          <w:rFonts w:hint="eastAsia" w:ascii="仿宋_GB2312" w:hAnsi="Times New Roman" w:eastAsia="仿宋_GB2312" w:cs="Times New Roman"/>
          <w:sz w:val="32"/>
          <w:szCs w:val="32"/>
        </w:rPr>
        <w:t>打造艺术家工作室、创客空间等原创艺术核心载体，发展艺术民宿、田园写</w:t>
      </w:r>
      <w:r>
        <w:rPr>
          <w:rFonts w:hint="eastAsia" w:ascii="仿宋_GB2312" w:hAnsi="Times New Roman" w:eastAsia="仿宋_GB2312" w:cs="Times New Roman"/>
          <w:sz w:val="32"/>
          <w:szCs w:val="32"/>
          <w:lang w:val="en-US" w:eastAsia="zh-CN"/>
        </w:rPr>
        <w:t>生、市集露营等艺术赋能业态。潞城镇依托运河生态资源，聚焦果蔬采摘、田园研学、滨水休闲，发展都市近郊生态休闲农业；于家务镇聚焦种业科技、花海生态、民族风情，打造四季有景的农文旅融合带；漷县镇深耕大运河漕运文化、牡丹IP、非遗体验，建设牡丹花海景区，发展牡丹研学与运河主题研学；马驹桥镇主打艺术赋能、马术运动、智慧农业，发展艺术民宿、马术文旅与科技小院集群，打造近郊艺术田园度假地；永乐店镇聚焦万亩花海、林下经济、科技农业，发展花海观光、果蔬采摘与露营研学等。</w:t>
      </w:r>
      <w:r>
        <w:rPr>
          <w:rFonts w:hint="eastAsia" w:ascii="仿宋_GB2312" w:hAnsi="Times New Roman" w:eastAsia="仿宋_GB2312" w:cs="Times New Roman"/>
          <w:sz w:val="32"/>
          <w:szCs w:val="32"/>
        </w:rPr>
        <w:t>深入挖掘农业农村生态价值与文化价值，重点培育运河风情、音乐艺术、非遗体验、休闲农业等主题旅游村庄</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扎实推进市级乡村旅游重点村</w:t>
      </w:r>
      <w:r>
        <w:rPr>
          <w:rFonts w:hint="eastAsia" w:ascii="仿宋_GB2312" w:hAnsi="Times New Roman" w:eastAsia="仿宋_GB2312" w:cs="Times New Roman"/>
          <w:sz w:val="32"/>
          <w:szCs w:val="32"/>
          <w:lang w:val="en-US" w:eastAsia="zh-CN"/>
        </w:rPr>
        <w:t>创建</w:t>
      </w:r>
      <w:r>
        <w:rPr>
          <w:rFonts w:hint="eastAsia" w:ascii="仿宋_GB2312" w:hAnsi="Times New Roman" w:eastAsia="仿宋_GB2312" w:cs="Times New Roman"/>
          <w:sz w:val="32"/>
          <w:szCs w:val="32"/>
        </w:rPr>
        <w:t>。建设乡村旅游驿站，优化</w:t>
      </w:r>
      <w:r>
        <w:rPr>
          <w:rFonts w:hint="eastAsia" w:ascii="仿宋_GB2312" w:hAnsi="Times New Roman" w:eastAsia="仿宋_GB2312" w:cs="Times New Roman"/>
          <w:sz w:val="32"/>
          <w:szCs w:val="32"/>
          <w:lang w:val="en-US" w:eastAsia="zh-CN"/>
        </w:rPr>
        <w:t>快旅慢游</w:t>
      </w:r>
      <w:r>
        <w:rPr>
          <w:rFonts w:hint="eastAsia" w:ascii="仿宋_GB2312" w:hAnsi="Times New Roman" w:eastAsia="仿宋_GB2312" w:cs="Times New Roman"/>
          <w:sz w:val="32"/>
          <w:szCs w:val="32"/>
        </w:rPr>
        <w:t>交通网络，完善停车及配套服务设施。</w:t>
      </w:r>
    </w:p>
    <w:p w14:paraId="77295011">
      <w:pPr>
        <w:spacing w:line="560" w:lineRule="exact"/>
        <w:ind w:firstLine="643" w:firstLineChars="200"/>
        <w:rPr>
          <w:rFonts w:hint="eastAsia" w:ascii="仿宋_GB2312" w:hAnsi="Times New Roman" w:eastAsia="仿宋_GB2312" w:cs="Times New Roman"/>
          <w:sz w:val="32"/>
          <w:szCs w:val="32"/>
        </w:rPr>
      </w:pPr>
      <w:r>
        <w:rPr>
          <w:rFonts w:hint="eastAsia" w:ascii="仿宋_GB2312" w:hAnsi="Times New Roman" w:eastAsia="仿宋_GB2312" w:cs="Times New Roman"/>
          <w:b/>
          <w:bCs/>
          <w:sz w:val="32"/>
          <w:szCs w:val="32"/>
        </w:rPr>
        <w:t>实施文艺赋美乡村工程。</w:t>
      </w:r>
      <w:r>
        <w:rPr>
          <w:rFonts w:hint="eastAsia" w:ascii="仿宋_GB2312" w:hAnsi="Times New Roman" w:eastAsia="仿宋_GB2312" w:cs="Times New Roman"/>
          <w:sz w:val="32"/>
          <w:szCs w:val="32"/>
        </w:rPr>
        <w:t>强化三大特色小镇辐射带动作用，以艺术、演艺、设计</w:t>
      </w:r>
      <w:r>
        <w:rPr>
          <w:rFonts w:hint="eastAsia" w:ascii="仿宋_GB2312" w:hAnsi="Times New Roman" w:eastAsia="仿宋_GB2312" w:cs="Times New Roman"/>
          <w:sz w:val="32"/>
          <w:szCs w:val="32"/>
          <w:lang w:val="en-US" w:eastAsia="zh-CN"/>
        </w:rPr>
        <w:t>等</w:t>
      </w:r>
      <w:r>
        <w:rPr>
          <w:rFonts w:hint="eastAsia" w:ascii="仿宋_GB2312" w:hAnsi="Times New Roman" w:eastAsia="仿宋_GB2312" w:cs="Times New Roman"/>
          <w:sz w:val="32"/>
          <w:szCs w:val="32"/>
        </w:rPr>
        <w:t>路径</w:t>
      </w:r>
      <w:r>
        <w:rPr>
          <w:rFonts w:hint="eastAsia" w:ascii="仿宋_GB2312" w:hAnsi="Times New Roman" w:eastAsia="仿宋_GB2312" w:cs="Times New Roman"/>
          <w:sz w:val="32"/>
          <w:szCs w:val="32"/>
          <w:lang w:val="en-US" w:eastAsia="zh-CN"/>
        </w:rPr>
        <w:t>赋能</w:t>
      </w:r>
      <w:r>
        <w:rPr>
          <w:rFonts w:hint="eastAsia" w:ascii="仿宋_GB2312" w:hAnsi="Times New Roman" w:eastAsia="仿宋_GB2312" w:cs="Times New Roman"/>
          <w:sz w:val="32"/>
          <w:szCs w:val="32"/>
        </w:rPr>
        <w:t>乡村文化振兴。以原创艺术赋能，依托宋庄艺术创意小镇，探索艺术家驻村共创模式，推动艺术创作与乡村生活深度互嵌，构建覆盖展示、创作、生活的全链条艺术生态。以演艺经济赋能，依托台湖演艺小镇，推动演艺内容与乡村场景有机嫁接，培育田野即舞台沉浸式演艺体验。以设计思维赋能，依托张家湾设计小镇，推动红学文化、大运河文化与时尚设计跨界融合，介入乡村空间重塑。实施公共艺术扮靓乡村专项行动，推动艺术作品从室内走向公共空间，营造推窗见绿、出门见景的艺术化人居环境。</w:t>
      </w:r>
    </w:p>
    <w:p w14:paraId="212DA6E2">
      <w:pPr>
        <w:spacing w:line="56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lang w:val="en-US" w:eastAsia="zh-CN"/>
        </w:rPr>
        <w:t>培育</w:t>
      </w:r>
      <w:r>
        <w:rPr>
          <w:rFonts w:hint="eastAsia" w:ascii="仿宋_GB2312" w:hAnsi="Times New Roman" w:eastAsia="仿宋_GB2312" w:cs="Times New Roman"/>
          <w:b/>
          <w:bCs/>
          <w:sz w:val="32"/>
          <w:szCs w:val="32"/>
        </w:rPr>
        <w:t>“小而美”文旅</w:t>
      </w:r>
      <w:r>
        <w:rPr>
          <w:rFonts w:ascii="仿宋_GB2312" w:hAnsi="Times New Roman" w:eastAsia="仿宋_GB2312" w:cs="Times New Roman"/>
          <w:b/>
          <w:bCs/>
          <w:sz w:val="32"/>
          <w:szCs w:val="32"/>
        </w:rPr>
        <w:t>消费</w:t>
      </w:r>
      <w:r>
        <w:rPr>
          <w:rFonts w:hint="eastAsia" w:ascii="仿宋_GB2312" w:hAnsi="Times New Roman" w:eastAsia="仿宋_GB2312" w:cs="Times New Roman"/>
          <w:b/>
          <w:bCs/>
          <w:sz w:val="32"/>
          <w:szCs w:val="32"/>
          <w:lang w:val="en-US" w:eastAsia="zh-CN"/>
        </w:rPr>
        <w:t>新</w:t>
      </w:r>
      <w:r>
        <w:rPr>
          <w:rFonts w:ascii="仿宋_GB2312" w:hAnsi="Times New Roman" w:eastAsia="仿宋_GB2312" w:cs="Times New Roman"/>
          <w:b/>
          <w:bCs/>
          <w:sz w:val="32"/>
          <w:szCs w:val="32"/>
        </w:rPr>
        <w:t>场景</w:t>
      </w:r>
      <w:r>
        <w:rPr>
          <w:rFonts w:hint="eastAsia" w:ascii="仿宋_GB2312" w:hAnsi="Times New Roman" w:eastAsia="仿宋_GB2312" w:cs="Times New Roman"/>
          <w:b/>
          <w:bCs/>
          <w:sz w:val="32"/>
          <w:szCs w:val="32"/>
        </w:rPr>
        <w:t>。</w:t>
      </w:r>
      <w:r>
        <w:rPr>
          <w:rFonts w:hint="eastAsia" w:ascii="仿宋_GB2312" w:hAnsi="Times New Roman" w:eastAsia="仿宋_GB2312" w:cs="Times New Roman"/>
          <w:b w:val="0"/>
          <w:bCs w:val="0"/>
          <w:sz w:val="32"/>
          <w:szCs w:val="32"/>
          <w:lang w:val="en-US" w:eastAsia="zh-CN"/>
        </w:rPr>
        <w:t>深入</w:t>
      </w:r>
      <w:r>
        <w:rPr>
          <w:rFonts w:hint="eastAsia" w:ascii="仿宋_GB2312" w:hAnsi="Times New Roman" w:eastAsia="仿宋_GB2312" w:cs="Times New Roman"/>
          <w:sz w:val="32"/>
          <w:szCs w:val="32"/>
        </w:rPr>
        <w:t>推进“运河大集”提质升级，创新推出市集IP与特色农产品品牌，实现品牌化运营、特色化赋能、集群化联动。培育特色</w:t>
      </w:r>
      <w:r>
        <w:rPr>
          <w:rFonts w:hint="eastAsia" w:ascii="仿宋_GB2312" w:hAnsi="Times New Roman" w:eastAsia="仿宋_GB2312" w:cs="Times New Roman"/>
          <w:sz w:val="32"/>
          <w:szCs w:val="32"/>
          <w:lang w:val="en-US" w:eastAsia="zh-CN"/>
        </w:rPr>
        <w:t>乡村</w:t>
      </w:r>
      <w:r>
        <w:rPr>
          <w:rFonts w:hint="eastAsia" w:ascii="仿宋_GB2312" w:hAnsi="Times New Roman" w:eastAsia="仿宋_GB2312" w:cs="Times New Roman"/>
          <w:sz w:val="32"/>
          <w:szCs w:val="32"/>
        </w:rPr>
        <w:t>民宿</w:t>
      </w:r>
      <w:r>
        <w:rPr>
          <w:rFonts w:hint="eastAsia" w:ascii="仿宋_GB2312" w:hAnsi="Times New Roman" w:eastAsia="仿宋_GB2312" w:cs="Times New Roman"/>
          <w:sz w:val="32"/>
          <w:szCs w:val="32"/>
          <w:lang w:val="en-US" w:eastAsia="zh-CN"/>
        </w:rPr>
        <w:t>集群</w:t>
      </w:r>
      <w:r>
        <w:rPr>
          <w:rFonts w:hint="eastAsia" w:ascii="仿宋_GB2312" w:hAnsi="Times New Roman" w:eastAsia="仿宋_GB2312" w:cs="Times New Roman"/>
          <w:sz w:val="32"/>
          <w:szCs w:val="32"/>
        </w:rPr>
        <w:t>，打造集住宿、餐饮、体验于一体的民宿融合经济体。探索</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主理人乡村</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运营模式，引入新消费主理人参与村庄业态策划与运营，培育网红村咖、休闲露营、非遗工坊等消费新场景。延伸农业产业链价值，依托</w:t>
      </w:r>
      <w:r>
        <w:rPr>
          <w:rFonts w:hint="eastAsia" w:ascii="仿宋_GB2312" w:hAnsi="仿宋_GB2312" w:eastAsia="仿宋_GB2312" w:cs="仿宋_GB2312"/>
          <w:sz w:val="32"/>
          <w:szCs w:val="32"/>
        </w:rPr>
        <w:t>优势农产品开发农业文创产品，</w:t>
      </w:r>
      <w:r>
        <w:rPr>
          <w:rFonts w:hint="eastAsia" w:ascii="仿宋_GB2312" w:hAnsi="Times New Roman" w:eastAsia="仿宋_GB2312" w:cs="Times New Roman"/>
          <w:sz w:val="32"/>
          <w:szCs w:val="32"/>
        </w:rPr>
        <w:t>打造休闲采摘、科技农业研学等品质化乡村旅游产品</w:t>
      </w:r>
      <w:r>
        <w:rPr>
          <w:rFonts w:hint="eastAsia" w:ascii="仿宋_GB2312" w:hAnsi="Times New Roman" w:eastAsia="仿宋_GB2312" w:cs="Times New Roman"/>
          <w:sz w:val="32"/>
          <w:szCs w:val="32"/>
          <w:lang w:eastAsia="zh-CN"/>
        </w:rPr>
        <w:t>，串联民宿、生态农场、非遗工坊等节点，打造乡村旅游精品线路</w:t>
      </w:r>
      <w:r>
        <w:rPr>
          <w:rFonts w:hint="eastAsia" w:ascii="仿宋_GB2312" w:hAnsi="Times New Roman" w:eastAsia="仿宋_GB2312" w:cs="Times New Roman"/>
          <w:sz w:val="32"/>
          <w:szCs w:val="32"/>
        </w:rPr>
        <w:t>。</w:t>
      </w:r>
    </w:p>
    <w:p w14:paraId="5776ADCC">
      <w:pPr>
        <w:pStyle w:val="4"/>
        <w:spacing w:before="0" w:after="0" w:line="560" w:lineRule="exact"/>
        <w:ind w:firstLine="640" w:firstLineChars="200"/>
        <w:rPr>
          <w:rFonts w:hint="eastAsia" w:ascii="黑体" w:hAnsi="黑体" w:eastAsia="黑体"/>
          <w:color w:val="auto"/>
          <w:sz w:val="32"/>
          <w:szCs w:val="32"/>
        </w:rPr>
      </w:pPr>
      <w:bookmarkStart w:id="153" w:name="_Toc19609"/>
      <w:bookmarkStart w:id="154" w:name="_Toc20052"/>
      <w:r>
        <w:rPr>
          <w:rFonts w:hint="eastAsia" w:ascii="黑体" w:hAnsi="黑体" w:eastAsia="黑体"/>
          <w:color w:val="auto"/>
          <w:sz w:val="32"/>
          <w:szCs w:val="32"/>
        </w:rPr>
        <w:t>三、文旅+工业融合发展</w:t>
      </w:r>
      <w:bookmarkEnd w:id="153"/>
      <w:bookmarkEnd w:id="154"/>
    </w:p>
    <w:p w14:paraId="540B4A65">
      <w:pPr>
        <w:spacing w:line="560" w:lineRule="exact"/>
        <w:ind w:firstLine="643" w:firstLineChars="200"/>
        <w:rPr>
          <w:rFonts w:ascii="仿宋_GB2312" w:hAnsi="Times New Roman" w:eastAsia="仿宋_GB2312" w:cs="Times New Roman"/>
          <w:b/>
          <w:bCs/>
          <w:sz w:val="32"/>
          <w:szCs w:val="32"/>
        </w:rPr>
      </w:pPr>
      <w:r>
        <w:rPr>
          <w:rFonts w:hint="eastAsia" w:ascii="仿宋_GB2312" w:hAnsi="Times New Roman" w:eastAsia="仿宋_GB2312" w:cs="Times New Roman"/>
          <w:b/>
          <w:bCs/>
          <w:sz w:val="32"/>
          <w:szCs w:val="32"/>
          <w:lang w:val="en-US" w:eastAsia="zh-CN"/>
        </w:rPr>
        <w:t>活化利用</w:t>
      </w:r>
      <w:r>
        <w:rPr>
          <w:rFonts w:hint="eastAsia" w:ascii="仿宋_GB2312" w:hAnsi="Times New Roman" w:eastAsia="仿宋_GB2312" w:cs="Times New Roman"/>
          <w:b/>
          <w:bCs/>
          <w:sz w:val="32"/>
          <w:szCs w:val="32"/>
        </w:rPr>
        <w:t>工业遗存。</w:t>
      </w:r>
      <w:r>
        <w:rPr>
          <w:rFonts w:hint="eastAsia" w:ascii="仿宋_GB2312" w:hAnsi="Times New Roman" w:eastAsia="仿宋_GB2312" w:cs="Times New Roman"/>
          <w:sz w:val="32"/>
          <w:szCs w:val="32"/>
        </w:rPr>
        <w:t>以北京绿色技术创新服务产业园（</w:t>
      </w:r>
      <w:r>
        <w:rPr>
          <w:rFonts w:hint="eastAsia" w:ascii="仿宋_GB2312" w:hAnsi="Times New Roman" w:eastAsia="仿宋_GB2312" w:cs="Times New Roman"/>
          <w:sz w:val="32"/>
          <w:szCs w:val="32"/>
          <w:lang w:val="en-US" w:eastAsia="zh-CN"/>
        </w:rPr>
        <w:t>原北京光学仪器厂</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eastAsia="zh-CN"/>
        </w:rPr>
        <w:t>、数智北京创新中心（</w:t>
      </w:r>
      <w:r>
        <w:rPr>
          <w:rFonts w:hint="eastAsia" w:ascii="仿宋_GB2312" w:hAnsi="Times New Roman" w:eastAsia="仿宋_GB2312" w:cs="Times New Roman"/>
          <w:sz w:val="32"/>
          <w:szCs w:val="32"/>
          <w:lang w:val="en-US" w:eastAsia="zh-CN"/>
        </w:rPr>
        <w:t>原北京锻压机床厂</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等为重点，</w:t>
      </w:r>
      <w:r>
        <w:rPr>
          <w:rFonts w:hint="eastAsia" w:ascii="仿宋_GB2312" w:hAnsi="Times New Roman" w:eastAsia="仿宋_GB2312" w:cs="Times New Roman"/>
          <w:sz w:val="32"/>
          <w:szCs w:val="32"/>
          <w:highlight w:val="none"/>
        </w:rPr>
        <w:t>实施一厂一策差异化活化路径。</w:t>
      </w:r>
      <w:r>
        <w:rPr>
          <w:rFonts w:hint="eastAsia" w:ascii="仿宋_GB2312" w:hAnsi="Times New Roman" w:eastAsia="仿宋_GB2312" w:cs="Times New Roman"/>
          <w:sz w:val="32"/>
          <w:szCs w:val="32"/>
          <w:highlight w:val="none"/>
          <w:lang w:val="en-US" w:eastAsia="zh-CN"/>
        </w:rPr>
        <w:t>推动</w:t>
      </w:r>
      <w:r>
        <w:rPr>
          <w:rFonts w:hint="eastAsia" w:ascii="仿宋_GB2312" w:hAnsi="Times New Roman" w:eastAsia="仿宋_GB2312" w:cs="Times New Roman"/>
          <w:sz w:val="32"/>
          <w:szCs w:val="32"/>
        </w:rPr>
        <w:t>北京绿色技术创新服务产业园</w:t>
      </w:r>
      <w:r>
        <w:rPr>
          <w:rFonts w:hint="eastAsia" w:ascii="仿宋_GB2312" w:hAnsi="Times New Roman" w:eastAsia="仿宋_GB2312" w:cs="Times New Roman"/>
          <w:sz w:val="32"/>
          <w:szCs w:val="32"/>
          <w:highlight w:val="none"/>
        </w:rPr>
        <w:t>融合苏式建筑风貌与工业遗存肌理，植入绿色会展、文创展示、滨水消费业态，打造花园式开放文旅园区；</w:t>
      </w:r>
      <w:r>
        <w:rPr>
          <w:rFonts w:hint="eastAsia" w:ascii="仿宋_GB2312" w:hAnsi="Times New Roman" w:eastAsia="仿宋_GB2312" w:cs="Times New Roman"/>
          <w:sz w:val="32"/>
          <w:szCs w:val="32"/>
          <w:highlight w:val="none"/>
          <w:lang w:val="en-US" w:eastAsia="zh-CN"/>
        </w:rPr>
        <w:t>推动</w:t>
      </w:r>
      <w:r>
        <w:rPr>
          <w:rFonts w:hint="eastAsia" w:ascii="仿宋_GB2312" w:hAnsi="Times New Roman" w:eastAsia="仿宋_GB2312" w:cs="Times New Roman"/>
          <w:sz w:val="32"/>
          <w:szCs w:val="32"/>
          <w:highlight w:val="none"/>
        </w:rPr>
        <w:t>数智北京创新中心融入零碳智慧理念，拓展人工智能、数字建筑等科技体验场景，完善绿地休闲配套，塑造科技赋能型工业遗存标杆。</w:t>
      </w:r>
      <w:r>
        <w:rPr>
          <w:rFonts w:hint="eastAsia" w:ascii="仿宋_GB2312" w:hAnsi="Times New Roman" w:eastAsia="仿宋_GB2312" w:cs="Times New Roman"/>
          <w:sz w:val="32"/>
          <w:szCs w:val="32"/>
          <w:lang w:val="en-US" w:eastAsia="zh-CN"/>
        </w:rPr>
        <w:t>整合</w:t>
      </w:r>
      <w:r>
        <w:rPr>
          <w:rFonts w:ascii="仿宋_GB2312" w:hAnsi="Times New Roman" w:eastAsia="仿宋_GB2312" w:cs="Times New Roman"/>
          <w:sz w:val="32"/>
          <w:szCs w:val="32"/>
        </w:rPr>
        <w:t>老字号工业遗存</w:t>
      </w:r>
      <w:r>
        <w:rPr>
          <w:rFonts w:hint="eastAsia" w:ascii="仿宋_GB2312" w:hAnsi="Times New Roman" w:eastAsia="仿宋_GB2312" w:cs="Times New Roman"/>
          <w:sz w:val="32"/>
          <w:szCs w:val="32"/>
          <w:lang w:val="en-US" w:eastAsia="zh-CN"/>
        </w:rPr>
        <w:t>资源</w:t>
      </w:r>
      <w:r>
        <w:rPr>
          <w:rFonts w:ascii="仿宋_GB2312" w:hAnsi="Times New Roman" w:eastAsia="仿宋_GB2312" w:cs="Times New Roman"/>
          <w:sz w:val="32"/>
          <w:szCs w:val="32"/>
        </w:rPr>
        <w:t>，挖掘文化内涵</w:t>
      </w:r>
      <w:r>
        <w:rPr>
          <w:rFonts w:hint="eastAsia" w:ascii="仿宋_GB2312" w:hAnsi="Times New Roman" w:eastAsia="仿宋_GB2312" w:cs="Times New Roman"/>
          <w:sz w:val="32"/>
          <w:szCs w:val="32"/>
          <w:lang w:val="en-US" w:eastAsia="zh-CN"/>
        </w:rPr>
        <w:t>和工艺传承价值</w:t>
      </w:r>
      <w:r>
        <w:rPr>
          <w:rFonts w:ascii="仿宋_GB2312" w:hAnsi="Times New Roman" w:eastAsia="仿宋_GB2312" w:cs="Times New Roman"/>
          <w:sz w:val="32"/>
          <w:szCs w:val="32"/>
        </w:rPr>
        <w:t>，</w:t>
      </w:r>
      <w:r>
        <w:rPr>
          <w:rFonts w:hint="eastAsia" w:ascii="仿宋_GB2312" w:hAnsi="Times New Roman" w:eastAsia="仿宋_GB2312" w:cs="Times New Roman"/>
          <w:sz w:val="32"/>
          <w:szCs w:val="32"/>
        </w:rPr>
        <w:t>推</w:t>
      </w:r>
      <w:r>
        <w:rPr>
          <w:rFonts w:hint="eastAsia" w:ascii="仿宋_GB2312" w:hAnsi="Times New Roman" w:eastAsia="仿宋_GB2312" w:cs="Times New Roman"/>
          <w:sz w:val="32"/>
          <w:szCs w:val="32"/>
          <w:lang w:val="en-US" w:eastAsia="zh-CN"/>
        </w:rPr>
        <w:t>动</w:t>
      </w:r>
      <w:r>
        <w:rPr>
          <w:rFonts w:hint="eastAsia" w:ascii="仿宋_GB2312" w:hAnsi="Times New Roman" w:eastAsia="仿宋_GB2312" w:cs="Times New Roman"/>
          <w:sz w:val="32"/>
          <w:szCs w:val="32"/>
        </w:rPr>
        <w:t>同仁堂</w:t>
      </w:r>
      <w:r>
        <w:rPr>
          <w:rFonts w:hint="eastAsia" w:ascii="仿宋_GB2312" w:hAnsi="Times New Roman" w:eastAsia="仿宋_GB2312" w:cs="Times New Roman"/>
          <w:sz w:val="32"/>
          <w:szCs w:val="32"/>
          <w:lang w:val="en-US" w:eastAsia="zh-CN"/>
        </w:rPr>
        <w:t>打造</w:t>
      </w:r>
      <w:r>
        <w:rPr>
          <w:rFonts w:hint="eastAsia" w:ascii="仿宋_GB2312" w:hAnsi="Times New Roman" w:eastAsia="仿宋_GB2312" w:cs="Times New Roman"/>
          <w:sz w:val="32"/>
          <w:szCs w:val="32"/>
        </w:rPr>
        <w:t>养生讲堂、膏方定制体验工坊</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支持</w:t>
      </w:r>
      <w:r>
        <w:rPr>
          <w:rFonts w:hint="eastAsia" w:ascii="仿宋_GB2312" w:hAnsi="Times New Roman" w:eastAsia="仿宋_GB2312" w:cs="Times New Roman"/>
          <w:sz w:val="32"/>
          <w:szCs w:val="32"/>
        </w:rPr>
        <w:t>东方艺珍花丝镶嵌厂设立大师工作室</w:t>
      </w:r>
      <w:r>
        <w:rPr>
          <w:rFonts w:hint="eastAsia" w:ascii="仿宋_GB2312" w:hAnsi="Times New Roman" w:eastAsia="仿宋_GB2312" w:cs="Times New Roman"/>
          <w:sz w:val="32"/>
          <w:szCs w:val="32"/>
          <w:lang w:val="en-US" w:eastAsia="zh-CN"/>
        </w:rPr>
        <w:t>与</w:t>
      </w:r>
      <w:r>
        <w:rPr>
          <w:rFonts w:hint="eastAsia" w:ascii="仿宋_GB2312" w:hAnsi="Times New Roman" w:eastAsia="仿宋_GB2312" w:cs="Times New Roman"/>
          <w:sz w:val="32"/>
          <w:szCs w:val="32"/>
        </w:rPr>
        <w:t>非遗技艺演示</w:t>
      </w:r>
      <w:r>
        <w:rPr>
          <w:rFonts w:hint="eastAsia" w:ascii="仿宋_GB2312" w:hAnsi="Times New Roman" w:eastAsia="仿宋_GB2312" w:cs="Times New Roman"/>
          <w:sz w:val="32"/>
          <w:szCs w:val="32"/>
          <w:lang w:val="en-US" w:eastAsia="zh-CN"/>
        </w:rPr>
        <w:t>区，引导辖区</w:t>
      </w:r>
      <w:r>
        <w:rPr>
          <w:rFonts w:hint="eastAsia" w:ascii="仿宋_GB2312" w:hAnsi="Times New Roman" w:eastAsia="仿宋_GB2312" w:cs="Times New Roman"/>
          <w:sz w:val="32"/>
          <w:szCs w:val="32"/>
        </w:rPr>
        <w:t>食品企业</w:t>
      </w:r>
      <w:r>
        <w:rPr>
          <w:rFonts w:hint="eastAsia" w:ascii="仿宋_GB2312" w:hAnsi="Times New Roman" w:eastAsia="仿宋_GB2312" w:cs="Times New Roman"/>
          <w:sz w:val="32"/>
          <w:szCs w:val="32"/>
          <w:lang w:val="en-US" w:eastAsia="zh-CN"/>
        </w:rPr>
        <w:t>优化</w:t>
      </w:r>
      <w:r>
        <w:rPr>
          <w:rFonts w:hint="eastAsia" w:ascii="仿宋_GB2312" w:hAnsi="Times New Roman" w:eastAsia="仿宋_GB2312" w:cs="Times New Roman"/>
          <w:sz w:val="32"/>
          <w:szCs w:val="32"/>
        </w:rPr>
        <w:t>透明工厂参观</w:t>
      </w:r>
      <w:r>
        <w:rPr>
          <w:rFonts w:hint="eastAsia" w:ascii="仿宋_GB2312" w:hAnsi="Times New Roman" w:eastAsia="仿宋_GB2312" w:cs="Times New Roman"/>
          <w:sz w:val="32"/>
          <w:szCs w:val="32"/>
          <w:lang w:val="en-US" w:eastAsia="zh-CN"/>
        </w:rPr>
        <w:t>动线</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配套</w:t>
      </w:r>
      <w:r>
        <w:rPr>
          <w:rFonts w:hint="eastAsia" w:ascii="仿宋_GB2312" w:hAnsi="Times New Roman" w:eastAsia="仿宋_GB2312" w:cs="Times New Roman"/>
          <w:sz w:val="32"/>
          <w:szCs w:val="32"/>
        </w:rPr>
        <w:t>增设亲子DIY体验区</w:t>
      </w:r>
      <w:r>
        <w:rPr>
          <w:rFonts w:hint="eastAsia" w:ascii="仿宋_GB2312" w:hAnsi="Times New Roman" w:eastAsia="仿宋_GB2312" w:cs="Times New Roman"/>
          <w:sz w:val="32"/>
          <w:szCs w:val="32"/>
          <w:lang w:val="en-US" w:eastAsia="zh-CN"/>
        </w:rPr>
        <w:t>与</w:t>
      </w:r>
      <w:r>
        <w:rPr>
          <w:rFonts w:hint="eastAsia" w:ascii="仿宋_GB2312" w:hAnsi="Times New Roman" w:eastAsia="仿宋_GB2312" w:cs="Times New Roman"/>
          <w:sz w:val="32"/>
          <w:szCs w:val="32"/>
        </w:rPr>
        <w:t>品鉴中心。实施“工业遗产艺术改造”计划，植入文化展示、科技体验、创意办公、休闲消费、研学教育等多元业态，构建工业</w:t>
      </w:r>
      <w:r>
        <w:rPr>
          <w:rFonts w:hint="eastAsia" w:ascii="仿宋_GB2312" w:hAnsi="Times New Roman" w:eastAsia="仿宋_GB2312" w:cs="Times New Roman"/>
          <w:sz w:val="32"/>
          <w:szCs w:val="32"/>
          <w:lang w:val="en-US" w:eastAsia="zh-CN"/>
        </w:rPr>
        <w:t>遗存</w:t>
      </w:r>
      <w:r>
        <w:rPr>
          <w:rFonts w:hint="eastAsia" w:ascii="仿宋_GB2312" w:hAnsi="Times New Roman" w:eastAsia="仿宋_GB2312" w:cs="Times New Roman"/>
          <w:sz w:val="32"/>
          <w:szCs w:val="32"/>
        </w:rPr>
        <w:t>文旅融合</w:t>
      </w:r>
      <w:r>
        <w:rPr>
          <w:rFonts w:hint="eastAsia" w:ascii="仿宋_GB2312" w:hAnsi="Times New Roman" w:eastAsia="仿宋_GB2312" w:cs="Times New Roman"/>
          <w:sz w:val="32"/>
          <w:szCs w:val="32"/>
          <w:lang w:val="en-US" w:eastAsia="zh-CN"/>
        </w:rPr>
        <w:t>发展</w:t>
      </w:r>
      <w:r>
        <w:rPr>
          <w:rFonts w:hint="eastAsia" w:ascii="仿宋_GB2312" w:hAnsi="Times New Roman" w:eastAsia="仿宋_GB2312" w:cs="Times New Roman"/>
          <w:sz w:val="32"/>
          <w:szCs w:val="32"/>
        </w:rPr>
        <w:t>集群</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实现工业记忆可阅读、场景可感知、消费可体验</w:t>
      </w:r>
      <w:r>
        <w:rPr>
          <w:rFonts w:hint="eastAsia" w:ascii="仿宋_GB2312" w:hAnsi="Times New Roman" w:eastAsia="仿宋_GB2312" w:cs="Times New Roman"/>
          <w:sz w:val="32"/>
          <w:szCs w:val="32"/>
        </w:rPr>
        <w:t>。</w:t>
      </w:r>
    </w:p>
    <w:p w14:paraId="7E8CBA95">
      <w:pPr>
        <w:spacing w:line="56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lang w:val="en-US" w:eastAsia="zh-CN"/>
        </w:rPr>
        <w:t>发展</w:t>
      </w:r>
      <w:r>
        <w:rPr>
          <w:rFonts w:hint="eastAsia" w:ascii="仿宋_GB2312" w:hAnsi="Times New Roman" w:eastAsia="仿宋_GB2312" w:cs="Times New Roman"/>
          <w:b/>
          <w:bCs/>
          <w:sz w:val="32"/>
          <w:szCs w:val="32"/>
        </w:rPr>
        <w:t>智造工业旅游。</w:t>
      </w:r>
      <w:r>
        <w:rPr>
          <w:rFonts w:hint="eastAsia" w:ascii="仿宋_GB2312" w:hAnsi="Times New Roman" w:eastAsia="仿宋_GB2312" w:cs="Times New Roman"/>
          <w:sz w:val="32"/>
          <w:szCs w:val="32"/>
        </w:rPr>
        <w:t>依托智能制造产业集群，支持新能源智能网联汽车、生物医药、集成电路、高端医疗器械等领域龙头企业打造沉浸式工业研学项目</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推动生产场景文旅化、科普化</w:t>
      </w:r>
      <w:r>
        <w:rPr>
          <w:rFonts w:hint="eastAsia" w:ascii="仿宋_GB2312" w:hAnsi="Times New Roman" w:eastAsia="仿宋_GB2312" w:cs="Times New Roman"/>
          <w:sz w:val="32"/>
          <w:szCs w:val="32"/>
          <w:lang w:val="en-US" w:eastAsia="zh-CN"/>
        </w:rPr>
        <w:t>改造</w:t>
      </w:r>
      <w:r>
        <w:rPr>
          <w:rFonts w:hint="eastAsia" w:ascii="仿宋_GB2312" w:hAnsi="Times New Roman" w:eastAsia="仿宋_GB2312" w:cs="Times New Roman"/>
          <w:sz w:val="32"/>
          <w:szCs w:val="32"/>
        </w:rPr>
        <w:t>，设计透明工厂参观通道，配套建设企业品牌博物馆</w:t>
      </w:r>
      <w:r>
        <w:rPr>
          <w:rFonts w:hint="eastAsia" w:ascii="仿宋_GB2312" w:hAnsi="Times New Roman" w:eastAsia="仿宋_GB2312" w:cs="Times New Roman"/>
          <w:sz w:val="32"/>
          <w:szCs w:val="32"/>
          <w:lang w:val="en-US" w:eastAsia="zh-CN"/>
        </w:rPr>
        <w:t>与智能制造</w:t>
      </w:r>
      <w:r>
        <w:rPr>
          <w:rFonts w:hint="eastAsia" w:ascii="仿宋_GB2312" w:hAnsi="Times New Roman" w:eastAsia="仿宋_GB2312" w:cs="Times New Roman"/>
          <w:sz w:val="32"/>
          <w:szCs w:val="32"/>
        </w:rPr>
        <w:t>体验中心，</w:t>
      </w:r>
      <w:r>
        <w:rPr>
          <w:rFonts w:hint="eastAsia" w:ascii="仿宋_GB2312" w:hAnsi="Times New Roman" w:eastAsia="仿宋_GB2312" w:cs="Times New Roman"/>
          <w:sz w:val="32"/>
          <w:szCs w:val="32"/>
          <w:lang w:val="en-US" w:eastAsia="zh-CN"/>
        </w:rPr>
        <w:t>合理设计</w:t>
      </w:r>
      <w:r>
        <w:rPr>
          <w:rFonts w:hint="eastAsia" w:ascii="仿宋_GB2312" w:hAnsi="Times New Roman" w:eastAsia="仿宋_GB2312" w:cs="Times New Roman"/>
          <w:sz w:val="32"/>
          <w:szCs w:val="32"/>
        </w:rPr>
        <w:t>研学课程</w:t>
      </w:r>
      <w:r>
        <w:rPr>
          <w:rFonts w:hint="eastAsia" w:ascii="仿宋_GB2312" w:hAnsi="Times New Roman" w:eastAsia="仿宋_GB2312" w:cs="Times New Roman"/>
          <w:sz w:val="32"/>
          <w:szCs w:val="32"/>
          <w:lang w:val="en-US" w:eastAsia="zh-CN"/>
        </w:rPr>
        <w:t>体系</w:t>
      </w:r>
      <w:r>
        <w:rPr>
          <w:rFonts w:hint="eastAsia" w:ascii="仿宋_GB2312" w:hAnsi="Times New Roman" w:eastAsia="仿宋_GB2312" w:cs="Times New Roman"/>
          <w:sz w:val="32"/>
          <w:szCs w:val="32"/>
        </w:rPr>
        <w:t>。开发科技创新、精密制造、品质生活等主题体验线路，展现</w:t>
      </w:r>
      <w:r>
        <w:rPr>
          <w:rFonts w:hint="eastAsia" w:ascii="仿宋_GB2312" w:hAnsi="Times New Roman" w:eastAsia="仿宋_GB2312" w:cs="Times New Roman"/>
          <w:sz w:val="32"/>
          <w:szCs w:val="32"/>
          <w:lang w:val="en-US" w:eastAsia="zh-CN"/>
        </w:rPr>
        <w:t>北京城市</w:t>
      </w:r>
      <w:r>
        <w:rPr>
          <w:rFonts w:hint="eastAsia" w:ascii="仿宋_GB2312" w:hAnsi="Times New Roman" w:eastAsia="仿宋_GB2312" w:cs="Times New Roman"/>
          <w:sz w:val="32"/>
          <w:szCs w:val="32"/>
        </w:rPr>
        <w:t>副中心先进制造新高度与产业升级新面貌。</w:t>
      </w:r>
    </w:p>
    <w:p w14:paraId="019D5B92">
      <w:pPr>
        <w:pStyle w:val="4"/>
        <w:spacing w:before="0" w:after="0" w:line="560" w:lineRule="exact"/>
        <w:ind w:firstLine="640" w:firstLineChars="200"/>
        <w:rPr>
          <w:rFonts w:hint="eastAsia" w:ascii="黑体" w:hAnsi="黑体" w:eastAsia="黑体"/>
          <w:color w:val="auto"/>
          <w:sz w:val="32"/>
          <w:szCs w:val="32"/>
        </w:rPr>
      </w:pPr>
      <w:bookmarkStart w:id="155" w:name="_Toc32030"/>
      <w:bookmarkStart w:id="156" w:name="_Toc9978"/>
      <w:r>
        <w:rPr>
          <w:rFonts w:hint="eastAsia" w:ascii="黑体" w:hAnsi="黑体" w:eastAsia="黑体"/>
          <w:color w:val="auto"/>
          <w:sz w:val="32"/>
          <w:szCs w:val="32"/>
        </w:rPr>
        <w:t>四、文旅+研学融合发展</w:t>
      </w:r>
      <w:bookmarkEnd w:id="155"/>
      <w:bookmarkEnd w:id="156"/>
    </w:p>
    <w:p w14:paraId="4702C11A">
      <w:pPr>
        <w:spacing w:line="56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构建“运河上的课堂”研学旅游产品体系。</w:t>
      </w:r>
      <w:r>
        <w:rPr>
          <w:rFonts w:hint="eastAsia" w:ascii="仿宋_GB2312" w:hAnsi="Times New Roman" w:eastAsia="仿宋_GB2312" w:cs="Times New Roman"/>
          <w:sz w:val="32"/>
          <w:szCs w:val="32"/>
        </w:rPr>
        <w:t>深度挖掘通州文化遗产与现代资源，打造运河文化沉浸式研学、科技未来AI启蒙研学、艺术创意跨界实践研学等主题产品。创新运用AR/VR沉浸、数字孪生、AI智能导学等技术手段，推动研学从参观打卡向深度实践转变。加强分众化课程设计，构建覆盖</w:t>
      </w:r>
      <w:r>
        <w:rPr>
          <w:rFonts w:hint="eastAsia" w:ascii="仿宋_GB2312" w:hAnsi="Times New Roman" w:eastAsia="仿宋_GB2312" w:cs="Times New Roman"/>
          <w:sz w:val="32"/>
          <w:szCs w:val="32"/>
          <w:lang w:val="en-US" w:eastAsia="zh-CN"/>
        </w:rPr>
        <w:t>不同人群</w:t>
      </w:r>
      <w:r>
        <w:rPr>
          <w:rFonts w:hint="eastAsia" w:ascii="仿宋_GB2312" w:hAnsi="Times New Roman" w:eastAsia="仿宋_GB2312" w:cs="Times New Roman"/>
          <w:sz w:val="32"/>
          <w:szCs w:val="32"/>
        </w:rPr>
        <w:t>的研学市场体系。</w:t>
      </w:r>
    </w:p>
    <w:p w14:paraId="08F1BCD5">
      <w:pPr>
        <w:spacing w:line="56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rPr>
        <w:t>推</w:t>
      </w:r>
      <w:r>
        <w:rPr>
          <w:rFonts w:hint="eastAsia" w:ascii="仿宋_GB2312" w:hAnsi="Times New Roman" w:eastAsia="仿宋_GB2312" w:cs="Times New Roman"/>
          <w:b/>
          <w:bCs/>
          <w:sz w:val="32"/>
          <w:szCs w:val="32"/>
          <w:lang w:val="en-US" w:eastAsia="zh-CN"/>
        </w:rPr>
        <w:t>进</w:t>
      </w:r>
      <w:r>
        <w:rPr>
          <w:rFonts w:hint="eastAsia" w:ascii="仿宋_GB2312" w:hAnsi="Times New Roman" w:eastAsia="仿宋_GB2312" w:cs="Times New Roman"/>
          <w:b/>
          <w:bCs/>
          <w:sz w:val="32"/>
          <w:szCs w:val="32"/>
        </w:rPr>
        <w:t>研学旅游基地品牌化发展。</w:t>
      </w:r>
      <w:r>
        <w:rPr>
          <w:rFonts w:hint="eastAsia" w:ascii="仿宋_GB2312" w:hAnsi="Times New Roman" w:eastAsia="仿宋_GB2312" w:cs="Times New Roman"/>
          <w:sz w:val="32"/>
          <w:szCs w:val="32"/>
        </w:rPr>
        <w:t>鼓励北京（通州）大运河文化旅游景区、</w:t>
      </w:r>
      <w:r>
        <w:rPr>
          <w:rFonts w:hint="eastAsia" w:ascii="仿宋_GB2312" w:hAnsi="Times New Roman" w:eastAsia="仿宋_GB2312" w:cs="Times New Roman"/>
          <w:sz w:val="32"/>
          <w:szCs w:val="32"/>
          <w:lang w:val="en-US" w:eastAsia="zh-CN"/>
        </w:rPr>
        <w:t>北京大运河博物馆、北京城市图书馆、北京艺术中心</w:t>
      </w:r>
      <w:r>
        <w:rPr>
          <w:rFonts w:hint="eastAsia" w:ascii="仿宋_GB2312" w:hAnsi="Times New Roman" w:eastAsia="仿宋_GB2312" w:cs="Times New Roman"/>
          <w:sz w:val="32"/>
          <w:szCs w:val="32"/>
        </w:rPr>
        <w:t>等创建国家级或市级研学基地（营地）</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构建层级合理的多元研学旅游基地体系</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依托已挂牌的“国际游学</w:t>
      </w:r>
      <w:r>
        <w:rPr>
          <w:rFonts w:hint="eastAsia" w:ascii="仿宋_GB2312" w:hAnsi="Times New Roman" w:eastAsia="仿宋_GB2312" w:cs="Times New Roman"/>
          <w:sz w:val="32"/>
          <w:szCs w:val="32"/>
          <w:lang w:val="en-US" w:eastAsia="zh-CN"/>
        </w:rPr>
        <w:t>共建</w:t>
      </w:r>
      <w:r>
        <w:rPr>
          <w:rFonts w:hint="eastAsia" w:ascii="仿宋_GB2312" w:hAnsi="Times New Roman" w:eastAsia="仿宋_GB2312" w:cs="Times New Roman"/>
          <w:sz w:val="32"/>
          <w:szCs w:val="32"/>
        </w:rPr>
        <w:t>基地”，开发多语种、多主题的中华文化</w:t>
      </w:r>
      <w:r>
        <w:rPr>
          <w:rFonts w:hint="eastAsia" w:ascii="仿宋_GB2312" w:hAnsi="Times New Roman" w:eastAsia="仿宋_GB2312" w:cs="Times New Roman"/>
          <w:sz w:val="32"/>
          <w:szCs w:val="32"/>
          <w:lang w:val="en-US" w:eastAsia="zh-CN"/>
        </w:rPr>
        <w:t>研学</w:t>
      </w:r>
      <w:r>
        <w:rPr>
          <w:rFonts w:hint="eastAsia" w:ascii="仿宋_GB2312" w:hAnsi="Times New Roman" w:eastAsia="仿宋_GB2312" w:cs="Times New Roman"/>
          <w:sz w:val="32"/>
          <w:szCs w:val="32"/>
        </w:rPr>
        <w:t>课程，拓展入境青少年研学市场。</w:t>
      </w:r>
    </w:p>
    <w:p w14:paraId="087F72DE">
      <w:pPr>
        <w:spacing w:line="56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Times New Roman"/>
          <w:b/>
          <w:bCs/>
          <w:sz w:val="32"/>
          <w:szCs w:val="32"/>
          <w:lang w:val="en-US" w:eastAsia="zh-CN"/>
        </w:rPr>
        <w:t>优化</w:t>
      </w:r>
      <w:r>
        <w:rPr>
          <w:rFonts w:hint="eastAsia" w:ascii="仿宋_GB2312" w:hAnsi="Times New Roman" w:eastAsia="仿宋_GB2312" w:cs="Times New Roman"/>
          <w:b/>
          <w:bCs/>
          <w:sz w:val="32"/>
          <w:szCs w:val="32"/>
        </w:rPr>
        <w:t>研学旅游产业</w:t>
      </w:r>
      <w:r>
        <w:rPr>
          <w:rFonts w:hint="eastAsia" w:ascii="仿宋_GB2312" w:hAnsi="Times New Roman" w:eastAsia="仿宋_GB2312" w:cs="Times New Roman"/>
          <w:b/>
          <w:bCs/>
          <w:sz w:val="32"/>
          <w:szCs w:val="32"/>
          <w:lang w:val="en-US" w:eastAsia="zh-CN"/>
        </w:rPr>
        <w:t>生态</w:t>
      </w:r>
      <w:r>
        <w:rPr>
          <w:rFonts w:hint="eastAsia" w:ascii="仿宋_GB2312" w:hAnsi="Times New Roman" w:eastAsia="仿宋_GB2312" w:cs="Times New Roman"/>
          <w:b/>
          <w:bCs/>
          <w:sz w:val="32"/>
          <w:szCs w:val="32"/>
        </w:rPr>
        <w:t>。</w:t>
      </w:r>
      <w:r>
        <w:rPr>
          <w:rFonts w:hint="eastAsia" w:ascii="仿宋_GB2312" w:hAnsi="Times New Roman" w:eastAsia="仿宋_GB2312" w:cs="Times New Roman"/>
          <w:sz w:val="32"/>
          <w:szCs w:val="32"/>
        </w:rPr>
        <w:t>出台研学旅游发展扶持政策</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制定涵盖导师资质、课程质量、安全保障、交通住宿等环节</w:t>
      </w:r>
      <w:r>
        <w:rPr>
          <w:rFonts w:hint="eastAsia" w:ascii="仿宋_GB2312" w:hAnsi="Times New Roman" w:eastAsia="仿宋_GB2312" w:cs="Times New Roman"/>
          <w:sz w:val="32"/>
          <w:szCs w:val="32"/>
          <w:lang w:val="en-US" w:eastAsia="zh-CN"/>
        </w:rPr>
        <w:t>的服务标准</w:t>
      </w:r>
      <w:r>
        <w:rPr>
          <w:rFonts w:hint="eastAsia" w:ascii="仿宋_GB2312" w:hAnsi="Times New Roman" w:eastAsia="仿宋_GB2312" w:cs="Times New Roman"/>
          <w:sz w:val="32"/>
          <w:szCs w:val="32"/>
        </w:rPr>
        <w:t>。充分发挥</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运河上的通州</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rPr>
        <w:t>文商旅体</w:t>
      </w:r>
      <w:r>
        <w:rPr>
          <w:rFonts w:hint="eastAsia" w:ascii="仿宋_GB2312" w:hAnsi="Times New Roman" w:eastAsia="仿宋_GB2312" w:cs="Times New Roman"/>
          <w:sz w:val="32"/>
          <w:szCs w:val="32"/>
          <w:lang w:val="en-US" w:eastAsia="zh-CN"/>
        </w:rPr>
        <w:t>农</w:t>
      </w:r>
      <w:r>
        <w:rPr>
          <w:rFonts w:hint="eastAsia" w:ascii="仿宋_GB2312" w:hAnsi="Times New Roman" w:eastAsia="仿宋_GB2312" w:cs="Times New Roman"/>
          <w:sz w:val="32"/>
          <w:szCs w:val="32"/>
        </w:rPr>
        <w:t>共创联盟</w:t>
      </w:r>
      <w:r>
        <w:rPr>
          <w:rFonts w:hint="eastAsia" w:ascii="仿宋_GB2312" w:hAnsi="Times New Roman" w:eastAsia="仿宋_GB2312" w:cs="Times New Roman"/>
          <w:sz w:val="32"/>
          <w:szCs w:val="32"/>
          <w:lang w:val="en-US" w:eastAsia="zh-CN"/>
        </w:rPr>
        <w:t>协同</w:t>
      </w:r>
      <w:r>
        <w:rPr>
          <w:rFonts w:hint="eastAsia" w:ascii="仿宋_GB2312" w:hAnsi="Times New Roman" w:eastAsia="仿宋_GB2312" w:cs="Times New Roman"/>
          <w:sz w:val="32"/>
          <w:szCs w:val="32"/>
        </w:rPr>
        <w:t>作用，推动景区、酒店、农业园区、</w:t>
      </w:r>
      <w:r>
        <w:rPr>
          <w:rFonts w:hint="eastAsia" w:ascii="仿宋_GB2312" w:hAnsi="Times New Roman" w:eastAsia="仿宋_GB2312" w:cs="Times New Roman"/>
          <w:sz w:val="32"/>
          <w:szCs w:val="32"/>
          <w:lang w:val="en-US" w:eastAsia="zh-CN"/>
        </w:rPr>
        <w:t>研学</w:t>
      </w:r>
      <w:r>
        <w:rPr>
          <w:rFonts w:hint="eastAsia" w:ascii="仿宋_GB2312" w:hAnsi="Times New Roman" w:eastAsia="仿宋_GB2312" w:cs="Times New Roman"/>
          <w:sz w:val="32"/>
          <w:szCs w:val="32"/>
        </w:rPr>
        <w:t>机构之间的资源整合与利益共享。</w:t>
      </w:r>
      <w:r>
        <w:rPr>
          <w:rFonts w:ascii="仿宋_GB2312" w:hAnsi="Times New Roman" w:eastAsia="仿宋_GB2312" w:cs="Times New Roman"/>
          <w:sz w:val="32"/>
          <w:szCs w:val="32"/>
        </w:rPr>
        <w:t>建立全流程监管评价机制，引入家校评价</w:t>
      </w:r>
      <w:r>
        <w:rPr>
          <w:rFonts w:hint="eastAsia" w:ascii="仿宋_GB2312" w:hAnsi="Times New Roman" w:eastAsia="仿宋_GB2312" w:cs="Times New Roman"/>
          <w:sz w:val="32"/>
          <w:szCs w:val="32"/>
          <w:lang w:val="en-US" w:eastAsia="zh-CN"/>
        </w:rPr>
        <w:t>体系，持续</w:t>
      </w:r>
      <w:r>
        <w:rPr>
          <w:rFonts w:ascii="仿宋_GB2312" w:hAnsi="Times New Roman" w:eastAsia="仿宋_GB2312" w:cs="Times New Roman"/>
          <w:sz w:val="32"/>
          <w:szCs w:val="32"/>
        </w:rPr>
        <w:t>优化研学</w:t>
      </w:r>
      <w:r>
        <w:rPr>
          <w:rFonts w:hint="eastAsia" w:ascii="仿宋_GB2312" w:hAnsi="Times New Roman" w:eastAsia="仿宋_GB2312" w:cs="Times New Roman"/>
          <w:sz w:val="32"/>
          <w:szCs w:val="32"/>
        </w:rPr>
        <w:t>旅游</w:t>
      </w:r>
      <w:r>
        <w:rPr>
          <w:rFonts w:ascii="仿宋_GB2312" w:hAnsi="Times New Roman" w:eastAsia="仿宋_GB2312" w:cs="Times New Roman"/>
          <w:sz w:val="32"/>
          <w:szCs w:val="32"/>
        </w:rPr>
        <w:t>品质。</w:t>
      </w:r>
    </w:p>
    <w:p w14:paraId="75E90C20">
      <w:pPr>
        <w:pStyle w:val="4"/>
        <w:spacing w:before="0" w:after="0" w:line="560" w:lineRule="exact"/>
        <w:ind w:firstLine="640" w:firstLineChars="200"/>
        <w:rPr>
          <w:rFonts w:hint="eastAsia" w:ascii="黑体" w:hAnsi="黑体" w:eastAsia="黑体"/>
          <w:color w:val="auto"/>
          <w:sz w:val="32"/>
          <w:szCs w:val="32"/>
        </w:rPr>
      </w:pPr>
      <w:bookmarkStart w:id="157" w:name="_Toc28408"/>
      <w:bookmarkStart w:id="158" w:name="_Toc16281"/>
      <w:bookmarkStart w:id="159" w:name="_Toc3851"/>
      <w:bookmarkStart w:id="160" w:name="_Toc13519"/>
      <w:r>
        <w:rPr>
          <w:rFonts w:hint="eastAsia" w:ascii="黑体" w:hAnsi="黑体" w:eastAsia="黑体"/>
          <w:color w:val="auto"/>
          <w:sz w:val="32"/>
          <w:szCs w:val="32"/>
        </w:rPr>
        <w:t>五、文旅+生态融合发展</w:t>
      </w:r>
      <w:bookmarkEnd w:id="157"/>
      <w:bookmarkEnd w:id="158"/>
    </w:p>
    <w:p w14:paraId="728F4ACB">
      <w:pPr>
        <w:spacing w:line="560" w:lineRule="exact"/>
        <w:ind w:firstLine="643" w:firstLineChars="200"/>
        <w:rPr>
          <w:rFonts w:hint="eastAsia" w:ascii="仿宋_GB2312" w:hAnsi="仿宋_GB2312" w:eastAsia="仿宋_GB2312" w:cs="仿宋_GB2312"/>
          <w:sz w:val="32"/>
          <w:szCs w:val="32"/>
          <w:lang w:eastAsia="zh-CN"/>
        </w:rPr>
      </w:pPr>
      <w:r>
        <w:rPr>
          <w:rFonts w:hint="eastAsia" w:ascii="仿宋_GB2312" w:hAnsi="Times New Roman" w:eastAsia="仿宋_GB2312" w:cs="Times New Roman"/>
          <w:b/>
          <w:bCs/>
          <w:sz w:val="32"/>
          <w:szCs w:val="32"/>
        </w:rPr>
        <w:t>打通</w:t>
      </w:r>
      <w:r>
        <w:rPr>
          <w:rFonts w:hint="eastAsia" w:ascii="仿宋_GB2312" w:hAnsi="Times New Roman" w:eastAsia="仿宋_GB2312" w:cs="Times New Roman"/>
          <w:b/>
          <w:bCs/>
          <w:sz w:val="32"/>
          <w:szCs w:val="32"/>
          <w:lang w:val="en-US" w:eastAsia="zh-CN"/>
        </w:rPr>
        <w:t>北京城市</w:t>
      </w:r>
      <w:r>
        <w:rPr>
          <w:rFonts w:hint="eastAsia" w:ascii="仿宋_GB2312" w:hAnsi="Times New Roman" w:eastAsia="仿宋_GB2312" w:cs="Times New Roman"/>
          <w:b/>
          <w:bCs/>
          <w:sz w:val="32"/>
          <w:szCs w:val="32"/>
        </w:rPr>
        <w:t>副中心绿色脉络。</w:t>
      </w:r>
      <w:r>
        <w:rPr>
          <w:rFonts w:hint="eastAsia" w:ascii="仿宋_GB2312" w:hAnsi="Times New Roman" w:eastAsia="仿宋_GB2312" w:cs="Times New Roman"/>
          <w:sz w:val="32"/>
          <w:szCs w:val="32"/>
          <w:lang w:val="en-US" w:eastAsia="zh-CN"/>
        </w:rPr>
        <w:t>以“</w:t>
      </w:r>
      <w:r>
        <w:rPr>
          <w:rFonts w:hint="eastAsia" w:ascii="仿宋_GB2312" w:hAnsi="Times New Roman" w:eastAsia="仿宋_GB2312" w:cs="Times New Roman"/>
          <w:sz w:val="32"/>
          <w:szCs w:val="32"/>
        </w:rPr>
        <w:t>无界</w:t>
      </w:r>
      <w:r>
        <w:rPr>
          <w:rFonts w:hint="eastAsia" w:ascii="仿宋_GB2312" w:hAnsi="Times New Roman" w:eastAsia="仿宋_GB2312" w:cs="Times New Roman"/>
          <w:sz w:val="32"/>
          <w:szCs w:val="32"/>
          <w:lang w:val="en-US" w:eastAsia="zh-CN"/>
        </w:rPr>
        <w:t>融城”理念重塑通州区绿色基底</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推动</w:t>
      </w:r>
      <w:r>
        <w:rPr>
          <w:rFonts w:hint="eastAsia" w:ascii="仿宋_GB2312" w:hAnsi="Times New Roman" w:eastAsia="仿宋_GB2312" w:cs="Times New Roman"/>
          <w:sz w:val="32"/>
          <w:szCs w:val="32"/>
        </w:rPr>
        <w:t>公园与城市街区、滨水空间</w:t>
      </w:r>
      <w:r>
        <w:rPr>
          <w:rFonts w:hint="eastAsia" w:ascii="仿宋_GB2312" w:hAnsi="Times New Roman" w:eastAsia="仿宋_GB2312" w:cs="Times New Roman"/>
          <w:sz w:val="32"/>
          <w:szCs w:val="32"/>
          <w:lang w:val="en-US" w:eastAsia="zh-CN"/>
        </w:rPr>
        <w:t>有机</w:t>
      </w:r>
      <w:r>
        <w:rPr>
          <w:rFonts w:hint="eastAsia" w:ascii="仿宋_GB2312" w:hAnsi="Times New Roman" w:eastAsia="仿宋_GB2312" w:cs="Times New Roman"/>
          <w:sz w:val="32"/>
          <w:szCs w:val="32"/>
        </w:rPr>
        <w:t>融合。</w:t>
      </w:r>
      <w:r>
        <w:rPr>
          <w:rFonts w:hint="eastAsia" w:ascii="仿宋_GB2312" w:hAnsi="Times New Roman" w:eastAsia="仿宋_GB2312" w:cs="Times New Roman"/>
          <w:sz w:val="32"/>
          <w:szCs w:val="32"/>
          <w:lang w:val="en-US" w:eastAsia="zh-CN"/>
        </w:rPr>
        <w:t>全域统筹推进</w:t>
      </w:r>
      <w:r>
        <w:rPr>
          <w:rFonts w:hint="eastAsia" w:ascii="仿宋_GB2312" w:hAnsi="Times New Roman" w:eastAsia="仿宋_GB2312" w:cs="Times New Roman"/>
          <w:sz w:val="32"/>
          <w:szCs w:val="32"/>
        </w:rPr>
        <w:t>花海</w:t>
      </w:r>
      <w:r>
        <w:rPr>
          <w:rFonts w:hint="eastAsia" w:ascii="仿宋_GB2312" w:hAnsi="Times New Roman" w:eastAsia="仿宋_GB2312" w:cs="Times New Roman"/>
          <w:sz w:val="32"/>
          <w:szCs w:val="32"/>
          <w:lang w:val="en-US" w:eastAsia="zh-CN"/>
        </w:rPr>
        <w:t>景观营造，遍植特色花植，编织多廊道、多节点的花漾景观网络</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精心</w:t>
      </w:r>
      <w:r>
        <w:rPr>
          <w:rFonts w:hint="eastAsia" w:ascii="仿宋_GB2312" w:hAnsi="Times New Roman" w:eastAsia="仿宋_GB2312" w:cs="Times New Roman"/>
          <w:sz w:val="32"/>
          <w:szCs w:val="32"/>
        </w:rPr>
        <w:t>打造“花漾通州”品牌</w:t>
      </w:r>
      <w:r>
        <w:rPr>
          <w:rFonts w:hint="eastAsia" w:ascii="仿宋_GB2312" w:hAnsi="Times New Roman" w:eastAsia="仿宋_GB2312" w:cs="Times New Roman"/>
          <w:sz w:val="32"/>
          <w:szCs w:val="32"/>
          <w:lang w:eastAsia="zh-CN"/>
        </w:rPr>
        <w:t>，构建季相分明、色彩斑斓的全域花海盛景</w:t>
      </w:r>
      <w:r>
        <w:rPr>
          <w:rFonts w:hint="eastAsia" w:ascii="仿宋_GB2312" w:hAnsi="Times New Roman" w:eastAsia="仿宋_GB2312" w:cs="Times New Roman"/>
          <w:sz w:val="32"/>
          <w:szCs w:val="32"/>
        </w:rPr>
        <w:t>。</w:t>
      </w:r>
      <w:r>
        <w:rPr>
          <w:rFonts w:hint="eastAsia" w:ascii="仿宋_GB2312" w:hAnsi="仿宋_GB2312" w:eastAsia="仿宋_GB2312" w:cs="仿宋_GB2312"/>
          <w:sz w:val="32"/>
          <w:szCs w:val="32"/>
        </w:rPr>
        <w:t>全面</w:t>
      </w:r>
      <w:r>
        <w:rPr>
          <w:rFonts w:hint="eastAsia" w:ascii="仿宋_GB2312" w:hAnsi="仿宋_GB2312" w:eastAsia="仿宋_GB2312" w:cs="仿宋_GB2312"/>
          <w:sz w:val="32"/>
          <w:szCs w:val="32"/>
          <w:lang w:val="en-US" w:eastAsia="zh-CN"/>
        </w:rPr>
        <w:t>深化</w:t>
      </w:r>
      <w:r>
        <w:rPr>
          <w:rFonts w:hint="eastAsia" w:ascii="仿宋_GB2312" w:hAnsi="仿宋_GB2312" w:eastAsia="仿宋_GB2312" w:cs="仿宋_GB2312"/>
          <w:sz w:val="32"/>
          <w:szCs w:val="32"/>
        </w:rPr>
        <w:t>绿色发展</w:t>
      </w:r>
      <w:r>
        <w:rPr>
          <w:rFonts w:hint="eastAsia" w:ascii="仿宋_GB2312" w:hAnsi="仿宋_GB2312" w:eastAsia="仿宋_GB2312" w:cs="仿宋_GB2312"/>
          <w:sz w:val="32"/>
          <w:szCs w:val="32"/>
          <w:lang w:val="en-US" w:eastAsia="zh-CN"/>
        </w:rPr>
        <w:t>全民行动</w:t>
      </w:r>
      <w:r>
        <w:rPr>
          <w:rFonts w:hint="eastAsia" w:ascii="仿宋_GB2312" w:hAnsi="仿宋_GB2312" w:eastAsia="仿宋_GB2312" w:cs="仿宋_GB2312"/>
          <w:sz w:val="32"/>
          <w:szCs w:val="32"/>
        </w:rPr>
        <w:t>，建成一批绿色文化教育实践基地</w:t>
      </w:r>
      <w:r>
        <w:rPr>
          <w:rFonts w:hint="eastAsia" w:ascii="仿宋_GB2312" w:hAnsi="仿宋_GB2312" w:eastAsia="仿宋_GB2312" w:cs="仿宋_GB2312"/>
          <w:sz w:val="32"/>
          <w:szCs w:val="32"/>
          <w:lang w:eastAsia="zh-CN"/>
        </w:rPr>
        <w:t>。</w:t>
      </w:r>
    </w:p>
    <w:p w14:paraId="1E45A3C4">
      <w:pPr>
        <w:spacing w:line="560" w:lineRule="exact"/>
        <w:ind w:firstLine="643" w:firstLineChars="200"/>
        <w:rPr>
          <w:rFonts w:ascii="仿宋_GB2312" w:hAnsi="Times New Roman" w:eastAsia="仿宋_GB2312" w:cs="Times New Roman"/>
          <w:b/>
          <w:bCs/>
          <w:sz w:val="32"/>
          <w:szCs w:val="32"/>
          <w:highlight w:val="yellow"/>
        </w:rPr>
      </w:pPr>
      <w:r>
        <w:rPr>
          <w:rFonts w:hint="eastAsia" w:ascii="仿宋_GB2312" w:hAnsi="Times New Roman" w:eastAsia="仿宋_GB2312" w:cs="Times New Roman"/>
          <w:b/>
          <w:bCs/>
          <w:sz w:val="32"/>
          <w:szCs w:val="32"/>
          <w:lang w:val="en-US" w:eastAsia="zh-CN"/>
        </w:rPr>
        <w:t>打造标志性生态文旅地标</w:t>
      </w:r>
      <w:r>
        <w:rPr>
          <w:rFonts w:hint="eastAsia" w:ascii="仿宋_GB2312" w:hAnsi="Times New Roman" w:eastAsia="仿宋_GB2312" w:cs="Times New Roman"/>
          <w:b/>
          <w:bCs/>
          <w:sz w:val="32"/>
          <w:szCs w:val="32"/>
        </w:rPr>
        <w:t>。</w:t>
      </w:r>
      <w:r>
        <w:rPr>
          <w:rFonts w:hint="eastAsia" w:ascii="仿宋_GB2312" w:hAnsi="Times New Roman" w:eastAsia="仿宋_GB2312" w:cs="Times New Roman"/>
          <w:sz w:val="32"/>
          <w:szCs w:val="32"/>
          <w:lang w:val="en-US" w:eastAsia="zh-CN"/>
        </w:rPr>
        <w:t>分期分阶段</w:t>
      </w:r>
      <w:r>
        <w:rPr>
          <w:rFonts w:hint="eastAsia" w:ascii="仿宋_GB2312" w:hAnsi="Times New Roman" w:eastAsia="仿宋_GB2312" w:cs="Times New Roman"/>
          <w:sz w:val="32"/>
          <w:szCs w:val="32"/>
        </w:rPr>
        <w:t>推进</w:t>
      </w:r>
      <w:r>
        <w:rPr>
          <w:rFonts w:hint="eastAsia" w:ascii="仿宋_GB2312" w:hAnsi="Times New Roman" w:eastAsia="仿宋_GB2312" w:cs="Times New Roman"/>
          <w:sz w:val="32"/>
          <w:szCs w:val="32"/>
          <w:lang w:val="en-US" w:eastAsia="zh-CN"/>
        </w:rPr>
        <w:t>副中心</w:t>
      </w:r>
      <w:r>
        <w:rPr>
          <w:rFonts w:hint="eastAsia" w:ascii="仿宋_GB2312" w:hAnsi="Times New Roman" w:eastAsia="仿宋_GB2312" w:cs="Times New Roman"/>
          <w:sz w:val="32"/>
          <w:szCs w:val="32"/>
        </w:rPr>
        <w:t>六环高线公园建设，有机串联宋庄艺术区、路县故城遗址、</w:t>
      </w:r>
      <w:r>
        <w:rPr>
          <w:rFonts w:hint="eastAsia" w:ascii="仿宋_GB2312" w:hAnsi="Times New Roman" w:eastAsia="仿宋_GB2312" w:cs="Times New Roman"/>
          <w:sz w:val="32"/>
          <w:szCs w:val="32"/>
          <w:lang w:val="en-US" w:eastAsia="zh-CN"/>
        </w:rPr>
        <w:t>北京</w:t>
      </w:r>
      <w:r>
        <w:rPr>
          <w:rFonts w:hint="eastAsia" w:ascii="仿宋_GB2312" w:hAnsi="Times New Roman" w:eastAsia="仿宋_GB2312" w:cs="Times New Roman"/>
          <w:sz w:val="32"/>
          <w:szCs w:val="32"/>
        </w:rPr>
        <w:t>环球度假区等关键文旅节点，实现历史文脉、现代艺术与主题娱乐的深度融合。注重功能复合化布局，整合沿线商业街区、艺术场馆、体育公园等多元设施，通过城市天际线优化、桥下空间</w:t>
      </w:r>
      <w:r>
        <w:rPr>
          <w:rFonts w:hint="eastAsia" w:ascii="仿宋_GB2312" w:hAnsi="Times New Roman" w:eastAsia="仿宋_GB2312" w:cs="Times New Roman"/>
          <w:sz w:val="32"/>
          <w:szCs w:val="32"/>
          <w:lang w:val="en-US" w:eastAsia="zh-CN"/>
        </w:rPr>
        <w:t>活化利用</w:t>
      </w:r>
      <w:r>
        <w:rPr>
          <w:rFonts w:hint="eastAsia" w:ascii="仿宋_GB2312" w:hAnsi="Times New Roman" w:eastAsia="仿宋_GB2312" w:cs="Times New Roman"/>
          <w:sz w:val="32"/>
          <w:szCs w:val="32"/>
        </w:rPr>
        <w:t>等创新手段，打造具有标识度的</w:t>
      </w:r>
      <w:r>
        <w:rPr>
          <w:rFonts w:hint="eastAsia" w:ascii="仿宋_GB2312" w:hAnsi="Times New Roman" w:eastAsia="仿宋_GB2312" w:cs="Times New Roman"/>
          <w:sz w:val="32"/>
          <w:szCs w:val="32"/>
          <w:lang w:val="en-US" w:eastAsia="zh-CN"/>
        </w:rPr>
        <w:t>城市地标，建设成为</w:t>
      </w:r>
      <w:r>
        <w:rPr>
          <w:rFonts w:hint="eastAsia" w:ascii="仿宋_GB2312" w:hAnsi="Times New Roman" w:eastAsia="仿宋_GB2312" w:cs="Times New Roman"/>
          <w:sz w:val="32"/>
          <w:szCs w:val="32"/>
        </w:rPr>
        <w:t>功能复合、全龄友好、四季覆盖、昼夜兼顾的高品质城市公共空间。</w:t>
      </w:r>
      <w:r>
        <w:rPr>
          <w:rFonts w:hint="eastAsia" w:ascii="仿宋_GB2312" w:hAnsi="Times New Roman" w:eastAsia="仿宋_GB2312" w:cs="Times New Roman"/>
          <w:strike w:val="0"/>
          <w:sz w:val="32"/>
          <w:szCs w:val="32"/>
          <w:highlight w:val="none"/>
        </w:rPr>
        <w:t>加快潮白河国家森林公园建设，打造兼具区域科研展示、自然教育、运动休闲等功能的生态文旅</w:t>
      </w:r>
      <w:r>
        <w:rPr>
          <w:rFonts w:hint="eastAsia" w:ascii="仿宋_GB2312" w:hAnsi="Times New Roman" w:eastAsia="仿宋_GB2312" w:cs="Times New Roman"/>
          <w:strike w:val="0"/>
          <w:sz w:val="32"/>
          <w:szCs w:val="32"/>
          <w:highlight w:val="none"/>
          <w:lang w:val="en-US" w:eastAsia="zh-CN"/>
        </w:rPr>
        <w:t>目的地</w:t>
      </w:r>
      <w:r>
        <w:rPr>
          <w:rFonts w:hint="eastAsia" w:ascii="仿宋_GB2312" w:hAnsi="Times New Roman" w:eastAsia="仿宋_GB2312" w:cs="Times New Roman"/>
          <w:strike w:val="0"/>
          <w:sz w:val="32"/>
          <w:szCs w:val="32"/>
          <w:highlight w:val="none"/>
        </w:rPr>
        <w:t>。</w:t>
      </w:r>
    </w:p>
    <w:p w14:paraId="16DACFAF">
      <w:pPr>
        <w:spacing w:line="560" w:lineRule="exact"/>
        <w:ind w:firstLine="643" w:firstLineChars="200"/>
        <w:rPr>
          <w:rFonts w:ascii="仿宋_GB2312" w:hAnsi="Times New Roman" w:eastAsia="仿宋_GB2312" w:cs="Times New Roman"/>
          <w:strike/>
          <w:sz w:val="32"/>
          <w:szCs w:val="32"/>
        </w:rPr>
      </w:pPr>
      <w:r>
        <w:rPr>
          <w:rFonts w:hint="eastAsia" w:ascii="仿宋_GB2312" w:hAnsi="Times New Roman" w:eastAsia="仿宋_GB2312" w:cs="Times New Roman"/>
          <w:b/>
          <w:bCs/>
          <w:sz w:val="32"/>
          <w:szCs w:val="32"/>
        </w:rPr>
        <w:t>拓展“公园+”消费新场景。</w:t>
      </w:r>
      <w:r>
        <w:rPr>
          <w:rFonts w:hint="eastAsia" w:ascii="仿宋_GB2312" w:hAnsi="Times New Roman" w:eastAsia="仿宋_GB2312" w:cs="Times New Roman"/>
          <w:b w:val="0"/>
          <w:bCs w:val="0"/>
          <w:sz w:val="32"/>
          <w:szCs w:val="32"/>
          <w:lang w:val="en-US" w:eastAsia="zh-CN"/>
        </w:rPr>
        <w:t>深入推进公园资产</w:t>
      </w:r>
      <w:r>
        <w:rPr>
          <w:rFonts w:hint="eastAsia" w:ascii="仿宋_GB2312" w:hAnsi="Times New Roman" w:eastAsia="仿宋_GB2312" w:cs="Times New Roman"/>
          <w:sz w:val="32"/>
          <w:szCs w:val="32"/>
        </w:rPr>
        <w:t>盘活</w:t>
      </w:r>
      <w:r>
        <w:rPr>
          <w:rFonts w:hint="eastAsia" w:ascii="仿宋_GB2312" w:hAnsi="Times New Roman" w:eastAsia="仿宋_GB2312" w:cs="Times New Roman"/>
          <w:sz w:val="32"/>
          <w:szCs w:val="32"/>
          <w:lang w:val="en-US" w:eastAsia="zh-CN"/>
        </w:rPr>
        <w:t>行动</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系统梳理</w:t>
      </w:r>
      <w:r>
        <w:rPr>
          <w:rFonts w:hint="eastAsia" w:ascii="仿宋_GB2312" w:hAnsi="Times New Roman" w:eastAsia="仿宋_GB2312" w:cs="Times New Roman"/>
          <w:sz w:val="32"/>
          <w:szCs w:val="32"/>
        </w:rPr>
        <w:t>公园绿地内闲置空间与建筑，</w:t>
      </w:r>
      <w:r>
        <w:rPr>
          <w:rFonts w:hint="eastAsia" w:ascii="仿宋_GB2312" w:hAnsi="Times New Roman" w:eastAsia="仿宋_GB2312" w:cs="Times New Roman"/>
          <w:sz w:val="32"/>
          <w:szCs w:val="32"/>
          <w:lang w:val="en-US" w:eastAsia="zh-CN"/>
        </w:rPr>
        <w:t>为</w:t>
      </w:r>
      <w:r>
        <w:rPr>
          <w:rFonts w:hint="eastAsia" w:ascii="仿宋_GB2312" w:hAnsi="Times New Roman" w:eastAsia="仿宋_GB2312" w:cs="Times New Roman"/>
          <w:sz w:val="32"/>
          <w:szCs w:val="32"/>
        </w:rPr>
        <w:t>完善文体设施、商业配套</w:t>
      </w:r>
      <w:r>
        <w:rPr>
          <w:rFonts w:hint="eastAsia" w:ascii="仿宋_GB2312" w:hAnsi="Times New Roman" w:eastAsia="仿宋_GB2312" w:cs="Times New Roman"/>
          <w:sz w:val="32"/>
          <w:szCs w:val="32"/>
          <w:lang w:val="en-US" w:eastAsia="zh-CN"/>
        </w:rPr>
        <w:t>提供场景</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提升空间利用效能</w:t>
      </w:r>
      <w:r>
        <w:rPr>
          <w:rFonts w:hint="eastAsia" w:ascii="仿宋_GB2312" w:hAnsi="Times New Roman" w:eastAsia="仿宋_GB2312" w:cs="Times New Roman"/>
          <w:sz w:val="32"/>
          <w:szCs w:val="32"/>
          <w:lang w:eastAsia="zh-CN"/>
        </w:rPr>
        <w:t>。</w:t>
      </w:r>
      <w:r>
        <w:rPr>
          <w:rFonts w:hint="eastAsia" w:ascii="仿宋_GB2312" w:hAnsi="Times New Roman" w:eastAsia="仿宋_GB2312" w:cs="Times New Roman"/>
          <w:sz w:val="32"/>
          <w:szCs w:val="32"/>
          <w:lang w:val="en-US" w:eastAsia="zh-CN"/>
        </w:rPr>
        <w:t>支持</w:t>
      </w:r>
      <w:r>
        <w:rPr>
          <w:rFonts w:hint="eastAsia" w:ascii="仿宋_GB2312" w:hAnsi="Times New Roman" w:eastAsia="仿宋_GB2312" w:cs="Times New Roman"/>
          <w:sz w:val="32"/>
          <w:szCs w:val="32"/>
        </w:rPr>
        <w:t>引入社会资本</w:t>
      </w:r>
      <w:r>
        <w:rPr>
          <w:rFonts w:hint="eastAsia" w:ascii="仿宋_GB2312" w:hAnsi="Times New Roman" w:eastAsia="仿宋_GB2312" w:cs="Times New Roman"/>
          <w:sz w:val="32"/>
          <w:szCs w:val="32"/>
          <w:lang w:val="en-US" w:eastAsia="zh-CN"/>
        </w:rPr>
        <w:t>参与公园运营，构建市场化运营机制</w:t>
      </w:r>
      <w:r>
        <w:rPr>
          <w:rFonts w:hint="eastAsia" w:ascii="仿宋_GB2312" w:hAnsi="Times New Roman" w:eastAsia="仿宋_GB2312" w:cs="Times New Roman"/>
          <w:sz w:val="32"/>
          <w:szCs w:val="32"/>
        </w:rPr>
        <w:t>。创新公园</w:t>
      </w:r>
      <w:r>
        <w:rPr>
          <w:rFonts w:hint="eastAsia" w:ascii="仿宋_GB2312" w:hAnsi="Times New Roman" w:eastAsia="仿宋_GB2312" w:cs="Times New Roman"/>
          <w:sz w:val="32"/>
          <w:szCs w:val="32"/>
          <w:lang w:val="en-US" w:eastAsia="zh-CN"/>
        </w:rPr>
        <w:t>融合经济新模式，拓展</w:t>
      </w:r>
      <w:r>
        <w:rPr>
          <w:rFonts w:hint="eastAsia" w:ascii="仿宋_GB2312" w:hAnsi="Times New Roman" w:eastAsia="仿宋_GB2312" w:cs="Times New Roman"/>
          <w:sz w:val="32"/>
          <w:szCs w:val="32"/>
        </w:rPr>
        <w:t>体育潮玩、演艺夜经济、疗愈研学、艺术工坊等</w:t>
      </w:r>
      <w:r>
        <w:rPr>
          <w:rFonts w:hint="eastAsia" w:ascii="仿宋_GB2312" w:hAnsi="Times New Roman" w:eastAsia="仿宋_GB2312" w:cs="Times New Roman"/>
          <w:sz w:val="32"/>
          <w:szCs w:val="32"/>
          <w:lang w:val="en-US" w:eastAsia="zh-CN"/>
        </w:rPr>
        <w:t>多元业态，</w:t>
      </w:r>
      <w:r>
        <w:rPr>
          <w:rFonts w:hint="eastAsia" w:ascii="仿宋_GB2312" w:hAnsi="Times New Roman" w:eastAsia="仿宋_GB2312" w:cs="Times New Roman"/>
          <w:sz w:val="32"/>
          <w:szCs w:val="32"/>
        </w:rPr>
        <w:t>植入咖啡、书吧等流量业态，</w:t>
      </w:r>
      <w:r>
        <w:rPr>
          <w:rFonts w:hint="eastAsia" w:ascii="仿宋_GB2312" w:hAnsi="Times New Roman" w:eastAsia="仿宋_GB2312" w:cs="Times New Roman"/>
          <w:sz w:val="32"/>
          <w:szCs w:val="32"/>
          <w:lang w:val="en-US" w:eastAsia="zh-CN"/>
        </w:rPr>
        <w:t>激活</w:t>
      </w:r>
      <w:r>
        <w:rPr>
          <w:rFonts w:ascii="仿宋_GB2312" w:hAnsi="Times New Roman" w:eastAsia="仿宋_GB2312" w:cs="Times New Roman"/>
          <w:sz w:val="32"/>
          <w:szCs w:val="32"/>
        </w:rPr>
        <w:t>公园IP</w:t>
      </w:r>
      <w:r>
        <w:rPr>
          <w:rFonts w:hint="eastAsia" w:ascii="仿宋_GB2312" w:hAnsi="Times New Roman" w:eastAsia="仿宋_GB2312" w:cs="Times New Roman"/>
          <w:sz w:val="32"/>
          <w:szCs w:val="32"/>
          <w:lang w:val="en-US" w:eastAsia="zh-CN"/>
        </w:rPr>
        <w:t>价值</w:t>
      </w:r>
      <w:r>
        <w:rPr>
          <w:rFonts w:ascii="仿宋_GB2312" w:hAnsi="Times New Roman" w:eastAsia="仿宋_GB2312" w:cs="Times New Roman"/>
          <w:sz w:val="32"/>
          <w:szCs w:val="32"/>
        </w:rPr>
        <w:t>与文创衍生品</w:t>
      </w:r>
      <w:r>
        <w:rPr>
          <w:rFonts w:hint="eastAsia" w:ascii="仿宋_GB2312" w:hAnsi="Times New Roman" w:eastAsia="仿宋_GB2312" w:cs="Times New Roman"/>
          <w:sz w:val="32"/>
          <w:szCs w:val="32"/>
          <w:lang w:val="en-US" w:eastAsia="zh-CN"/>
        </w:rPr>
        <w:t>开发</w:t>
      </w:r>
      <w:r>
        <w:rPr>
          <w:rFonts w:hint="eastAsia" w:ascii="仿宋_GB2312" w:hAnsi="Times New Roman" w:eastAsia="仿宋_GB2312" w:cs="Times New Roman"/>
          <w:sz w:val="32"/>
          <w:szCs w:val="32"/>
        </w:rPr>
        <w:t>，打造特色节事矩阵，</w:t>
      </w:r>
      <w:r>
        <w:rPr>
          <w:rFonts w:hint="eastAsia" w:ascii="仿宋_GB2312" w:hAnsi="Times New Roman" w:eastAsia="仿宋_GB2312" w:cs="Times New Roman"/>
          <w:sz w:val="32"/>
          <w:szCs w:val="32"/>
          <w:lang w:val="en-US" w:eastAsia="zh-CN"/>
        </w:rPr>
        <w:t>实现</w:t>
      </w:r>
      <w:r>
        <w:rPr>
          <w:rFonts w:ascii="仿宋_GB2312" w:hAnsi="Times New Roman" w:eastAsia="仿宋_GB2312" w:cs="Times New Roman"/>
          <w:sz w:val="32"/>
          <w:szCs w:val="32"/>
        </w:rPr>
        <w:t>全时段沉浸</w:t>
      </w:r>
      <w:r>
        <w:rPr>
          <w:rFonts w:hint="eastAsia" w:ascii="仿宋_GB2312" w:hAnsi="Times New Roman" w:eastAsia="仿宋_GB2312" w:cs="Times New Roman"/>
          <w:sz w:val="32"/>
          <w:szCs w:val="32"/>
          <w:lang w:val="en-US" w:eastAsia="zh-CN"/>
        </w:rPr>
        <w:t>消费体验</w:t>
      </w:r>
      <w:r>
        <w:rPr>
          <w:rFonts w:hint="eastAsia" w:ascii="仿宋_GB2312" w:hAnsi="Times New Roman" w:eastAsia="仿宋_GB2312" w:cs="Times New Roman"/>
          <w:sz w:val="32"/>
          <w:szCs w:val="32"/>
        </w:rPr>
        <w:t>。强化优势资源协同联动，</w:t>
      </w:r>
      <w:r>
        <w:rPr>
          <w:rFonts w:hint="eastAsia" w:ascii="仿宋_GB2312" w:hAnsi="Times New Roman" w:eastAsia="仿宋_GB2312" w:cs="Times New Roman"/>
          <w:sz w:val="32"/>
          <w:szCs w:val="32"/>
          <w:lang w:val="en-US" w:eastAsia="zh-CN"/>
        </w:rPr>
        <w:t>依托</w:t>
      </w:r>
      <w:r>
        <w:rPr>
          <w:rFonts w:hint="eastAsia" w:ascii="仿宋_GB2312" w:hAnsi="Times New Roman" w:eastAsia="仿宋_GB2312" w:cs="Times New Roman"/>
          <w:sz w:val="32"/>
          <w:szCs w:val="32"/>
        </w:rPr>
        <w:t>北京（通州）大运河文化旅游景区、城市绿心森林公园、台湖万亩游憩园、东郊森林公园等</w:t>
      </w:r>
      <w:r>
        <w:rPr>
          <w:rFonts w:hint="eastAsia" w:ascii="仿宋_GB2312" w:hAnsi="Times New Roman" w:eastAsia="仿宋_GB2312" w:cs="Times New Roman"/>
          <w:sz w:val="32"/>
          <w:szCs w:val="32"/>
          <w:lang w:val="en-US" w:eastAsia="zh-CN"/>
        </w:rPr>
        <w:t>载体</w:t>
      </w:r>
      <w:r>
        <w:rPr>
          <w:rFonts w:hint="eastAsia" w:ascii="仿宋_GB2312" w:hAnsi="Times New Roman" w:eastAsia="仿宋_GB2312" w:cs="Times New Roman"/>
          <w:sz w:val="32"/>
          <w:szCs w:val="32"/>
        </w:rPr>
        <w:t>，积极承办各类文体活动。建立公园与文艺院团、创作团队的长效合作机制，共同开发沉浸式文娱新产品，推动生态空间与文化创意深度融合。</w:t>
      </w:r>
    </w:p>
    <w:p w14:paraId="79B1ECEE">
      <w:pPr>
        <w:pStyle w:val="4"/>
        <w:spacing w:before="0" w:after="0" w:line="560" w:lineRule="exact"/>
        <w:ind w:firstLine="640" w:firstLineChars="200"/>
        <w:rPr>
          <w:rFonts w:hint="eastAsia" w:ascii="黑体" w:hAnsi="黑体" w:eastAsia="黑体"/>
          <w:color w:val="auto"/>
          <w:sz w:val="32"/>
          <w:szCs w:val="32"/>
        </w:rPr>
      </w:pPr>
      <w:r>
        <w:rPr>
          <w:rFonts w:hint="eastAsia" w:ascii="黑体" w:hAnsi="黑体" w:eastAsia="黑体"/>
          <w:color w:val="auto"/>
          <w:sz w:val="32"/>
          <w:szCs w:val="32"/>
        </w:rPr>
        <w:t>六、文旅+康养融合发展</w:t>
      </w:r>
      <w:bookmarkEnd w:id="159"/>
      <w:bookmarkEnd w:id="160"/>
    </w:p>
    <w:p w14:paraId="75134B32">
      <w:pPr>
        <w:spacing w:line="560" w:lineRule="exact"/>
        <w:ind w:firstLine="643" w:firstLineChars="200"/>
        <w:rPr>
          <w:rFonts w:hint="eastAsia" w:ascii="仿宋_GB2312" w:hAnsi="等线" w:eastAsia="仿宋_GB2312" w:cs="Times New Roman"/>
          <w:bCs/>
          <w:sz w:val="32"/>
          <w:szCs w:val="32"/>
        </w:rPr>
      </w:pPr>
      <w:r>
        <w:rPr>
          <w:rFonts w:hint="eastAsia" w:ascii="仿宋_GB2312" w:hAnsi="等线" w:eastAsia="仿宋_GB2312" w:cs="Times New Roman"/>
          <w:b/>
          <w:sz w:val="32"/>
          <w:szCs w:val="32"/>
        </w:rPr>
        <w:t>深化医康养融合，构建</w:t>
      </w:r>
      <w:r>
        <w:rPr>
          <w:rFonts w:ascii="仿宋_GB2312" w:hAnsi="等线" w:eastAsia="仿宋_GB2312" w:cs="Times New Roman"/>
          <w:b/>
          <w:sz w:val="32"/>
          <w:szCs w:val="32"/>
        </w:rPr>
        <w:t>国际化康养</w:t>
      </w:r>
      <w:r>
        <w:rPr>
          <w:rFonts w:hint="eastAsia" w:ascii="仿宋_GB2312" w:hAnsi="等线" w:eastAsia="仿宋_GB2312" w:cs="Times New Roman"/>
          <w:b/>
          <w:sz w:val="32"/>
          <w:szCs w:val="32"/>
          <w:lang w:val="en-US" w:eastAsia="zh-CN"/>
        </w:rPr>
        <w:t>服务高地</w:t>
      </w:r>
      <w:r>
        <w:rPr>
          <w:rFonts w:hint="eastAsia" w:ascii="仿宋_GB2312" w:hAnsi="等线" w:eastAsia="仿宋_GB2312" w:cs="Times New Roman"/>
          <w:b/>
          <w:sz w:val="32"/>
          <w:szCs w:val="32"/>
        </w:rPr>
        <w:t>。</w:t>
      </w:r>
      <w:r>
        <w:rPr>
          <w:rFonts w:hint="eastAsia" w:ascii="仿宋_GB2312" w:hAnsi="等线" w:eastAsia="仿宋_GB2312" w:cs="Times New Roman"/>
          <w:bCs/>
          <w:sz w:val="32"/>
          <w:szCs w:val="32"/>
          <w:lang w:val="en-US" w:eastAsia="zh-CN"/>
        </w:rPr>
        <w:t>依托</w:t>
      </w:r>
      <w:r>
        <w:rPr>
          <w:rFonts w:hint="eastAsia" w:ascii="仿宋_GB2312" w:hAnsi="等线" w:eastAsia="仿宋_GB2312" w:cs="Times New Roman"/>
          <w:bCs/>
          <w:sz w:val="32"/>
          <w:szCs w:val="32"/>
        </w:rPr>
        <w:t>漷县医疗健康产业园及区域优质医疗资源，打造“医疗+文旅+康养”融合</w:t>
      </w:r>
      <w:r>
        <w:rPr>
          <w:rFonts w:hint="eastAsia" w:ascii="仿宋_GB2312" w:hAnsi="Times New Roman" w:eastAsia="仿宋_GB2312" w:cs="Times New Roman"/>
          <w:sz w:val="32"/>
          <w:szCs w:val="32"/>
        </w:rPr>
        <w:t>标杆。</w:t>
      </w:r>
      <w:r>
        <w:rPr>
          <w:rFonts w:hint="eastAsia" w:ascii="仿宋_GB2312" w:hAnsi="Times New Roman" w:eastAsia="仿宋_GB2312" w:cs="Times New Roman"/>
          <w:sz w:val="32"/>
          <w:szCs w:val="32"/>
          <w:lang w:val="en-US" w:eastAsia="zh-CN"/>
        </w:rPr>
        <w:t>整合</w:t>
      </w:r>
      <w:r>
        <w:rPr>
          <w:rFonts w:hint="eastAsia" w:ascii="仿宋_GB2312" w:hAnsi="Times New Roman" w:eastAsia="仿宋_GB2312" w:cs="Times New Roman"/>
          <w:sz w:val="32"/>
          <w:szCs w:val="32"/>
        </w:rPr>
        <w:t>同仁堂中医药资源，在</w:t>
      </w:r>
      <w:r>
        <w:rPr>
          <w:rFonts w:hint="eastAsia" w:ascii="仿宋_GB2312" w:hAnsi="Times New Roman" w:eastAsia="仿宋_GB2312" w:cs="Times New Roman"/>
          <w:sz w:val="32"/>
          <w:szCs w:val="32"/>
          <w:lang w:val="en-US" w:eastAsia="zh-CN"/>
        </w:rPr>
        <w:t>重要</w:t>
      </w:r>
      <w:r>
        <w:rPr>
          <w:rFonts w:hint="eastAsia" w:ascii="仿宋_GB2312" w:hAnsi="Times New Roman" w:eastAsia="仿宋_GB2312" w:cs="Times New Roman"/>
          <w:sz w:val="32"/>
          <w:szCs w:val="32"/>
        </w:rPr>
        <w:t>文旅</w:t>
      </w:r>
      <w:r>
        <w:rPr>
          <w:rFonts w:hint="eastAsia" w:ascii="仿宋_GB2312" w:hAnsi="Times New Roman" w:eastAsia="仿宋_GB2312" w:cs="Times New Roman"/>
          <w:sz w:val="32"/>
          <w:szCs w:val="32"/>
          <w:lang w:val="en-US" w:eastAsia="zh-CN"/>
        </w:rPr>
        <w:t>景区</w:t>
      </w:r>
      <w:r>
        <w:rPr>
          <w:rFonts w:hint="eastAsia" w:ascii="仿宋_GB2312" w:hAnsi="Times New Roman" w:eastAsia="仿宋_GB2312" w:cs="Times New Roman"/>
          <w:sz w:val="32"/>
          <w:szCs w:val="32"/>
        </w:rPr>
        <w:t>、</w:t>
      </w:r>
      <w:r>
        <w:rPr>
          <w:rFonts w:hint="eastAsia" w:ascii="仿宋_GB2312" w:hAnsi="Times New Roman" w:eastAsia="仿宋_GB2312" w:cs="Times New Roman"/>
          <w:sz w:val="32"/>
          <w:szCs w:val="32"/>
          <w:lang w:val="en-US" w:eastAsia="zh-CN"/>
        </w:rPr>
        <w:t>街区、社区</w:t>
      </w:r>
      <w:r>
        <w:rPr>
          <w:rFonts w:hint="eastAsia" w:ascii="仿宋_GB2312" w:hAnsi="Times New Roman" w:eastAsia="仿宋_GB2312" w:cs="Times New Roman"/>
          <w:sz w:val="32"/>
          <w:szCs w:val="32"/>
        </w:rPr>
        <w:t>布局中</w:t>
      </w:r>
      <w:r>
        <w:rPr>
          <w:rFonts w:hint="eastAsia" w:ascii="仿宋_GB2312" w:hAnsi="等线" w:eastAsia="仿宋_GB2312" w:cs="Times New Roman"/>
          <w:bCs/>
          <w:sz w:val="32"/>
          <w:szCs w:val="32"/>
        </w:rPr>
        <w:t>医药体验馆，开发中医特色伴手礼，做强中医药康养特色品牌。</w:t>
      </w:r>
      <w:r>
        <w:rPr>
          <w:rFonts w:hint="eastAsia" w:ascii="仿宋_GB2312" w:hAnsi="Times New Roman" w:eastAsia="仿宋_GB2312" w:cs="Times New Roman"/>
          <w:sz w:val="32"/>
          <w:szCs w:val="32"/>
        </w:rPr>
        <w:t>聚焦跨境医疗旅游、中医药健康服务、高端康复疗愈</w:t>
      </w:r>
      <w:r>
        <w:rPr>
          <w:rFonts w:hint="eastAsia" w:ascii="仿宋_GB2312" w:hAnsi="Times New Roman" w:eastAsia="仿宋_GB2312" w:cs="Times New Roman"/>
          <w:sz w:val="32"/>
          <w:szCs w:val="32"/>
          <w:lang w:val="en-US" w:eastAsia="zh-CN"/>
        </w:rPr>
        <w:t>等</w:t>
      </w:r>
      <w:r>
        <w:rPr>
          <w:rFonts w:hint="eastAsia" w:ascii="仿宋_GB2312" w:hAnsi="Times New Roman" w:eastAsia="仿宋_GB2312" w:cs="Times New Roman"/>
          <w:sz w:val="32"/>
          <w:szCs w:val="32"/>
        </w:rPr>
        <w:t>方向，构建国际化、全周期康养服务</w:t>
      </w:r>
      <w:r>
        <w:rPr>
          <w:rFonts w:hint="eastAsia" w:ascii="仿宋_GB2312" w:hAnsi="Times New Roman" w:eastAsia="仿宋_GB2312" w:cs="Times New Roman"/>
          <w:sz w:val="32"/>
          <w:szCs w:val="32"/>
          <w:lang w:val="en-US" w:eastAsia="zh-CN"/>
        </w:rPr>
        <w:t>产品</w:t>
      </w:r>
      <w:r>
        <w:rPr>
          <w:rFonts w:hint="eastAsia" w:ascii="仿宋_GB2312" w:hAnsi="Times New Roman" w:eastAsia="仿宋_GB2312" w:cs="Times New Roman"/>
          <w:sz w:val="32"/>
          <w:szCs w:val="32"/>
        </w:rPr>
        <w:t>。升级医养结合模式，拓展高端体检、术后康复、慢病调理等核心</w:t>
      </w:r>
      <w:r>
        <w:rPr>
          <w:rFonts w:hint="eastAsia" w:ascii="仿宋_GB2312" w:hAnsi="Times New Roman" w:eastAsia="仿宋_GB2312" w:cs="Times New Roman"/>
          <w:sz w:val="32"/>
          <w:szCs w:val="32"/>
          <w:lang w:val="en-US" w:eastAsia="zh-CN"/>
        </w:rPr>
        <w:t>业态</w:t>
      </w:r>
      <w:r>
        <w:rPr>
          <w:rFonts w:hint="eastAsia" w:ascii="仿宋_GB2312" w:hAnsi="Times New Roman" w:eastAsia="仿宋_GB2312" w:cs="Times New Roman"/>
          <w:sz w:val="32"/>
          <w:szCs w:val="32"/>
        </w:rPr>
        <w:t>。</w:t>
      </w:r>
    </w:p>
    <w:p w14:paraId="6A981CD9">
      <w:pPr>
        <w:spacing w:line="560" w:lineRule="exact"/>
        <w:ind w:firstLine="643" w:firstLineChars="200"/>
        <w:rPr>
          <w:rFonts w:hint="eastAsia" w:ascii="黑体" w:hAnsi="黑体" w:eastAsia="黑体"/>
          <w:b/>
          <w:bCs/>
          <w:sz w:val="32"/>
          <w:szCs w:val="32"/>
        </w:rPr>
      </w:pPr>
      <w:r>
        <w:rPr>
          <w:rFonts w:hint="eastAsia" w:ascii="仿宋_GB2312" w:hAnsi="等线" w:eastAsia="仿宋_GB2312" w:cs="Times New Roman"/>
          <w:b/>
          <w:sz w:val="32"/>
          <w:szCs w:val="32"/>
        </w:rPr>
        <w:t>聚焦森林康养，</w:t>
      </w:r>
      <w:r>
        <w:rPr>
          <w:rFonts w:hint="eastAsia" w:ascii="仿宋_GB2312" w:hAnsi="等线" w:eastAsia="仿宋_GB2312" w:cs="Times New Roman"/>
          <w:b/>
          <w:sz w:val="32"/>
          <w:szCs w:val="32"/>
          <w:lang w:val="en-US" w:eastAsia="zh-CN"/>
        </w:rPr>
        <w:t>打造</w:t>
      </w:r>
      <w:r>
        <w:rPr>
          <w:rFonts w:ascii="仿宋_GB2312" w:hAnsi="等线" w:eastAsia="仿宋_GB2312" w:cs="Times New Roman"/>
          <w:b/>
          <w:sz w:val="32"/>
          <w:szCs w:val="32"/>
        </w:rPr>
        <w:t>城市绿心生态康养</w:t>
      </w:r>
      <w:r>
        <w:rPr>
          <w:rFonts w:hint="eastAsia" w:ascii="仿宋_GB2312" w:hAnsi="等线" w:eastAsia="仿宋_GB2312" w:cs="Times New Roman"/>
          <w:b/>
          <w:sz w:val="32"/>
          <w:szCs w:val="32"/>
          <w:lang w:val="en-US" w:eastAsia="zh-CN"/>
        </w:rPr>
        <w:t>目的地</w:t>
      </w:r>
      <w:r>
        <w:rPr>
          <w:rFonts w:hint="eastAsia" w:ascii="仿宋_GB2312" w:hAnsi="等线" w:eastAsia="仿宋_GB2312" w:cs="Times New Roman"/>
          <w:b/>
          <w:sz w:val="32"/>
          <w:szCs w:val="32"/>
        </w:rPr>
        <w:t>。</w:t>
      </w:r>
      <w:r>
        <w:rPr>
          <w:rFonts w:hint="eastAsia" w:ascii="仿宋_GB2312" w:hAnsi="等线" w:eastAsia="仿宋_GB2312" w:cs="Times New Roman"/>
          <w:bCs/>
          <w:sz w:val="32"/>
          <w:szCs w:val="32"/>
          <w:lang w:val="en-US" w:eastAsia="zh-CN"/>
        </w:rPr>
        <w:t>发挥</w:t>
      </w:r>
      <w:r>
        <w:rPr>
          <w:rFonts w:hint="eastAsia" w:ascii="仿宋_GB2312" w:hAnsi="等线" w:eastAsia="仿宋_GB2312" w:cs="Times New Roman"/>
          <w:bCs/>
          <w:sz w:val="32"/>
          <w:szCs w:val="32"/>
        </w:rPr>
        <w:t>城市绿心森林公园、</w:t>
      </w:r>
      <w:r>
        <w:rPr>
          <w:rFonts w:hint="eastAsia" w:ascii="仿宋_GB2312" w:hAnsi="等线" w:eastAsia="仿宋_GB2312" w:cs="Times New Roman"/>
          <w:bCs/>
          <w:sz w:val="32"/>
          <w:szCs w:val="32"/>
          <w:lang w:val="en-US" w:eastAsia="zh-CN"/>
        </w:rPr>
        <w:t>副中心</w:t>
      </w:r>
      <w:r>
        <w:rPr>
          <w:rFonts w:hint="eastAsia" w:ascii="仿宋_GB2312" w:hAnsi="等线" w:eastAsia="仿宋_GB2312" w:cs="Times New Roman"/>
          <w:bCs/>
          <w:sz w:val="32"/>
          <w:szCs w:val="32"/>
        </w:rPr>
        <w:t>六环高线公园等生态</w:t>
      </w:r>
      <w:r>
        <w:rPr>
          <w:rFonts w:hint="eastAsia" w:ascii="仿宋_GB2312" w:hAnsi="等线" w:eastAsia="仿宋_GB2312" w:cs="Times New Roman"/>
          <w:bCs/>
          <w:sz w:val="32"/>
          <w:szCs w:val="32"/>
          <w:lang w:val="en-US" w:eastAsia="zh-CN"/>
        </w:rPr>
        <w:t>核心载体优势</w:t>
      </w:r>
      <w:r>
        <w:rPr>
          <w:rFonts w:hint="eastAsia" w:ascii="仿宋_GB2312" w:hAnsi="等线" w:eastAsia="仿宋_GB2312" w:cs="Times New Roman"/>
          <w:bCs/>
          <w:sz w:val="32"/>
          <w:szCs w:val="32"/>
        </w:rPr>
        <w:t>，</w:t>
      </w:r>
      <w:r>
        <w:rPr>
          <w:rFonts w:hint="eastAsia" w:ascii="仿宋_GB2312" w:hAnsi="等线" w:eastAsia="仿宋_GB2312" w:cs="Times New Roman"/>
          <w:bCs/>
          <w:sz w:val="32"/>
          <w:szCs w:val="32"/>
          <w:lang w:val="en-US" w:eastAsia="zh-CN"/>
        </w:rPr>
        <w:t>激活森林康养价值，构建森林康养、中医理疗多元功能复合体。植入</w:t>
      </w:r>
      <w:r>
        <w:rPr>
          <w:rFonts w:hint="eastAsia" w:ascii="仿宋_GB2312" w:hAnsi="等线" w:eastAsia="仿宋_GB2312" w:cs="Times New Roman"/>
          <w:bCs/>
          <w:sz w:val="32"/>
          <w:szCs w:val="32"/>
        </w:rPr>
        <w:t>森林疗愈步道、芳香植物体验区、森林冥想空间</w:t>
      </w:r>
      <w:r>
        <w:rPr>
          <w:rFonts w:hint="eastAsia" w:ascii="仿宋_GB2312" w:hAnsi="等线" w:eastAsia="仿宋_GB2312" w:cs="Times New Roman"/>
          <w:bCs/>
          <w:sz w:val="32"/>
          <w:szCs w:val="32"/>
          <w:lang w:val="en-US" w:eastAsia="zh-CN"/>
        </w:rPr>
        <w:t>等康养设施</w:t>
      </w:r>
      <w:r>
        <w:rPr>
          <w:rFonts w:hint="eastAsia" w:ascii="仿宋_GB2312" w:hAnsi="等线" w:eastAsia="仿宋_GB2312" w:cs="Times New Roman"/>
          <w:bCs/>
          <w:sz w:val="32"/>
          <w:szCs w:val="32"/>
        </w:rPr>
        <w:t>，配套建设康养民宿、养生膳食中心。</w:t>
      </w:r>
      <w:r>
        <w:rPr>
          <w:rFonts w:hint="eastAsia" w:ascii="仿宋_GB2312" w:hAnsi="等线" w:eastAsia="仿宋_GB2312" w:cs="Times New Roman"/>
          <w:bCs/>
          <w:sz w:val="32"/>
          <w:szCs w:val="32"/>
          <w:lang w:val="en-US" w:eastAsia="zh-CN"/>
        </w:rPr>
        <w:t>围绕</w:t>
      </w:r>
      <w:r>
        <w:rPr>
          <w:rFonts w:hint="eastAsia" w:ascii="仿宋_GB2312" w:hAnsi="等线" w:eastAsia="仿宋_GB2312" w:cs="Times New Roman"/>
          <w:bCs/>
          <w:sz w:val="32"/>
          <w:szCs w:val="32"/>
        </w:rPr>
        <w:t>二十四节气策划森林康养主题节庆活动，强化生态体验与健康生活方式深度融合，构建</w:t>
      </w:r>
      <w:r>
        <w:rPr>
          <w:rFonts w:hint="eastAsia" w:ascii="仿宋_GB2312" w:hAnsi="等线" w:eastAsia="仿宋_GB2312" w:cs="Times New Roman"/>
          <w:bCs/>
          <w:sz w:val="32"/>
          <w:szCs w:val="32"/>
          <w:lang w:val="en-US" w:eastAsia="zh-CN"/>
        </w:rPr>
        <w:t>北京</w:t>
      </w:r>
      <w:r>
        <w:rPr>
          <w:rFonts w:hint="eastAsia" w:ascii="仿宋_GB2312" w:hAnsi="等线" w:eastAsia="仿宋_GB2312" w:cs="Times New Roman"/>
          <w:bCs/>
          <w:sz w:val="32"/>
          <w:szCs w:val="32"/>
        </w:rPr>
        <w:t>城区稀缺的城市生态康养目的地。</w:t>
      </w:r>
      <w:bookmarkEnd w:id="129"/>
      <w:bookmarkEnd w:id="130"/>
      <w:bookmarkEnd w:id="131"/>
      <w:bookmarkEnd w:id="132"/>
      <w:bookmarkEnd w:id="133"/>
      <w:bookmarkEnd w:id="136"/>
      <w:bookmarkStart w:id="161" w:name="_Toc21087"/>
      <w:bookmarkStart w:id="162" w:name="_Toc16930"/>
      <w:bookmarkStart w:id="163" w:name="_Toc9197"/>
      <w:bookmarkStart w:id="164" w:name="_Toc28519"/>
      <w:r>
        <w:rPr>
          <w:rFonts w:hint="eastAsia" w:ascii="黑体" w:hAnsi="黑体" w:eastAsia="黑体"/>
          <w:b/>
          <w:bCs/>
          <w:sz w:val="32"/>
          <w:szCs w:val="32"/>
        </w:rPr>
        <w:br w:type="page"/>
      </w:r>
    </w:p>
    <w:p w14:paraId="43930F50">
      <w:pPr>
        <w:pStyle w:val="3"/>
        <w:keepNext w:val="0"/>
        <w:keepLines w:val="0"/>
        <w:widowControl/>
        <w:spacing w:before="156" w:beforeLines="50" w:after="156" w:afterLines="50" w:line="560" w:lineRule="exact"/>
        <w:jc w:val="center"/>
        <w:rPr>
          <w:rFonts w:hint="eastAsia" w:ascii="黑体" w:hAnsi="黑体" w:eastAsia="黑体"/>
          <w:b/>
          <w:bCs/>
          <w:color w:val="auto"/>
          <w:sz w:val="32"/>
          <w:szCs w:val="32"/>
        </w:rPr>
      </w:pPr>
      <w:bookmarkStart w:id="165" w:name="_Toc25515"/>
      <w:bookmarkStart w:id="166" w:name="_Toc3672"/>
      <w:bookmarkStart w:id="167" w:name="_Toc16469"/>
      <w:bookmarkStart w:id="168" w:name="_Toc29538"/>
      <w:r>
        <w:rPr>
          <w:rFonts w:hint="eastAsia" w:ascii="黑体" w:hAnsi="黑体" w:eastAsia="黑体"/>
          <w:b/>
          <w:bCs/>
          <w:color w:val="auto"/>
          <w:sz w:val="32"/>
          <w:szCs w:val="32"/>
        </w:rPr>
        <w:t>第八章 完善配套服务，提升综合服务保障水平</w:t>
      </w:r>
      <w:bookmarkEnd w:id="161"/>
      <w:bookmarkEnd w:id="162"/>
      <w:bookmarkEnd w:id="163"/>
      <w:bookmarkEnd w:id="164"/>
      <w:bookmarkEnd w:id="165"/>
      <w:bookmarkEnd w:id="166"/>
      <w:bookmarkEnd w:id="167"/>
      <w:bookmarkEnd w:id="168"/>
    </w:p>
    <w:p w14:paraId="7BBF5390">
      <w:pPr>
        <w:spacing w:line="560" w:lineRule="exact"/>
        <w:ind w:firstLine="640" w:firstLineChars="200"/>
        <w:rPr>
          <w:rFonts w:ascii="仿宋_GB2312" w:hAnsi="Times New Roman" w:eastAsia="仿宋_GB2312"/>
          <w:sz w:val="32"/>
          <w:szCs w:val="32"/>
        </w:rPr>
      </w:pPr>
      <w:bookmarkStart w:id="169" w:name="_Toc11203"/>
      <w:bookmarkStart w:id="170" w:name="_Toc283"/>
      <w:bookmarkStart w:id="171" w:name="_Toc30957"/>
      <w:bookmarkStart w:id="172" w:name="OLE_LINK5"/>
      <w:r>
        <w:rPr>
          <w:rFonts w:hint="eastAsia" w:ascii="仿宋_GB2312" w:hAnsi="Times New Roman" w:eastAsia="仿宋_GB2312"/>
          <w:sz w:val="32"/>
          <w:szCs w:val="32"/>
        </w:rPr>
        <w:t>坚持文化惠民、旅游为民，全面推动文化和旅游公共服务从基础保障向品质体验跃升，让人民享有更加充实、更为丰富、更高质量的文化生活。</w:t>
      </w:r>
    </w:p>
    <w:p w14:paraId="75F5C3E7">
      <w:pPr>
        <w:pStyle w:val="4"/>
        <w:spacing w:before="0" w:after="0" w:line="560" w:lineRule="exact"/>
        <w:ind w:firstLine="640" w:firstLineChars="200"/>
        <w:rPr>
          <w:rFonts w:hint="eastAsia" w:ascii="黑体" w:hAnsi="黑体" w:eastAsia="黑体"/>
          <w:color w:val="auto"/>
          <w:sz w:val="32"/>
          <w:szCs w:val="32"/>
        </w:rPr>
      </w:pPr>
      <w:bookmarkStart w:id="173" w:name="_Toc7761"/>
      <w:bookmarkStart w:id="174" w:name="_Toc19888"/>
      <w:bookmarkStart w:id="175" w:name="_Toc23249"/>
      <w:r>
        <w:rPr>
          <w:rFonts w:hint="eastAsia" w:ascii="黑体" w:hAnsi="黑体" w:eastAsia="黑体"/>
          <w:color w:val="auto"/>
          <w:sz w:val="32"/>
          <w:szCs w:val="32"/>
        </w:rPr>
        <w:t>一、丰富高质量公共文化服务供给</w:t>
      </w:r>
      <w:bookmarkEnd w:id="173"/>
      <w:bookmarkEnd w:id="174"/>
      <w:bookmarkEnd w:id="175"/>
    </w:p>
    <w:p w14:paraId="70697A36">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优化公共文化服务设施。</w:t>
      </w:r>
      <w:r>
        <w:rPr>
          <w:rFonts w:hint="eastAsia" w:ascii="仿宋_GB2312" w:hAnsi="Times New Roman" w:eastAsia="仿宋_GB2312"/>
          <w:sz w:val="32"/>
          <w:szCs w:val="32"/>
        </w:rPr>
        <w:t>织密现代公共文化服务网络，持续优化</w:t>
      </w:r>
      <w:r>
        <w:rPr>
          <w:rFonts w:hint="eastAsia" w:ascii="仿宋_GB2312" w:hAnsi="Times New Roman" w:eastAsia="仿宋_GB2312"/>
          <w:sz w:val="32"/>
          <w:szCs w:val="32"/>
          <w:lang w:val="en-US" w:eastAsia="zh-CN"/>
        </w:rPr>
        <w:t>区级-乡镇（街道）级-村（社区）级</w:t>
      </w:r>
      <w:r>
        <w:rPr>
          <w:rFonts w:hint="eastAsia" w:ascii="仿宋_GB2312" w:hAnsi="Times New Roman" w:eastAsia="仿宋_GB2312"/>
          <w:sz w:val="32"/>
          <w:szCs w:val="32"/>
        </w:rPr>
        <w:t>三级公共文化设施体系。实施三大文化设施公共空间综合优化提升，打造</w:t>
      </w:r>
      <w:r>
        <w:rPr>
          <w:rFonts w:hint="eastAsia" w:ascii="仿宋_GB2312" w:hAnsi="Times New Roman" w:eastAsia="仿宋_GB2312"/>
          <w:sz w:val="32"/>
          <w:szCs w:val="32"/>
          <w:lang w:val="en-US" w:eastAsia="zh-CN"/>
        </w:rPr>
        <w:t>北京</w:t>
      </w:r>
      <w:r>
        <w:rPr>
          <w:rFonts w:hint="eastAsia" w:ascii="仿宋_GB2312" w:hAnsi="Times New Roman" w:eastAsia="仿宋_GB2312"/>
          <w:sz w:val="32"/>
          <w:szCs w:val="32"/>
        </w:rPr>
        <w:t>城市副中心文化</w:t>
      </w:r>
      <w:r>
        <w:rPr>
          <w:rFonts w:hint="eastAsia" w:ascii="仿宋_GB2312" w:hAnsi="Times New Roman" w:eastAsia="仿宋_GB2312"/>
          <w:sz w:val="32"/>
          <w:szCs w:val="32"/>
          <w:lang w:val="en-US" w:eastAsia="zh-CN"/>
        </w:rPr>
        <w:t>会</w:t>
      </w:r>
      <w:r>
        <w:rPr>
          <w:rFonts w:hint="eastAsia" w:ascii="仿宋_GB2312" w:hAnsi="Times New Roman" w:eastAsia="仿宋_GB2312"/>
          <w:sz w:val="32"/>
          <w:szCs w:val="32"/>
        </w:rPr>
        <w:t>客厅；推进公共文化服务嵌入公园、商圈、医院、交通枢纽等生活场景，构建优质均衡、普惠便捷的“15分钟公共文化服务圈”；盘活利用老旧街区、社区闲置角落，因地制宜建设“小而美”的新型公共文化空间，打造更多集图书阅读、艺术展览、研学体验等功能于一体的复合智能公共文化空间。</w:t>
      </w:r>
    </w:p>
    <w:p w14:paraId="19826F38">
      <w:pPr>
        <w:pStyle w:val="2"/>
        <w:spacing w:after="0" w:line="560" w:lineRule="exact"/>
        <w:ind w:left="0" w:leftChars="0" w:firstLine="643" w:firstLineChars="200"/>
        <w:rPr>
          <w:rFonts w:hint="eastAsia" w:ascii="仿宋_GB2312" w:hAnsi="仿宋_GB2312" w:eastAsia="仿宋_GB2312" w:cs="仿宋_GB2312"/>
          <w:sz w:val="32"/>
          <w:szCs w:val="32"/>
        </w:rPr>
      </w:pPr>
      <w:r>
        <w:rPr>
          <w:rFonts w:hint="eastAsia" w:ascii="仿宋_GB2312" w:hAnsi="Times New Roman" w:eastAsia="仿宋_GB2312"/>
          <w:b/>
          <w:bCs/>
          <w:sz w:val="32"/>
          <w:szCs w:val="32"/>
        </w:rPr>
        <w:t>推动公共文化服务提质增效。</w:t>
      </w:r>
      <w:r>
        <w:rPr>
          <w:rFonts w:hint="eastAsia" w:ascii="仿宋_GB2312" w:hAnsi="Times New Roman" w:eastAsia="仿宋_GB2312"/>
          <w:sz w:val="32"/>
          <w:szCs w:val="32"/>
        </w:rPr>
        <w:t>提升基本公共文化服务标准化均等化水平。深入开展全民阅读服务，深耕特色阅读推广品牌活动，打造书香城市副中心。扩大公共文化设施免费开放范围，</w:t>
      </w:r>
      <w:r>
        <w:rPr>
          <w:rFonts w:hint="eastAsia" w:ascii="仿宋_GB2312" w:hAnsi="Times New Roman" w:eastAsia="仿宋_GB2312"/>
          <w:sz w:val="32"/>
          <w:szCs w:val="32"/>
          <w:lang w:val="en-US" w:eastAsia="zh-CN"/>
        </w:rPr>
        <w:t>持续</w:t>
      </w:r>
      <w:r>
        <w:rPr>
          <w:rFonts w:hint="eastAsia" w:ascii="仿宋_GB2312" w:hAnsi="Times New Roman" w:eastAsia="仿宋_GB2312"/>
          <w:sz w:val="32"/>
          <w:szCs w:val="32"/>
        </w:rPr>
        <w:t>推进夜间服务、延时服务、错时服务、数字化服务落地实施。畅通优质文化资源直达基层机制，探索“菜单式”“订单式”“点单式”服务模式，满足群众多元文化需求。加大对区文化馆及各街镇艺术团队的扶持力度，推动基层艺术团队规范化、特色化发展。促进文旅公共文化服务融合发展，在景区景点设置文化展示空间。优化智慧图书馆、博物馆、公共文化云平台，提升数字化智能化服务水平。</w:t>
      </w:r>
    </w:p>
    <w:p w14:paraId="3BF165BA">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繁荣活跃群众文化生活。</w:t>
      </w:r>
      <w:r>
        <w:rPr>
          <w:rFonts w:hint="eastAsia" w:ascii="仿宋_GB2312" w:hAnsi="Times New Roman" w:eastAsia="仿宋_GB2312"/>
          <w:sz w:val="32"/>
          <w:szCs w:val="32"/>
        </w:rPr>
        <w:t>支持群众文艺创作，</w:t>
      </w:r>
      <w:r>
        <w:rPr>
          <w:rFonts w:hint="eastAsia" w:ascii="仿宋_GB2312" w:hAnsi="Calibri" w:eastAsia="仿宋_GB2312" w:cs="Times New Roman"/>
          <w:sz w:val="32"/>
          <w:szCs w:val="36"/>
          <w:lang w:bidi="ar"/>
        </w:rPr>
        <w:t>促进原创精品孵化，推出一批群众文艺精品</w:t>
      </w:r>
      <w:r>
        <w:rPr>
          <w:rFonts w:hint="eastAsia" w:ascii="仿宋_GB2312" w:hAnsi="Times New Roman" w:eastAsia="仿宋_GB2312"/>
          <w:sz w:val="32"/>
          <w:szCs w:val="32"/>
        </w:rPr>
        <w:t>。繁荣互联网条件下新大众文艺，倡导“大众写、大众享”，借助网络文艺、短视频、微短剧、互动视听等多元形式，创作一批彰显运河文化特色与</w:t>
      </w:r>
      <w:r>
        <w:rPr>
          <w:rFonts w:hint="eastAsia" w:ascii="仿宋_GB2312" w:hAnsi="Times New Roman" w:eastAsia="仿宋_GB2312"/>
          <w:sz w:val="32"/>
          <w:szCs w:val="32"/>
          <w:lang w:val="en-US" w:eastAsia="zh-CN"/>
        </w:rPr>
        <w:t>北京城市</w:t>
      </w:r>
      <w:r>
        <w:rPr>
          <w:rFonts w:hint="eastAsia" w:ascii="仿宋_GB2312" w:hAnsi="Times New Roman" w:eastAsia="仿宋_GB2312"/>
          <w:sz w:val="32"/>
          <w:szCs w:val="32"/>
        </w:rPr>
        <w:t>副中心时代精神的网络精品，加强线上群众文艺创作展示传播。</w:t>
      </w:r>
      <w:r>
        <w:rPr>
          <w:rFonts w:hint="eastAsia" w:ascii="仿宋_GB2312" w:hAnsi="Times New Roman" w:eastAsia="仿宋_GB2312"/>
          <w:sz w:val="32"/>
          <w:szCs w:val="32"/>
          <w:lang w:val="en-US" w:eastAsia="zh-CN"/>
        </w:rPr>
        <w:t>依托</w:t>
      </w:r>
      <w:r>
        <w:rPr>
          <w:rFonts w:hint="eastAsia" w:ascii="仿宋_GB2312" w:hAnsi="Times New Roman" w:eastAsia="仿宋_GB2312"/>
          <w:sz w:val="32"/>
          <w:szCs w:val="32"/>
        </w:rPr>
        <w:t>“村晚”、戏曲进乡村等</w:t>
      </w:r>
      <w:r>
        <w:rPr>
          <w:rFonts w:hint="eastAsia" w:ascii="仿宋_GB2312" w:hAnsi="Times New Roman" w:eastAsia="仿宋_GB2312"/>
          <w:sz w:val="32"/>
          <w:szCs w:val="32"/>
          <w:lang w:val="en-US" w:eastAsia="zh-CN"/>
        </w:rPr>
        <w:t>形式</w:t>
      </w:r>
      <w:r>
        <w:rPr>
          <w:rFonts w:hint="eastAsia" w:ascii="仿宋_GB2312" w:hAnsi="Times New Roman" w:eastAsia="仿宋_GB2312"/>
          <w:sz w:val="32"/>
          <w:szCs w:val="32"/>
        </w:rPr>
        <w:t>，广泛开展群众性文化活动。</w:t>
      </w:r>
    </w:p>
    <w:p w14:paraId="36D854C2">
      <w:pPr>
        <w:pStyle w:val="4"/>
        <w:spacing w:before="0" w:after="0" w:line="560" w:lineRule="exact"/>
        <w:ind w:firstLine="640" w:firstLineChars="200"/>
        <w:rPr>
          <w:rFonts w:hint="eastAsia" w:ascii="黑体" w:hAnsi="黑体" w:eastAsia="黑体"/>
          <w:color w:val="auto"/>
          <w:sz w:val="32"/>
          <w:szCs w:val="32"/>
        </w:rPr>
      </w:pPr>
      <w:bookmarkStart w:id="176" w:name="_Toc7033"/>
      <w:bookmarkStart w:id="177" w:name="_Toc162"/>
      <w:bookmarkStart w:id="178" w:name="_Toc25019"/>
      <w:r>
        <w:rPr>
          <w:rFonts w:hint="eastAsia" w:ascii="黑体" w:hAnsi="黑体" w:eastAsia="黑体"/>
          <w:color w:val="auto"/>
          <w:sz w:val="32"/>
          <w:szCs w:val="32"/>
        </w:rPr>
        <w:t>二、推动旅游公共服务品质跃升</w:t>
      </w:r>
      <w:bookmarkEnd w:id="176"/>
      <w:bookmarkEnd w:id="177"/>
      <w:bookmarkEnd w:id="178"/>
    </w:p>
    <w:p w14:paraId="24385532">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优化旅游公共信息服务。</w:t>
      </w:r>
      <w:r>
        <w:rPr>
          <w:rFonts w:hint="eastAsia" w:ascii="仿宋_GB2312" w:hAnsi="仿宋_GB2312" w:eastAsia="仿宋_GB2312" w:cs="仿宋_GB2312"/>
          <w:sz w:val="32"/>
          <w:szCs w:val="32"/>
        </w:rPr>
        <w:t>推动旅游信息服务进三大文化设施、运河商务区等重点区域。在</w:t>
      </w:r>
      <w:r>
        <w:rPr>
          <w:rFonts w:hint="eastAsia" w:ascii="仿宋_GB2312" w:hAnsi="仿宋_GB2312" w:eastAsia="仿宋_GB2312" w:cs="仿宋_GB2312"/>
          <w:sz w:val="32"/>
          <w:szCs w:val="32"/>
          <w:lang w:val="en-US" w:eastAsia="zh-CN"/>
        </w:rPr>
        <w:t>北京</w:t>
      </w:r>
      <w:r>
        <w:rPr>
          <w:rFonts w:hint="eastAsia" w:ascii="仿宋_GB2312" w:hAnsi="仿宋_GB2312" w:eastAsia="仿宋_GB2312" w:cs="仿宋_GB2312"/>
          <w:sz w:val="32"/>
          <w:szCs w:val="32"/>
        </w:rPr>
        <w:t>城市副中心站综合交通枢纽、平谷线车站等交通节点，设立综合性旅游集散与咨询服务点。</w:t>
      </w:r>
      <w:bookmarkStart w:id="179" w:name="OLE_LINK6"/>
      <w:r>
        <w:rPr>
          <w:rFonts w:hint="eastAsia" w:ascii="仿宋_GB2312" w:hAnsi="仿宋_GB2312" w:eastAsia="仿宋_GB2312" w:cs="仿宋_GB2312"/>
          <w:sz w:val="32"/>
          <w:szCs w:val="32"/>
          <w:lang w:val="en-US" w:eastAsia="zh-CN"/>
        </w:rPr>
        <w:t>鼓励引入社会资本</w:t>
      </w:r>
      <w:r>
        <w:rPr>
          <w:rFonts w:hint="eastAsia" w:ascii="仿宋_GB2312" w:hAnsi="仿宋_GB2312" w:eastAsia="仿宋_GB2312" w:cs="仿宋_GB2312"/>
          <w:sz w:val="32"/>
          <w:szCs w:val="32"/>
        </w:rPr>
        <w:t>在</w:t>
      </w:r>
      <w:r>
        <w:rPr>
          <w:rFonts w:hint="eastAsia" w:ascii="仿宋_GB2312" w:hAnsi="仿宋_GB2312" w:eastAsia="仿宋_GB2312" w:cs="仿宋_GB2312"/>
          <w:sz w:val="32"/>
          <w:szCs w:val="32"/>
          <w:lang w:val="en-US" w:eastAsia="zh-CN"/>
        </w:rPr>
        <w:t>重点</w:t>
      </w:r>
      <w:r>
        <w:rPr>
          <w:rFonts w:hint="eastAsia" w:ascii="仿宋_GB2312" w:hAnsi="仿宋_GB2312" w:eastAsia="仿宋_GB2312" w:cs="仿宋_GB2312"/>
          <w:sz w:val="32"/>
          <w:szCs w:val="32"/>
        </w:rPr>
        <w:t>花海片区配套建设观景平台、休憩座椅、遮阳避雨设施、标识解说系统等基础服务设施，同步完善停车泊位、游客集散等配套服务，提升全域花海游览体验与服务承载力。</w:t>
      </w:r>
      <w:bookmarkEnd w:id="179"/>
      <w:r>
        <w:rPr>
          <w:rFonts w:hint="eastAsia" w:ascii="仿宋_GB2312" w:hAnsi="仿宋_GB2312" w:eastAsia="仿宋_GB2312" w:cs="仿宋_GB2312"/>
          <w:sz w:val="32"/>
          <w:szCs w:val="32"/>
        </w:rPr>
        <w:t>全面提升旅游厕所建设与服务水平。鼓励有条件的地区增设旅游信息自助咨询终端或人工服务点，形成“主客共享、布局均衡”的旅游信息咨询圈。</w:t>
      </w:r>
    </w:p>
    <w:p w14:paraId="202913EA">
      <w:p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推进智慧旅游公共服务平台建设。</w:t>
      </w:r>
      <w:r>
        <w:rPr>
          <w:rFonts w:hint="eastAsia" w:ascii="仿宋_GB2312" w:hAnsi="仿宋_GB2312" w:eastAsia="仿宋_GB2312" w:cs="仿宋_GB2312"/>
          <w:sz w:val="32"/>
          <w:szCs w:val="32"/>
        </w:rPr>
        <w:t>整合官方公众号及小程序，建设内容涵盖“吃住行游购娱”全要素、信息发布更新及时、支持多语种查询的智慧旅游公共服务平台。积极运用人工智能技术，探索开展“AI游运河”“虚拟导游”等智能交互服务，实现旅游公共信息服务的便捷化、个性化和智能化。</w:t>
      </w:r>
    </w:p>
    <w:p w14:paraId="62EDCD0D">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完善快达慢游交通体系。</w:t>
      </w:r>
      <w:r>
        <w:rPr>
          <w:rFonts w:hint="eastAsia" w:ascii="仿宋_GB2312" w:hAnsi="仿宋_GB2312" w:eastAsia="仿宋_GB2312" w:cs="仿宋_GB2312"/>
          <w:sz w:val="32"/>
          <w:szCs w:val="32"/>
        </w:rPr>
        <w:t>推动旅游风景道建设，依托通清路、通武路等京津冀骨干道路串联特色文旅资源，打造精品旅游风景道；有序推进M101和M102线建设，持续优化通州区内部交通串联。优化智慧交通与多元接驳服务，完善轨道站点公交微循环，推广定制快巴等服务；推进文旅标识统一工程，在骨干路网、乡村旅游公路及交通枢纽设置融入大运河、燃灯塔等文化符号的特色引导标识，重点区域布局智能电子标识实时发布动态信息</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沿潮白河、北运河建设生态绿廊与文化景观节点，推进运河两岸80公里高品质步道</w:t>
      </w:r>
      <w:r>
        <w:rPr>
          <w:rFonts w:hint="eastAsia" w:ascii="仿宋_GB2312" w:hAnsi="仿宋_GB2312" w:eastAsia="仿宋_GB2312" w:cs="仿宋_GB2312"/>
          <w:sz w:val="32"/>
          <w:szCs w:val="32"/>
          <w:lang w:val="en-US" w:eastAsia="zh-CN"/>
        </w:rPr>
        <w:t>建设</w:t>
      </w:r>
      <w:r>
        <w:rPr>
          <w:rFonts w:hint="eastAsia" w:ascii="仿宋_GB2312" w:hAnsi="仿宋_GB2312" w:eastAsia="仿宋_GB2312" w:cs="仿宋_GB2312"/>
          <w:sz w:val="32"/>
          <w:szCs w:val="32"/>
        </w:rPr>
        <w:t>，构建</w:t>
      </w:r>
      <w:r>
        <w:rPr>
          <w:rFonts w:hint="eastAsia" w:ascii="仿宋_GB2312" w:hAnsi="仿宋_GB2312" w:eastAsia="仿宋_GB2312" w:cs="仿宋_GB2312"/>
          <w:sz w:val="32"/>
          <w:szCs w:val="32"/>
          <w:lang w:val="en-US" w:eastAsia="zh-CN"/>
        </w:rPr>
        <w:t>不同</w:t>
      </w:r>
      <w:r>
        <w:rPr>
          <w:rFonts w:hint="eastAsia" w:ascii="仿宋_GB2312" w:hAnsi="仿宋_GB2312" w:eastAsia="仿宋_GB2312" w:cs="仿宋_GB2312"/>
          <w:sz w:val="32"/>
          <w:szCs w:val="32"/>
        </w:rPr>
        <w:t>主题慢跑环，布局集休憩补给等功能于一体的文旅驿站。</w:t>
      </w:r>
    </w:p>
    <w:p w14:paraId="57E04BC8">
      <w:pPr>
        <w:spacing w:line="560" w:lineRule="exact"/>
        <w:ind w:firstLine="643" w:firstLineChars="200"/>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rPr>
        <w:t>开展形式多样的惠民便民活动。</w:t>
      </w:r>
      <w:r>
        <w:rPr>
          <w:rFonts w:hint="eastAsia" w:ascii="仿宋_GB2312" w:hAnsi="仿宋_GB2312" w:eastAsia="仿宋_GB2312" w:cs="仿宋_GB2312"/>
          <w:sz w:val="32"/>
          <w:szCs w:val="32"/>
          <w:lang w:val="en-US" w:eastAsia="zh-CN"/>
        </w:rPr>
        <w:t>做优</w:t>
      </w:r>
      <w:r>
        <w:rPr>
          <w:rFonts w:hint="eastAsia" w:ascii="仿宋_GB2312" w:hAnsi="仿宋_GB2312" w:eastAsia="仿宋_GB2312" w:cs="仿宋_GB2312"/>
          <w:sz w:val="32"/>
          <w:szCs w:val="32"/>
        </w:rPr>
        <w:t>“运河有戏”“副中心有我”等品牌，持续举办文旅惠民季、新春欢乐购、冰雪嘉年华等系列活动。推出更多面向老年人、未成年人、退役军人等特定群体的优惠措施与暖心服务。</w:t>
      </w:r>
    </w:p>
    <w:p w14:paraId="52C80C40">
      <w:pPr>
        <w:pStyle w:val="4"/>
        <w:spacing w:before="0" w:after="0" w:line="560" w:lineRule="exact"/>
        <w:ind w:firstLine="640" w:firstLineChars="200"/>
        <w:rPr>
          <w:rFonts w:hint="eastAsia" w:ascii="黑体" w:hAnsi="黑体" w:eastAsia="黑体"/>
          <w:color w:val="auto"/>
          <w:sz w:val="32"/>
          <w:szCs w:val="32"/>
        </w:rPr>
      </w:pPr>
      <w:bookmarkStart w:id="180" w:name="_Toc6075"/>
      <w:bookmarkStart w:id="181" w:name="_Toc6634"/>
      <w:bookmarkStart w:id="182" w:name="_Toc11025"/>
      <w:r>
        <w:rPr>
          <w:rFonts w:hint="eastAsia" w:ascii="黑体" w:hAnsi="黑体" w:eastAsia="黑体"/>
          <w:color w:val="auto"/>
          <w:sz w:val="32"/>
          <w:szCs w:val="32"/>
        </w:rPr>
        <w:t>三、打造全龄友好主客共享服务体系</w:t>
      </w:r>
      <w:bookmarkEnd w:id="180"/>
      <w:bookmarkEnd w:id="181"/>
      <w:bookmarkEnd w:id="182"/>
    </w:p>
    <w:p w14:paraId="0CE12BE3">
      <w:pPr>
        <w:spacing w:line="560" w:lineRule="exact"/>
        <w:ind w:firstLine="643" w:firstLineChars="200"/>
        <w:rPr>
          <w:rFonts w:hint="eastAsia" w:ascii="仿宋_GB2312" w:hAnsi="Times New Roman" w:eastAsia="仿宋_GB2312"/>
          <w:sz w:val="32"/>
          <w:szCs w:val="32"/>
        </w:rPr>
      </w:pPr>
      <w:r>
        <w:rPr>
          <w:rFonts w:hint="eastAsia" w:ascii="仿宋_GB2312" w:hAnsi="Times New Roman" w:eastAsia="仿宋_GB2312"/>
          <w:b/>
          <w:bCs/>
          <w:sz w:val="32"/>
          <w:szCs w:val="32"/>
        </w:rPr>
        <w:t>建设青年友好文旅消费场景。</w:t>
      </w:r>
      <w:r>
        <w:rPr>
          <w:rFonts w:hint="eastAsia" w:ascii="仿宋_GB2312" w:hAnsi="Times New Roman" w:eastAsia="仿宋_GB2312"/>
          <w:sz w:val="32"/>
          <w:szCs w:val="32"/>
        </w:rPr>
        <w:t>提升城市“青和力”，打造“24小时青年生活圈”，做强运河青年节等品牌活动，活化滨水时尚空间。搭建青春文化阵地，深化馆校合作，推动文体赛事年轻化、场景化，做强体旅融合新业态。</w:t>
      </w:r>
    </w:p>
    <w:p w14:paraId="041C732D">
      <w:pPr>
        <w:spacing w:line="560" w:lineRule="exact"/>
        <w:ind w:firstLine="643" w:firstLineChars="200"/>
        <w:rPr>
          <w:rFonts w:ascii="仿宋_GB2312" w:hAnsi="Times New Roman" w:eastAsia="仿宋_GB2312"/>
          <w:b/>
          <w:bCs/>
          <w:sz w:val="32"/>
          <w:szCs w:val="32"/>
        </w:rPr>
      </w:pPr>
      <w:r>
        <w:rPr>
          <w:rFonts w:hint="eastAsia" w:ascii="仿宋_GB2312" w:hAnsi="仿宋_GB2312" w:eastAsia="仿宋_GB2312" w:cs="仿宋_GB2312"/>
          <w:b/>
          <w:bCs/>
          <w:sz w:val="32"/>
          <w:szCs w:val="32"/>
        </w:rPr>
        <w:t>推进多功能融合主客共享。</w:t>
      </w:r>
      <w:r>
        <w:rPr>
          <w:rFonts w:hint="eastAsia" w:ascii="仿宋_GB2312" w:hAnsi="仿宋_GB2312" w:eastAsia="仿宋_GB2312" w:cs="仿宋_GB2312"/>
          <w:sz w:val="32"/>
          <w:szCs w:val="32"/>
        </w:rPr>
        <w:t>推动文化、旅游、体育、商业空间服务功能融合，将阅读、非遗展示、文艺展演等嵌入游客中心、休闲公园、商圈场景。坚持主客共享、文旅惠民，推动公共服务向旅游场景延伸、旅游服务向市民开放，促进城乡基本公共服务均等化。</w:t>
      </w:r>
    </w:p>
    <w:p w14:paraId="44CEDFDF">
      <w:pPr>
        <w:spacing w:line="560" w:lineRule="exact"/>
        <w:ind w:firstLine="643" w:firstLineChars="200"/>
        <w:rPr>
          <w:sz w:val="28"/>
          <w:szCs w:val="32"/>
        </w:rPr>
      </w:pPr>
      <w:r>
        <w:rPr>
          <w:rFonts w:hint="eastAsia" w:ascii="仿宋_GB2312" w:hAnsi="仿宋_GB2312" w:eastAsia="仿宋_GB2312" w:cs="仿宋_GB2312"/>
          <w:b/>
          <w:bCs/>
          <w:sz w:val="32"/>
          <w:szCs w:val="32"/>
        </w:rPr>
        <w:t>构建全龄友好</w:t>
      </w:r>
      <w:r>
        <w:rPr>
          <w:rFonts w:hint="eastAsia" w:ascii="仿宋_GB2312" w:hAnsi="仿宋_GB2312" w:eastAsia="仿宋_GB2312" w:cs="仿宋_GB2312"/>
          <w:b/>
          <w:bCs/>
          <w:sz w:val="32"/>
          <w:szCs w:val="32"/>
          <w:lang w:val="en-US" w:eastAsia="zh-CN"/>
        </w:rPr>
        <w:t>便民</w:t>
      </w:r>
      <w:r>
        <w:rPr>
          <w:rFonts w:hint="eastAsia" w:ascii="仿宋_GB2312" w:hAnsi="仿宋_GB2312" w:eastAsia="仿宋_GB2312" w:cs="仿宋_GB2312"/>
          <w:b/>
          <w:bCs/>
          <w:sz w:val="32"/>
          <w:szCs w:val="32"/>
        </w:rPr>
        <w:t>服务网络。</w:t>
      </w:r>
      <w:r>
        <w:rPr>
          <w:rFonts w:hint="eastAsia" w:ascii="仿宋_GB2312" w:hAnsi="仿宋_GB2312" w:eastAsia="仿宋_GB2312" w:cs="仿宋_GB2312"/>
          <w:sz w:val="32"/>
          <w:szCs w:val="32"/>
        </w:rPr>
        <w:t>聚焦一老一小、青年群体、特殊人群全年龄段的差异化需求，构建覆盖全域、贯穿全程的友好型服务环境。</w:t>
      </w:r>
      <w:bookmarkEnd w:id="169"/>
      <w:bookmarkEnd w:id="170"/>
      <w:bookmarkEnd w:id="171"/>
      <w:bookmarkEnd w:id="172"/>
      <w:r>
        <w:rPr>
          <w:rFonts w:hint="eastAsia" w:ascii="仿宋_GB2312" w:hAnsi="仿宋_GB2312" w:eastAsia="仿宋_GB2312" w:cs="仿宋_GB2312"/>
          <w:sz w:val="32"/>
          <w:szCs w:val="32"/>
        </w:rPr>
        <w:t>推进景区、文博场馆、重点村镇引入“1米高度”儿童视角，标准化建设无障碍通道、家庭卫生间、母婴室。在城市公园、公共空间打造亲子互动、研学体验、代际共享场景，延伸“代际共游”服务功能。推进文旅公共设施适老化、适儿化改造，完善老年智慧阅读、儿童趣味体验、安全运动场地等专属服务，开展跨代际文化活动，提升全龄包容度。</w:t>
      </w:r>
    </w:p>
    <w:p w14:paraId="4F6F369E">
      <w:pPr>
        <w:rPr>
          <w:sz w:val="28"/>
          <w:szCs w:val="32"/>
        </w:rPr>
      </w:pPr>
      <w:r>
        <w:rPr>
          <w:rFonts w:hint="eastAsia"/>
          <w:sz w:val="28"/>
          <w:szCs w:val="32"/>
        </w:rPr>
        <w:br w:type="page"/>
      </w:r>
    </w:p>
    <w:p w14:paraId="788F259C">
      <w:pPr>
        <w:pStyle w:val="3"/>
        <w:keepNext w:val="0"/>
        <w:keepLines w:val="0"/>
        <w:widowControl/>
        <w:spacing w:before="156" w:beforeLines="50" w:after="156" w:afterLines="50" w:line="560" w:lineRule="exact"/>
        <w:jc w:val="center"/>
        <w:rPr>
          <w:rFonts w:hint="eastAsia" w:ascii="黑体" w:hAnsi="黑体" w:eastAsia="黑体"/>
          <w:b/>
          <w:bCs/>
          <w:color w:val="auto"/>
          <w:sz w:val="32"/>
          <w:szCs w:val="32"/>
        </w:rPr>
      </w:pPr>
      <w:bookmarkStart w:id="183" w:name="_Toc24331"/>
      <w:bookmarkStart w:id="184" w:name="_Toc20005"/>
      <w:bookmarkStart w:id="185" w:name="_Toc5873"/>
      <w:bookmarkStart w:id="186" w:name="_Toc15582"/>
      <w:bookmarkStart w:id="187" w:name="_Toc21057"/>
      <w:bookmarkStart w:id="188" w:name="_Toc10749"/>
      <w:bookmarkStart w:id="189" w:name="_Toc5765"/>
      <w:bookmarkStart w:id="190" w:name="_Toc31285"/>
      <w:r>
        <w:rPr>
          <w:rFonts w:hint="eastAsia" w:ascii="黑体" w:hAnsi="黑体" w:eastAsia="黑体"/>
          <w:b/>
          <w:bCs/>
          <w:color w:val="auto"/>
          <w:sz w:val="32"/>
          <w:szCs w:val="32"/>
        </w:rPr>
        <w:t>第九章 规范市场秩序，健全文旅治理长效机制</w:t>
      </w:r>
      <w:bookmarkEnd w:id="183"/>
      <w:bookmarkEnd w:id="184"/>
      <w:bookmarkEnd w:id="185"/>
      <w:bookmarkEnd w:id="186"/>
      <w:bookmarkEnd w:id="187"/>
      <w:bookmarkEnd w:id="188"/>
      <w:bookmarkEnd w:id="189"/>
      <w:bookmarkEnd w:id="190"/>
    </w:p>
    <w:p w14:paraId="26A2C630">
      <w:pPr>
        <w:spacing w:line="560" w:lineRule="exact"/>
        <w:ind w:firstLine="640" w:firstLineChars="200"/>
        <w:rPr>
          <w:rFonts w:hint="eastAsia" w:ascii="仿宋_GB2312" w:hAnsi="仿宋" w:eastAsia="仿宋_GB2312"/>
          <w:sz w:val="32"/>
          <w:szCs w:val="32"/>
        </w:rPr>
      </w:pPr>
      <w:bookmarkStart w:id="191" w:name="_Toc221617206"/>
      <w:bookmarkStart w:id="192" w:name="_Toc27462"/>
      <w:r>
        <w:rPr>
          <w:rFonts w:hint="eastAsia" w:ascii="仿宋_GB2312" w:hAnsi="仿宋" w:eastAsia="仿宋_GB2312"/>
          <w:sz w:val="32"/>
          <w:szCs w:val="32"/>
        </w:rPr>
        <w:t>围绕进一步优化营商环境、强化综合监管、筑牢安全底线</w:t>
      </w:r>
      <w:r>
        <w:rPr>
          <w:rFonts w:hint="eastAsia" w:ascii="仿宋_GB2312" w:hAnsi="仿宋" w:eastAsia="仿宋_GB2312"/>
          <w:sz w:val="32"/>
          <w:szCs w:val="32"/>
          <w:lang w:val="en-US" w:eastAsia="zh-CN"/>
        </w:rPr>
        <w:t>等重大</w:t>
      </w:r>
      <w:r>
        <w:rPr>
          <w:rFonts w:hint="eastAsia" w:ascii="仿宋_GB2312" w:hAnsi="仿宋" w:eastAsia="仿宋_GB2312"/>
          <w:sz w:val="32"/>
          <w:szCs w:val="32"/>
        </w:rPr>
        <w:t>任务，加快构建与</w:t>
      </w:r>
      <w:r>
        <w:rPr>
          <w:rFonts w:hint="eastAsia" w:ascii="仿宋_GB2312" w:hAnsi="仿宋" w:eastAsia="仿宋_GB2312"/>
          <w:sz w:val="32"/>
          <w:szCs w:val="32"/>
          <w:lang w:val="en-US" w:eastAsia="zh-CN"/>
        </w:rPr>
        <w:t>北京</w:t>
      </w:r>
      <w:r>
        <w:rPr>
          <w:rFonts w:hint="eastAsia" w:ascii="仿宋_GB2312" w:hAnsi="仿宋" w:eastAsia="仿宋_GB2312"/>
          <w:sz w:val="32"/>
          <w:szCs w:val="32"/>
        </w:rPr>
        <w:t>城市副中心功能定位相匹配的行业治理体系，为推动通州区文商旅体高质量发展提供坚实保障。</w:t>
      </w:r>
    </w:p>
    <w:p w14:paraId="4D99E44C">
      <w:pPr>
        <w:pStyle w:val="4"/>
        <w:spacing w:before="0" w:after="0" w:line="560" w:lineRule="exact"/>
        <w:ind w:firstLine="640" w:firstLineChars="200"/>
        <w:rPr>
          <w:rFonts w:hint="eastAsia" w:ascii="黑体" w:hAnsi="黑体" w:eastAsia="黑体"/>
          <w:color w:val="auto"/>
          <w:sz w:val="32"/>
          <w:szCs w:val="32"/>
        </w:rPr>
      </w:pPr>
      <w:bookmarkStart w:id="193" w:name="_Toc29433"/>
      <w:bookmarkStart w:id="194" w:name="_Toc14380"/>
      <w:bookmarkStart w:id="195" w:name="_Toc29002"/>
      <w:bookmarkStart w:id="196" w:name="_Toc20558"/>
      <w:bookmarkStart w:id="197" w:name="_Toc7650"/>
      <w:bookmarkStart w:id="198" w:name="_Toc20548"/>
      <w:bookmarkStart w:id="199" w:name="_Toc12013"/>
      <w:r>
        <w:rPr>
          <w:rFonts w:hint="eastAsia" w:ascii="黑体" w:hAnsi="黑体" w:eastAsia="黑体"/>
          <w:color w:val="auto"/>
          <w:sz w:val="32"/>
          <w:szCs w:val="32"/>
        </w:rPr>
        <w:t>一、优化营商环境</w:t>
      </w:r>
      <w:bookmarkEnd w:id="191"/>
      <w:bookmarkEnd w:id="192"/>
      <w:bookmarkEnd w:id="193"/>
      <w:bookmarkEnd w:id="194"/>
      <w:bookmarkEnd w:id="195"/>
      <w:bookmarkEnd w:id="196"/>
      <w:bookmarkEnd w:id="197"/>
      <w:bookmarkEnd w:id="198"/>
      <w:bookmarkEnd w:id="199"/>
    </w:p>
    <w:p w14:paraId="23D80EAE">
      <w:pPr>
        <w:spacing w:line="560" w:lineRule="exact"/>
        <w:ind w:firstLine="640" w:firstLineChars="200"/>
        <w:rPr>
          <w:rFonts w:hint="eastAsia" w:ascii="仿宋_GB2312" w:hAnsi="仿宋" w:eastAsia="仿宋_GB2312"/>
          <w:sz w:val="32"/>
          <w:szCs w:val="32"/>
        </w:rPr>
      </w:pPr>
      <w:bookmarkStart w:id="200" w:name="_Toc221617207"/>
      <w:r>
        <w:rPr>
          <w:rFonts w:hint="eastAsia" w:ascii="仿宋_GB2312" w:hAnsi="仿宋" w:eastAsia="仿宋_GB2312"/>
          <w:sz w:val="32"/>
          <w:szCs w:val="32"/>
        </w:rPr>
        <w:t>深化“放管服”改革，落实市场准入负面清单制度，全面推进“一网通办”，推行网上审批、“最多跑一次”。</w:t>
      </w:r>
      <w:r>
        <w:rPr>
          <w:rFonts w:ascii="仿宋_GB2312" w:hAnsi="仿宋" w:eastAsia="仿宋_GB2312"/>
          <w:sz w:val="32"/>
          <w:szCs w:val="32"/>
        </w:rPr>
        <w:t>营造稳定公平透明、可预期的营商环境</w:t>
      </w:r>
      <w:r>
        <w:rPr>
          <w:rFonts w:hint="eastAsia" w:ascii="仿宋_GB2312" w:hAnsi="仿宋" w:eastAsia="仿宋_GB2312"/>
          <w:sz w:val="32"/>
          <w:szCs w:val="32"/>
          <w:lang w:eastAsia="zh-CN"/>
        </w:rPr>
        <w:t>，</w:t>
      </w:r>
      <w:r>
        <w:rPr>
          <w:rFonts w:hint="eastAsia" w:ascii="仿宋_GB2312" w:hAnsi="仿宋" w:eastAsia="仿宋_GB2312"/>
          <w:sz w:val="32"/>
          <w:szCs w:val="32"/>
        </w:rPr>
        <w:t>激发各类市场主体内生动力和创新活力。用足用好</w:t>
      </w:r>
      <w:r>
        <w:rPr>
          <w:rFonts w:hint="eastAsia" w:ascii="仿宋_GB2312" w:hAnsi="仿宋" w:eastAsia="仿宋_GB2312"/>
          <w:sz w:val="32"/>
          <w:szCs w:val="32"/>
          <w:lang w:val="en-US" w:eastAsia="zh-CN"/>
        </w:rPr>
        <w:t>北京</w:t>
      </w:r>
      <w:r>
        <w:rPr>
          <w:rFonts w:hint="eastAsia" w:ascii="仿宋_GB2312" w:hAnsi="仿宋" w:eastAsia="仿宋_GB2312"/>
          <w:sz w:val="32"/>
          <w:szCs w:val="32"/>
        </w:rPr>
        <w:t>城市副中心“两区”建设政策优势，积极争取并落地涉外经营性演出团体审批、入境旅游便利化等领域的改革试点。研究制定适应文旅新业态发展的专项政策，支持文旅企业向集团化、规模化发展，提高市场核心竞争力。</w:t>
      </w:r>
    </w:p>
    <w:p w14:paraId="52FBD936">
      <w:pPr>
        <w:pStyle w:val="4"/>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olor w:val="auto"/>
          <w:sz w:val="32"/>
          <w:szCs w:val="32"/>
        </w:rPr>
      </w:pPr>
      <w:bookmarkStart w:id="201" w:name="_Toc2528"/>
      <w:bookmarkStart w:id="202" w:name="_Toc29264"/>
      <w:bookmarkStart w:id="203" w:name="_Toc30113"/>
      <w:bookmarkStart w:id="204" w:name="_Toc32383"/>
      <w:bookmarkStart w:id="205" w:name="_Toc1460"/>
      <w:bookmarkStart w:id="206" w:name="_Toc28263"/>
      <w:bookmarkStart w:id="207" w:name="_Toc2699"/>
      <w:bookmarkStart w:id="208" w:name="_Toc4231"/>
      <w:r>
        <w:rPr>
          <w:rFonts w:hint="eastAsia" w:ascii="黑体" w:hAnsi="黑体" w:eastAsia="黑体"/>
          <w:color w:val="auto"/>
          <w:sz w:val="32"/>
          <w:szCs w:val="32"/>
        </w:rPr>
        <w:t>二、强化综合</w:t>
      </w:r>
      <w:bookmarkEnd w:id="200"/>
      <w:r>
        <w:rPr>
          <w:rFonts w:hint="eastAsia" w:ascii="黑体" w:hAnsi="黑体" w:eastAsia="黑体"/>
          <w:color w:val="auto"/>
          <w:sz w:val="32"/>
          <w:szCs w:val="32"/>
        </w:rPr>
        <w:t>监管</w:t>
      </w:r>
      <w:bookmarkEnd w:id="201"/>
      <w:bookmarkEnd w:id="202"/>
      <w:bookmarkEnd w:id="203"/>
      <w:bookmarkEnd w:id="204"/>
      <w:bookmarkEnd w:id="205"/>
      <w:bookmarkEnd w:id="206"/>
      <w:bookmarkEnd w:id="207"/>
      <w:bookmarkEnd w:id="208"/>
    </w:p>
    <w:p w14:paraId="22C8D359">
      <w:pPr>
        <w:pageBreakBefore w:val="0"/>
        <w:widowControl w:val="0"/>
        <w:kinsoku/>
        <w:wordWrap/>
        <w:overflowPunct/>
        <w:topLinePunct w:val="0"/>
        <w:autoSpaceDE/>
        <w:autoSpaceDN/>
        <w:bidi w:val="0"/>
        <w:adjustRightInd/>
        <w:snapToGrid/>
        <w:spacing w:line="560" w:lineRule="exact"/>
        <w:ind w:firstLine="643" w:firstLineChars="200"/>
        <w:textAlignment w:val="auto"/>
        <w:rPr>
          <w:rFonts w:ascii="仿宋_GB2312" w:hAnsi="Cambria Math" w:eastAsia="仿宋_GB2312" w:cs="Cambria Math"/>
          <w:sz w:val="32"/>
          <w:szCs w:val="32"/>
        </w:rPr>
      </w:pPr>
      <w:bookmarkStart w:id="209" w:name="OLE_LINK9"/>
      <w:bookmarkStart w:id="210" w:name="_Toc221617208"/>
      <w:r>
        <w:rPr>
          <w:rFonts w:hint="eastAsia" w:ascii="仿宋_GB2312" w:eastAsia="仿宋_GB2312"/>
          <w:b/>
          <w:bCs/>
          <w:sz w:val="32"/>
          <w:szCs w:val="36"/>
        </w:rPr>
        <w:t>完善综合监管机制。</w:t>
      </w:r>
      <w:r>
        <w:rPr>
          <w:rFonts w:hint="eastAsia" w:ascii="仿宋_GB2312" w:eastAsia="仿宋_GB2312"/>
          <w:sz w:val="32"/>
          <w:szCs w:val="36"/>
        </w:rPr>
        <w:t>加强对旅游要素业态的安全管理，规范旅游服务经营活动，推动文化和旅游、公安、市场监管、交通等多部门实现信息共享与联合执法，凝聚监管合力。</w:t>
      </w:r>
      <w:r>
        <w:rPr>
          <w:rFonts w:hint="eastAsia" w:ascii="仿宋_GB2312" w:hAnsi="Cambria Math" w:eastAsia="仿宋_GB2312" w:cs="Cambria Math"/>
          <w:sz w:val="32"/>
          <w:szCs w:val="32"/>
        </w:rPr>
        <w:t>深化“接诉即办”改革，将游客诉求作为提升服务质量的“指挥棒”，建立快速响应、高效办理、及时反馈的闭环机制。加强重点领域</w:t>
      </w:r>
      <w:r>
        <w:rPr>
          <w:rFonts w:hint="eastAsia" w:ascii="仿宋_GB2312" w:hAnsi="Cambria Math" w:eastAsia="仿宋_GB2312" w:cs="Cambria Math"/>
          <w:sz w:val="32"/>
          <w:szCs w:val="32"/>
          <w:lang w:val="en-US" w:eastAsia="zh-CN"/>
        </w:rPr>
        <w:t>预付</w:t>
      </w:r>
      <w:r>
        <w:rPr>
          <w:rFonts w:hint="eastAsia" w:ascii="仿宋_GB2312" w:hAnsi="Cambria Math" w:eastAsia="仿宋_GB2312" w:cs="Cambria Math"/>
          <w:sz w:val="32"/>
          <w:szCs w:val="32"/>
        </w:rPr>
        <w:t>式消费经营行为监管，</w:t>
      </w:r>
      <w:r>
        <w:rPr>
          <w:rFonts w:hint="eastAsia" w:ascii="仿宋_GB2312" w:eastAsia="仿宋_GB2312"/>
          <w:sz w:val="32"/>
          <w:szCs w:val="36"/>
        </w:rPr>
        <w:t>针对不合理低价游、虚假宣传、强迫消费等突出问题，加大执法检查力度。建立以游客体验感和满意度为核心的旅游服务评价机制，持续提升服务质量。实施旅游投诉先行赔付机制，切实保障游客合法权益</w:t>
      </w:r>
      <w:r>
        <w:rPr>
          <w:rFonts w:hint="eastAsia" w:ascii="仿宋_GB2312" w:hAnsi="Cambria Math" w:eastAsia="仿宋_GB2312" w:cs="Cambria Math"/>
          <w:sz w:val="32"/>
          <w:szCs w:val="32"/>
        </w:rPr>
        <w:t>。</w:t>
      </w:r>
    </w:p>
    <w:p w14:paraId="0D60B1EF">
      <w:pPr>
        <w:pStyle w:val="2"/>
        <w:pageBreakBefore w:val="0"/>
        <w:widowControl w:val="0"/>
        <w:kinsoku/>
        <w:wordWrap/>
        <w:overflowPunct/>
        <w:topLinePunct w:val="0"/>
        <w:autoSpaceDE/>
        <w:autoSpaceDN/>
        <w:bidi w:val="0"/>
        <w:adjustRightInd/>
        <w:snapToGrid/>
        <w:spacing w:after="0" w:line="560" w:lineRule="exact"/>
        <w:ind w:left="0" w:leftChars="0" w:firstLine="643" w:firstLineChars="200"/>
        <w:textAlignment w:val="auto"/>
      </w:pPr>
      <w:r>
        <w:rPr>
          <w:rFonts w:hint="eastAsia" w:ascii="仿宋_GB2312" w:eastAsia="仿宋_GB2312"/>
          <w:b/>
          <w:bCs/>
          <w:sz w:val="32"/>
          <w:szCs w:val="36"/>
        </w:rPr>
        <w:t>创新监管方式。</w:t>
      </w:r>
      <w:r>
        <w:rPr>
          <w:rFonts w:hint="eastAsia" w:ascii="仿宋_GB2312" w:eastAsia="仿宋_GB2312"/>
          <w:sz w:val="32"/>
          <w:szCs w:val="36"/>
        </w:rPr>
        <w:t>推动监管思路从审批指导向靠前服务转变，常态化落实政策直达、企业培训、走访调研等服务机制。精准开展旅游客流、市场秩序等实时监测与数据分析。深化大数据、人工智能技术应用，构建文旅市场风险评价预警模型，推动监管从被动应对向主动干预、精准治理转型。做强“互联网+监管”体系，提高监管效率与政务透明度。畅通投诉举报渠道，鼓励社会力量参与市场监督，构建文旅市场共治新格局。</w:t>
      </w:r>
    </w:p>
    <w:bookmarkEnd w:id="209"/>
    <w:p w14:paraId="5196E4EE">
      <w:pPr>
        <w:pStyle w:val="4"/>
        <w:pageBreakBefore w:val="0"/>
        <w:widowControl w:val="0"/>
        <w:kinsoku/>
        <w:wordWrap/>
        <w:overflowPunct/>
        <w:topLinePunct w:val="0"/>
        <w:autoSpaceDE/>
        <w:autoSpaceDN/>
        <w:bidi w:val="0"/>
        <w:adjustRightInd/>
        <w:snapToGrid/>
        <w:spacing w:before="0" w:after="0" w:line="560" w:lineRule="exact"/>
        <w:ind w:firstLine="640" w:firstLineChars="200"/>
        <w:textAlignment w:val="auto"/>
        <w:rPr>
          <w:rFonts w:hint="eastAsia" w:ascii="黑体" w:hAnsi="黑体" w:eastAsia="黑体"/>
          <w:color w:val="auto"/>
          <w:sz w:val="32"/>
          <w:szCs w:val="32"/>
        </w:rPr>
      </w:pPr>
      <w:bookmarkStart w:id="211" w:name="_Toc27748"/>
      <w:bookmarkStart w:id="212" w:name="_Toc21910"/>
      <w:bookmarkStart w:id="213" w:name="_Toc23287"/>
      <w:bookmarkStart w:id="214" w:name="_Toc31955"/>
      <w:bookmarkStart w:id="215" w:name="_Toc15080"/>
      <w:bookmarkStart w:id="216" w:name="_Toc24818"/>
      <w:bookmarkStart w:id="217" w:name="_Toc18280"/>
      <w:bookmarkStart w:id="218" w:name="_Toc16252"/>
      <w:r>
        <w:rPr>
          <w:rFonts w:hint="eastAsia" w:ascii="黑体" w:hAnsi="黑体" w:eastAsia="黑体"/>
          <w:color w:val="auto"/>
          <w:sz w:val="32"/>
          <w:szCs w:val="32"/>
        </w:rPr>
        <w:t>三、筑牢安全底线</w:t>
      </w:r>
      <w:bookmarkEnd w:id="210"/>
      <w:bookmarkEnd w:id="211"/>
      <w:bookmarkEnd w:id="212"/>
      <w:bookmarkEnd w:id="213"/>
      <w:bookmarkEnd w:id="214"/>
      <w:bookmarkEnd w:id="215"/>
      <w:bookmarkEnd w:id="216"/>
      <w:bookmarkEnd w:id="217"/>
      <w:bookmarkEnd w:id="218"/>
    </w:p>
    <w:p w14:paraId="24D966C3">
      <w:pPr>
        <w:pStyle w:val="2"/>
        <w:pageBreakBefore w:val="0"/>
        <w:widowControl w:val="0"/>
        <w:kinsoku/>
        <w:wordWrap/>
        <w:overflowPunct/>
        <w:topLinePunct w:val="0"/>
        <w:autoSpaceDE/>
        <w:autoSpaceDN/>
        <w:bidi w:val="0"/>
        <w:adjustRightInd/>
        <w:snapToGrid/>
        <w:spacing w:after="0" w:line="560" w:lineRule="exact"/>
        <w:ind w:left="0" w:leftChars="0" w:firstLine="640" w:firstLineChars="200"/>
        <w:textAlignment w:val="auto"/>
        <w:rPr>
          <w:rFonts w:ascii="仿宋_GB2312" w:hAnsi="Cambria Math" w:eastAsia="仿宋_GB2312" w:cs="Cambria Math"/>
          <w:sz w:val="32"/>
          <w:szCs w:val="32"/>
        </w:rPr>
      </w:pPr>
      <w:r>
        <w:rPr>
          <w:rFonts w:hint="eastAsia" w:ascii="仿宋_GB2312" w:hAnsi="仿宋_GB2312" w:eastAsia="仿宋_GB2312" w:cs="仿宋_GB2312"/>
          <w:sz w:val="32"/>
          <w:szCs w:val="32"/>
          <w:shd w:val="clear" w:color="auto" w:fill="FFFFFF"/>
        </w:rPr>
        <w:t>严格落实意识形态工作责任制，健全文化产品和服务内容审核机制，强化对演出、艺术品、网络表演、游戏游艺、歌舞娱乐、展演展览、对外交流、论坛讲座、导游讲解等重点内容源头治理和审核把关，推动网络文化健康有序发展。</w:t>
      </w:r>
      <w:r>
        <w:rPr>
          <w:rFonts w:hint="eastAsia" w:ascii="仿宋_GB2312" w:eastAsia="仿宋_GB2312"/>
          <w:sz w:val="32"/>
          <w:szCs w:val="36"/>
        </w:rPr>
        <w:t>深化与社区、学校等主体合作，常态化开展文旅安全知识讲座及宣传活动，提升公众文旅安全意识。深入开展“安全文化进景区”活动，在重点文化和旅游场所通过播放安全教育宣传片、设立警示标识等方式，普及安全知识、强化安全警示。运用大数据、人工智能等技术，开展文旅安全数据研判和风险预警，精准排查潜在安全风险，提前落实防范管控措施</w:t>
      </w:r>
      <w:r>
        <w:rPr>
          <w:rFonts w:ascii="仿宋_GB2312" w:eastAsia="仿宋_GB2312"/>
          <w:sz w:val="32"/>
          <w:szCs w:val="36"/>
        </w:rPr>
        <w:t>，牢牢守住文旅行业安全底线</w:t>
      </w:r>
      <w:r>
        <w:rPr>
          <w:rFonts w:hint="eastAsia" w:ascii="仿宋_GB2312" w:eastAsia="仿宋_GB2312"/>
          <w:sz w:val="32"/>
          <w:szCs w:val="36"/>
        </w:rPr>
        <w:t>。</w:t>
      </w:r>
    </w:p>
    <w:p w14:paraId="43481AAF">
      <w:pPr>
        <w:rPr>
          <w:sz w:val="28"/>
          <w:szCs w:val="32"/>
        </w:rPr>
      </w:pPr>
      <w:r>
        <w:rPr>
          <w:sz w:val="28"/>
          <w:szCs w:val="32"/>
        </w:rPr>
        <w:br w:type="page"/>
      </w:r>
    </w:p>
    <w:p w14:paraId="40348F3B">
      <w:pPr>
        <w:pStyle w:val="3"/>
        <w:keepNext w:val="0"/>
        <w:keepLines w:val="0"/>
        <w:widowControl/>
        <w:spacing w:before="156" w:beforeLines="50" w:after="156" w:afterLines="50" w:line="560" w:lineRule="exact"/>
        <w:jc w:val="center"/>
        <w:rPr>
          <w:rFonts w:hint="eastAsia" w:ascii="黑体" w:hAnsi="黑体" w:eastAsia="黑体"/>
          <w:b/>
          <w:bCs/>
          <w:color w:val="auto"/>
          <w:sz w:val="32"/>
          <w:szCs w:val="32"/>
        </w:rPr>
      </w:pPr>
      <w:bookmarkStart w:id="219" w:name="_Toc29746"/>
      <w:bookmarkStart w:id="220" w:name="_Toc4398"/>
      <w:bookmarkStart w:id="221" w:name="_Toc216"/>
      <w:bookmarkStart w:id="222" w:name="_Toc6624"/>
      <w:bookmarkStart w:id="223" w:name="_Toc29724"/>
      <w:bookmarkStart w:id="224" w:name="_Toc28264"/>
      <w:bookmarkStart w:id="225" w:name="_Toc27912"/>
      <w:bookmarkStart w:id="226" w:name="_Toc8939"/>
      <w:r>
        <w:rPr>
          <w:rFonts w:hint="eastAsia" w:ascii="黑体" w:hAnsi="黑体" w:eastAsia="黑体"/>
          <w:b/>
          <w:bCs/>
          <w:color w:val="auto"/>
          <w:sz w:val="32"/>
          <w:szCs w:val="32"/>
        </w:rPr>
        <w:t>第十章 塑造品牌体系，彰显城市副中心品质形象</w:t>
      </w:r>
      <w:bookmarkEnd w:id="219"/>
      <w:bookmarkEnd w:id="220"/>
      <w:bookmarkEnd w:id="221"/>
      <w:bookmarkEnd w:id="222"/>
      <w:bookmarkEnd w:id="223"/>
      <w:bookmarkEnd w:id="224"/>
      <w:bookmarkEnd w:id="225"/>
      <w:bookmarkEnd w:id="226"/>
    </w:p>
    <w:p w14:paraId="4231413D">
      <w:pPr>
        <w:pStyle w:val="2"/>
        <w:keepNext w:val="0"/>
        <w:keepLines w:val="0"/>
        <w:pageBreakBefore w:val="0"/>
        <w:kinsoku/>
        <w:wordWrap/>
        <w:overflowPunct/>
        <w:topLinePunct w:val="0"/>
        <w:autoSpaceDE/>
        <w:autoSpaceDN/>
        <w:bidi w:val="0"/>
        <w:adjustRightInd/>
        <w:snapToGrid/>
        <w:spacing w:after="0" w:line="560" w:lineRule="exact"/>
        <w:ind w:left="0" w:leftChars="0" w:firstLine="640" w:firstLineChars="200"/>
        <w:textAlignment w:val="auto"/>
        <w:rPr>
          <w:rFonts w:hint="default" w:eastAsia="仿宋_GB2312"/>
          <w:lang w:val="en-US" w:eastAsia="zh-CN"/>
        </w:rPr>
      </w:pPr>
      <w:r>
        <w:rPr>
          <w:rFonts w:hint="eastAsia" w:ascii="仿宋_GB2312" w:hAnsi="Times New Roman" w:eastAsia="仿宋_GB2312"/>
          <w:sz w:val="32"/>
          <w:szCs w:val="32"/>
          <w:lang w:val="en-US" w:eastAsia="zh-CN"/>
        </w:rPr>
        <w:t>创新构建文旅品牌矩阵，持续拓展国内旅游市场，积极拓展入境旅游市场，不断加强区域文旅合作，全面提升通州区文旅品牌影响力。</w:t>
      </w:r>
    </w:p>
    <w:p w14:paraId="0FAEBEC8">
      <w:pPr>
        <w:keepNext w:val="0"/>
        <w:keepLines w:val="0"/>
        <w:pageBreakBefore w:val="0"/>
        <w:kinsoku/>
        <w:wordWrap/>
        <w:overflowPunct/>
        <w:topLinePunct w:val="0"/>
        <w:autoSpaceDE/>
        <w:autoSpaceDN/>
        <w:bidi w:val="0"/>
        <w:adjustRightInd/>
        <w:snapToGrid/>
        <w:spacing w:line="560" w:lineRule="exact"/>
        <w:ind w:firstLine="643" w:firstLineChars="200"/>
        <w:textAlignment w:val="auto"/>
        <w:outlineLvl w:val="1"/>
        <w:rPr>
          <w:rFonts w:hint="eastAsia" w:ascii="黑体" w:hAnsi="黑体" w:eastAsia="黑体" w:cs="黑体"/>
          <w:b/>
          <w:bCs/>
          <w:sz w:val="32"/>
          <w:szCs w:val="32"/>
        </w:rPr>
      </w:pPr>
      <w:bookmarkStart w:id="227" w:name="_Toc6095"/>
      <w:bookmarkStart w:id="228" w:name="_Toc3763"/>
      <w:bookmarkStart w:id="229" w:name="_Toc24306"/>
      <w:bookmarkStart w:id="230" w:name="_Toc32532"/>
      <w:bookmarkStart w:id="231" w:name="_Toc12886"/>
      <w:bookmarkStart w:id="232" w:name="_Toc24387"/>
      <w:bookmarkStart w:id="233" w:name="_Toc2176"/>
      <w:bookmarkStart w:id="234" w:name="_Toc30557"/>
      <w:r>
        <w:rPr>
          <w:rFonts w:hint="eastAsia" w:ascii="黑体" w:hAnsi="黑体" w:eastAsia="黑体" w:cs="黑体"/>
          <w:b/>
          <w:bCs/>
          <w:sz w:val="32"/>
          <w:szCs w:val="32"/>
        </w:rPr>
        <w:t>一、</w:t>
      </w:r>
      <w:bookmarkEnd w:id="227"/>
      <w:r>
        <w:rPr>
          <w:rFonts w:hint="eastAsia" w:ascii="黑体" w:hAnsi="黑体" w:eastAsia="黑体" w:cs="黑体"/>
          <w:b/>
          <w:bCs/>
          <w:sz w:val="32"/>
          <w:szCs w:val="32"/>
        </w:rPr>
        <w:t>加强品牌宣传推广</w:t>
      </w:r>
      <w:bookmarkEnd w:id="228"/>
      <w:bookmarkEnd w:id="229"/>
      <w:bookmarkEnd w:id="230"/>
      <w:bookmarkEnd w:id="231"/>
      <w:bookmarkEnd w:id="232"/>
      <w:bookmarkEnd w:id="233"/>
      <w:bookmarkEnd w:id="234"/>
    </w:p>
    <w:p w14:paraId="5B679AB6">
      <w:pPr>
        <w:keepNext w:val="0"/>
        <w:keepLines w:val="0"/>
        <w:pageBreakBefore w:val="0"/>
        <w:widowControl/>
        <w:kinsoku/>
        <w:wordWrap/>
        <w:overflowPunct/>
        <w:topLinePunct w:val="0"/>
        <w:autoSpaceDE/>
        <w:autoSpaceDN/>
        <w:bidi w:val="0"/>
        <w:adjustRightInd/>
        <w:snapToGrid/>
        <w:spacing w:line="560" w:lineRule="exact"/>
        <w:ind w:firstLine="643" w:firstLineChars="200"/>
        <w:textAlignment w:val="auto"/>
        <w:rPr>
          <w:rFonts w:ascii="仿宋_GB2312" w:hAnsi="Times New Roman" w:eastAsia="仿宋_GB2312"/>
          <w:sz w:val="32"/>
          <w:szCs w:val="32"/>
        </w:rPr>
      </w:pPr>
      <w:r>
        <w:rPr>
          <w:rFonts w:hint="eastAsia" w:ascii="仿宋_GB2312" w:hAnsi="Times New Roman" w:eastAsia="仿宋_GB2312"/>
          <w:b/>
          <w:bCs/>
          <w:sz w:val="32"/>
          <w:szCs w:val="32"/>
        </w:rPr>
        <w:t>创新构建文旅品牌矩阵。</w:t>
      </w:r>
      <w:bookmarkStart w:id="235" w:name="_Hlk214308923"/>
      <w:r>
        <w:rPr>
          <w:rFonts w:hint="eastAsia" w:ascii="仿宋_GB2312" w:hAnsi="Times New Roman" w:eastAsia="仿宋_GB2312"/>
          <w:sz w:val="32"/>
          <w:szCs w:val="32"/>
          <w:lang w:bidi="ar"/>
        </w:rPr>
        <w:t>创新展示通州文旅品牌形象，系统构建“1+N”全域文旅品牌矩阵，彰显</w:t>
      </w:r>
      <w:r>
        <w:rPr>
          <w:rFonts w:hint="eastAsia" w:ascii="仿宋_GB2312" w:hAnsi="Times New Roman" w:eastAsia="仿宋_GB2312"/>
          <w:sz w:val="32"/>
          <w:szCs w:val="32"/>
          <w:lang w:val="en-US" w:eastAsia="zh-CN" w:bidi="ar"/>
        </w:rPr>
        <w:t>北京城市</w:t>
      </w:r>
      <w:r>
        <w:rPr>
          <w:rFonts w:hint="eastAsia" w:ascii="仿宋_GB2312" w:hAnsi="Times New Roman" w:eastAsia="仿宋_GB2312"/>
          <w:sz w:val="32"/>
          <w:szCs w:val="32"/>
          <w:lang w:bidi="ar"/>
        </w:rPr>
        <w:t>副中心文旅特色与魅力。“1”即以“运河上的通州”为核心品牌，深度挖掘运河文化内涵，打造兼具辨识度与影响力的核心IP；“N”即培育打造差异化子品牌集群，</w:t>
      </w:r>
      <w:r>
        <w:rPr>
          <w:rFonts w:hint="eastAsia" w:ascii="仿宋_GB2312" w:hAnsi="Times New Roman" w:eastAsia="仿宋_GB2312"/>
          <w:sz w:val="32"/>
          <w:szCs w:val="32"/>
          <w:lang w:val="en-US" w:eastAsia="zh-CN" w:bidi="ar"/>
        </w:rPr>
        <w:t>包含</w:t>
      </w:r>
      <w:r>
        <w:rPr>
          <w:rFonts w:hint="eastAsia" w:ascii="仿宋_GB2312" w:hAnsi="Times New Roman" w:eastAsia="仿宋_GB2312"/>
          <w:sz w:val="32"/>
          <w:szCs w:val="32"/>
          <w:lang w:bidi="ar"/>
        </w:rPr>
        <w:t>“运河有戏”“通通来运动”等特色</w:t>
      </w:r>
      <w:r>
        <w:rPr>
          <w:rFonts w:hint="eastAsia" w:ascii="仿宋_GB2312" w:hAnsi="Times New Roman" w:eastAsia="仿宋_GB2312"/>
          <w:sz w:val="32"/>
          <w:szCs w:val="32"/>
          <w:lang w:val="en-US" w:eastAsia="zh-CN" w:bidi="ar"/>
        </w:rPr>
        <w:t>子</w:t>
      </w:r>
      <w:r>
        <w:rPr>
          <w:rFonts w:hint="eastAsia" w:ascii="仿宋_GB2312" w:hAnsi="Times New Roman" w:eastAsia="仿宋_GB2312"/>
          <w:sz w:val="32"/>
          <w:szCs w:val="32"/>
          <w:lang w:bidi="ar"/>
        </w:rPr>
        <w:t>品牌</w:t>
      </w:r>
      <w:r>
        <w:rPr>
          <w:rFonts w:hint="eastAsia" w:ascii="仿宋_GB2312" w:hAnsi="Times New Roman" w:eastAsia="仿宋_GB2312"/>
          <w:sz w:val="32"/>
          <w:szCs w:val="32"/>
          <w:lang w:val="en-US" w:eastAsia="zh-CN" w:bidi="ar"/>
        </w:rPr>
        <w:t>。持续宣传“游通州 行大运”</w:t>
      </w:r>
      <w:r>
        <w:rPr>
          <w:rFonts w:hint="eastAsia" w:ascii="仿宋_GB2312" w:hAnsi="Times New Roman" w:eastAsia="仿宋_GB2312" w:cstheme="minorBidi"/>
          <w:sz w:val="32"/>
          <w:szCs w:val="32"/>
          <w:lang w:bidi="ar"/>
        </w:rPr>
        <w:t>城市</w:t>
      </w:r>
      <w:r>
        <w:rPr>
          <w:rFonts w:hint="eastAsia" w:ascii="仿宋_GB2312" w:hAnsi="Times New Roman" w:eastAsia="仿宋_GB2312" w:cstheme="minorBidi"/>
          <w:sz w:val="32"/>
          <w:szCs w:val="32"/>
          <w:lang w:val="en-US" w:eastAsia="zh-CN" w:bidi="ar"/>
        </w:rPr>
        <w:t>文旅传播口号。</w:t>
      </w:r>
    </w:p>
    <w:bookmarkEnd w:id="235"/>
    <w:p w14:paraId="63711593">
      <w:pPr>
        <w:widowControl/>
        <w:spacing w:line="560" w:lineRule="exact"/>
        <w:ind w:firstLine="643" w:firstLineChars="200"/>
        <w:rPr>
          <w:rFonts w:ascii="仿宋_GB2312" w:hAnsi="Times New Roman" w:eastAsia="仿宋_GB2312"/>
          <w:sz w:val="32"/>
          <w:szCs w:val="32"/>
          <w:lang w:bidi="ar"/>
        </w:rPr>
      </w:pPr>
      <w:r>
        <w:rPr>
          <w:rFonts w:hint="eastAsia" w:ascii="仿宋_GB2312" w:hAnsi="仿宋_GB2312" w:eastAsia="仿宋_GB2312" w:cs="仿宋_GB2312"/>
          <w:b/>
          <w:bCs/>
          <w:sz w:val="32"/>
          <w:szCs w:val="32"/>
          <w:shd w:val="clear" w:color="auto" w:fill="FFFFFF"/>
        </w:rPr>
        <w:t>强化媒体宣传推广。</w:t>
      </w:r>
      <w:r>
        <w:rPr>
          <w:rFonts w:hint="eastAsia" w:ascii="仿宋_GB2312" w:hAnsi="Times New Roman" w:eastAsia="仿宋_GB2312"/>
          <w:sz w:val="32"/>
          <w:szCs w:val="32"/>
        </w:rPr>
        <w:t>紧密围绕“运河上的通州”文旅品牌，深化与央</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市级媒体战略合作，依托“文旅通州”新媒体矩阵，打造立体化宣传网络。创新数字传播手段，把握微短剧发展风口，鼓励创作通州题材精品短剧与短视频，利用XR、人工智能等技术赋能，讲好通州故事。深化区域联动推广，开展跨区域媒体协作，举办大运河文化IP沙龙及主题推广活动，推动文商旅体跨区域联动，持续擦亮千年运河文化金名片，提升</w:t>
      </w:r>
      <w:r>
        <w:rPr>
          <w:rFonts w:hint="eastAsia" w:ascii="仿宋_GB2312" w:hAnsi="Times New Roman" w:eastAsia="仿宋_GB2312"/>
          <w:sz w:val="32"/>
          <w:szCs w:val="32"/>
          <w:lang w:val="en-US" w:eastAsia="zh-CN"/>
        </w:rPr>
        <w:t>北京城市</w:t>
      </w:r>
      <w:r>
        <w:rPr>
          <w:rFonts w:hint="eastAsia" w:ascii="仿宋_GB2312" w:hAnsi="Times New Roman" w:eastAsia="仿宋_GB2312"/>
          <w:sz w:val="32"/>
          <w:szCs w:val="32"/>
        </w:rPr>
        <w:t>副中心全球吸引力。</w:t>
      </w:r>
    </w:p>
    <w:p w14:paraId="04558CE3">
      <w:pPr>
        <w:pStyle w:val="2"/>
        <w:spacing w:after="0" w:line="560" w:lineRule="exact"/>
        <w:ind w:left="0" w:leftChars="0" w:firstLine="643" w:firstLineChars="200"/>
        <w:rPr>
          <w:rFonts w:hint="eastAsia" w:ascii="仿宋_GB2312" w:hAnsi="仿宋_GB2312" w:eastAsia="仿宋_GB2312" w:cs="仿宋_GB2312"/>
          <w:sz w:val="32"/>
          <w:szCs w:val="40"/>
        </w:rPr>
      </w:pPr>
      <w:r>
        <w:rPr>
          <w:rFonts w:hint="eastAsia" w:ascii="仿宋_GB2312" w:hAnsi="仿宋_GB2312" w:eastAsia="仿宋_GB2312" w:cs="仿宋_GB2312"/>
          <w:b/>
          <w:bCs/>
          <w:sz w:val="32"/>
          <w:szCs w:val="32"/>
          <w:shd w:val="clear" w:color="auto" w:fill="FFFFFF"/>
        </w:rPr>
        <w:t>拓展国内旅游市场。</w:t>
      </w:r>
      <w:r>
        <w:rPr>
          <w:rFonts w:hint="eastAsia" w:ascii="仿宋_GB2312" w:hAnsi="仿宋_GB2312" w:eastAsia="仿宋_GB2312" w:cs="仿宋_GB2312"/>
          <w:sz w:val="32"/>
          <w:szCs w:val="32"/>
          <w:shd w:val="clear" w:color="auto" w:fill="FFFFFF"/>
        </w:rPr>
        <w:t>持续巩固京津冀区域市场，进一步加大在京津冀重要商圈、社区、公共交通系统等文旅宣传力度。积极拓展长三角城市群、成渝城市群及粤港澳大湾区城市群等重点城市开展文旅宣传，</w:t>
      </w:r>
      <w:r>
        <w:rPr>
          <w:rFonts w:ascii="仿宋_GB2312" w:hAnsi="仿宋_GB2312" w:eastAsia="仿宋_GB2312" w:cs="仿宋_GB2312"/>
          <w:sz w:val="32"/>
          <w:szCs w:val="32"/>
          <w:shd w:val="clear" w:color="auto" w:fill="FFFFFF"/>
        </w:rPr>
        <w:t>在重点客源市场的</w:t>
      </w:r>
      <w:r>
        <w:rPr>
          <w:rFonts w:hint="eastAsia" w:ascii="仿宋_GB2312" w:hAnsi="仿宋_GB2312" w:eastAsia="仿宋_GB2312" w:cs="仿宋_GB2312"/>
          <w:sz w:val="32"/>
          <w:szCs w:val="32"/>
          <w:shd w:val="clear" w:color="auto" w:fill="FFFFFF"/>
        </w:rPr>
        <w:t>机场、</w:t>
      </w:r>
      <w:r>
        <w:rPr>
          <w:rFonts w:ascii="仿宋_GB2312" w:hAnsi="仿宋_GB2312" w:eastAsia="仿宋_GB2312" w:cs="仿宋_GB2312"/>
          <w:sz w:val="32"/>
          <w:szCs w:val="32"/>
          <w:shd w:val="clear" w:color="auto" w:fill="FFFFFF"/>
        </w:rPr>
        <w:t>火车站、地铁、商圈等广泛布局场景营销</w:t>
      </w:r>
      <w:r>
        <w:rPr>
          <w:rFonts w:hint="eastAsia" w:ascii="仿宋_GB2312" w:hAnsi="仿宋_GB2312" w:eastAsia="仿宋_GB2312" w:cs="仿宋_GB2312"/>
          <w:sz w:val="32"/>
          <w:szCs w:val="32"/>
          <w:shd w:val="clear" w:color="auto" w:fill="FFFFFF"/>
        </w:rPr>
        <w:t>。积极借势</w:t>
      </w:r>
      <w:r>
        <w:rPr>
          <w:rFonts w:ascii="仿宋_GB2312" w:hAnsi="仿宋_GB2312" w:eastAsia="仿宋_GB2312" w:cs="仿宋_GB2312"/>
          <w:sz w:val="32"/>
          <w:szCs w:val="32"/>
          <w:shd w:val="clear" w:color="auto" w:fill="FFFFFF"/>
        </w:rPr>
        <w:t>中国国际旅游交易会</w:t>
      </w:r>
      <w:r>
        <w:rPr>
          <w:rFonts w:hint="eastAsia" w:ascii="仿宋_GB2312" w:hAnsi="仿宋_GB2312" w:eastAsia="仿宋_GB2312" w:cs="仿宋_GB2312"/>
          <w:sz w:val="32"/>
          <w:szCs w:val="32"/>
          <w:shd w:val="clear" w:color="auto" w:fill="FFFFFF"/>
        </w:rPr>
        <w:t>等国内外重点展会平台提升通州区文化旅游知名度和影响力。</w:t>
      </w:r>
    </w:p>
    <w:p w14:paraId="610A83D4">
      <w:pPr>
        <w:spacing w:line="560" w:lineRule="exact"/>
        <w:ind w:firstLine="643" w:firstLineChars="200"/>
        <w:outlineLvl w:val="1"/>
        <w:rPr>
          <w:rFonts w:hint="eastAsia" w:ascii="黑体" w:hAnsi="黑体" w:eastAsia="黑体" w:cs="黑体"/>
          <w:b/>
          <w:bCs/>
          <w:sz w:val="32"/>
          <w:szCs w:val="32"/>
        </w:rPr>
      </w:pPr>
      <w:bookmarkStart w:id="236" w:name="_Toc22265"/>
      <w:bookmarkStart w:id="237" w:name="_Toc28168"/>
      <w:bookmarkStart w:id="238" w:name="_Toc19330"/>
      <w:bookmarkStart w:id="239" w:name="_Toc9131"/>
      <w:bookmarkStart w:id="240" w:name="_Toc14286"/>
      <w:bookmarkStart w:id="241" w:name="_Toc20173"/>
      <w:bookmarkStart w:id="242" w:name="_Toc1380"/>
      <w:bookmarkStart w:id="243" w:name="_Toc2408"/>
      <w:r>
        <w:rPr>
          <w:rFonts w:hint="eastAsia" w:ascii="黑体" w:hAnsi="黑体" w:eastAsia="黑体" w:cs="黑体"/>
          <w:b/>
          <w:bCs/>
          <w:sz w:val="32"/>
          <w:szCs w:val="32"/>
        </w:rPr>
        <w:t>二、持续提升入境旅游</w:t>
      </w:r>
      <w:bookmarkEnd w:id="236"/>
      <w:bookmarkEnd w:id="237"/>
      <w:bookmarkEnd w:id="238"/>
      <w:bookmarkEnd w:id="239"/>
      <w:bookmarkEnd w:id="240"/>
      <w:bookmarkEnd w:id="241"/>
      <w:bookmarkEnd w:id="242"/>
      <w:bookmarkEnd w:id="243"/>
    </w:p>
    <w:p w14:paraId="6B705206">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lang w:val="en-US" w:eastAsia="zh-CN"/>
        </w:rPr>
        <w:t>加强</w:t>
      </w:r>
      <w:r>
        <w:rPr>
          <w:rFonts w:hint="eastAsia" w:ascii="仿宋_GB2312" w:hAnsi="Times New Roman" w:eastAsia="仿宋_GB2312"/>
          <w:b/>
          <w:bCs/>
          <w:sz w:val="32"/>
          <w:szCs w:val="32"/>
        </w:rPr>
        <w:t>国际化交流平台建设。</w:t>
      </w:r>
      <w:bookmarkStart w:id="244" w:name="_Hlk213837163"/>
      <w:r>
        <w:rPr>
          <w:rFonts w:hint="eastAsia" w:ascii="仿宋_GB2312" w:hAnsi="Times New Roman" w:eastAsia="仿宋_GB2312"/>
          <w:sz w:val="32"/>
          <w:szCs w:val="32"/>
        </w:rPr>
        <w:t>持续开展“京彩通州”入境游项目，打造一批具有国际影响力和辨识度的交流平台。</w:t>
      </w:r>
      <w:bookmarkEnd w:id="244"/>
      <w:r>
        <w:rPr>
          <w:rFonts w:hint="eastAsia" w:ascii="仿宋_GB2312" w:hAnsi="Times New Roman" w:eastAsia="仿宋_GB2312"/>
          <w:sz w:val="32"/>
          <w:szCs w:val="32"/>
        </w:rPr>
        <w:t>完善高端会议配套，</w:t>
      </w:r>
      <w:r>
        <w:rPr>
          <w:rFonts w:hint="eastAsia" w:ascii="仿宋_GB2312" w:hAnsi="Times New Roman" w:eastAsia="仿宋_GB2312"/>
          <w:sz w:val="32"/>
          <w:szCs w:val="32"/>
          <w:lang w:val="en-US" w:eastAsia="zh-CN"/>
        </w:rPr>
        <w:t>积极</w:t>
      </w:r>
      <w:r>
        <w:rPr>
          <w:rFonts w:hint="eastAsia" w:ascii="仿宋_GB2312" w:hAnsi="Times New Roman" w:eastAsia="仿宋_GB2312"/>
          <w:sz w:val="32"/>
          <w:szCs w:val="32"/>
        </w:rPr>
        <w:t>承办国际化特色会展、国际化交流会议、学术论坛等品牌活动，引导更多有影响力的国际性活动落地</w:t>
      </w:r>
      <w:r>
        <w:rPr>
          <w:rFonts w:hint="eastAsia" w:ascii="仿宋_GB2312" w:hAnsi="Times New Roman" w:eastAsia="仿宋_GB2312"/>
          <w:sz w:val="32"/>
          <w:szCs w:val="32"/>
          <w:lang w:val="en-US" w:eastAsia="zh-CN"/>
        </w:rPr>
        <w:t>通州</w:t>
      </w:r>
      <w:r>
        <w:rPr>
          <w:rFonts w:hint="eastAsia" w:ascii="仿宋_GB2312" w:hAnsi="Times New Roman" w:eastAsia="仿宋_GB2312"/>
          <w:sz w:val="32"/>
          <w:szCs w:val="32"/>
        </w:rPr>
        <w:t>。依托京杭大运河、同仁堂总部科创基地、漷县医药健康产业集聚区等开发“大运河+中医药+文旅”特色体验线路，向国际游客讲好“运河北首”“通州中医药”故事。</w:t>
      </w:r>
    </w:p>
    <w:p w14:paraId="4F07B39A">
      <w:pPr>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提升入境旅游便利化。</w:t>
      </w:r>
      <w:r>
        <w:rPr>
          <w:rFonts w:hint="eastAsia" w:ascii="仿宋_GB2312" w:hAnsi="仿宋_GB2312" w:eastAsia="仿宋_GB2312" w:cs="仿宋_GB2312"/>
          <w:sz w:val="32"/>
          <w:szCs w:val="32"/>
          <w:shd w:val="clear" w:color="auto" w:fill="FFFFFF"/>
        </w:rPr>
        <w:t>依托北京通州站枢纽能级，完善内外交通接驳网络，提升文旅往来通达性与出行便利度。以大运河文化带、北京环球度假区等为核心，串联形成古今交融的入</w:t>
      </w:r>
      <w:r>
        <w:rPr>
          <w:rFonts w:hint="eastAsia" w:ascii="仿宋_GB2312" w:hAnsi="Times New Roman" w:eastAsia="仿宋_GB2312"/>
          <w:sz w:val="32"/>
          <w:szCs w:val="32"/>
        </w:rPr>
        <w:t>境游新路线。</w:t>
      </w:r>
      <w:r>
        <w:rPr>
          <w:rFonts w:hint="eastAsia" w:ascii="仿宋_GB2312" w:hAnsi="仿宋_GB2312" w:eastAsia="仿宋_GB2312" w:cs="仿宋_GB2312"/>
          <w:sz w:val="32"/>
          <w:szCs w:val="32"/>
          <w:shd w:val="clear" w:color="auto" w:fill="FFFFFF"/>
        </w:rPr>
        <w:t>在</w:t>
      </w:r>
      <w:r>
        <w:rPr>
          <w:rFonts w:hint="eastAsia" w:ascii="仿宋_GB2312" w:hAnsi="仿宋_GB2312" w:eastAsia="仿宋_GB2312" w:cs="仿宋_GB2312"/>
          <w:sz w:val="32"/>
          <w:szCs w:val="32"/>
          <w:shd w:val="clear" w:color="auto" w:fill="FFFFFF"/>
          <w:lang w:val="en-US" w:eastAsia="zh-CN"/>
        </w:rPr>
        <w:t>北京通州站等</w:t>
      </w:r>
      <w:r>
        <w:rPr>
          <w:rFonts w:hint="eastAsia" w:ascii="仿宋_GB2312" w:hAnsi="仿宋_GB2312" w:eastAsia="仿宋_GB2312" w:cs="仿宋_GB2312"/>
          <w:sz w:val="32"/>
          <w:szCs w:val="32"/>
          <w:shd w:val="clear" w:color="auto" w:fill="FFFFFF"/>
        </w:rPr>
        <w:t>重要交通枢纽增设多语种服务，完善无障碍设施。推动在重点场所配备多语种标识标牌，提高旅游咨询服务国际化水平。持续改善区内重点旅游景区、度假区、酒店等重点场所外卡受理环境，</w:t>
      </w:r>
      <w:r>
        <w:rPr>
          <w:rFonts w:ascii="仿宋_GB2312" w:hAnsi="仿宋_GB2312" w:eastAsia="仿宋_GB2312" w:cs="仿宋_GB2312"/>
          <w:sz w:val="32"/>
          <w:szCs w:val="32"/>
          <w:shd w:val="clear" w:color="auto" w:fill="FFFFFF"/>
        </w:rPr>
        <w:t>广泛增设外币兑换点、支持外卡的POS机和ATM机，</w:t>
      </w:r>
      <w:r>
        <w:rPr>
          <w:rFonts w:hint="eastAsia" w:ascii="仿宋_GB2312" w:hAnsi="仿宋_GB2312" w:eastAsia="仿宋_GB2312" w:cs="仿宋_GB2312"/>
          <w:sz w:val="32"/>
          <w:szCs w:val="32"/>
          <w:shd w:val="clear" w:color="auto" w:fill="FFFFFF"/>
        </w:rPr>
        <w:t>提升移动支付便利性</w:t>
      </w:r>
      <w:r>
        <w:rPr>
          <w:rFonts w:hint="eastAsia" w:ascii="仿宋_GB2312" w:hAnsi="仿宋_GB2312" w:eastAsia="仿宋_GB2312" w:cs="仿宋_GB2312"/>
          <w:sz w:val="32"/>
          <w:szCs w:val="32"/>
          <w:shd w:val="clear" w:color="auto" w:fill="FFFFFF"/>
          <w:lang w:eastAsia="zh-CN"/>
        </w:rPr>
        <w:t>，</w:t>
      </w:r>
      <w:r>
        <w:rPr>
          <w:rFonts w:hint="eastAsia" w:ascii="仿宋_GB2312" w:hAnsi="Times New Roman" w:eastAsia="仿宋_GB2312"/>
          <w:sz w:val="32"/>
          <w:szCs w:val="32"/>
        </w:rPr>
        <w:t>全面优化国际支付便利度。</w:t>
      </w:r>
    </w:p>
    <w:p w14:paraId="75820BDC">
      <w:pPr>
        <w:wordWrap w:val="0"/>
        <w:spacing w:line="560" w:lineRule="exact"/>
        <w:ind w:firstLine="643" w:firstLineChars="200"/>
        <w:rPr>
          <w:rFonts w:ascii="仿宋_GB2312" w:hAnsi="Times New Roman" w:eastAsia="仿宋_GB2312"/>
          <w:sz w:val="32"/>
          <w:szCs w:val="32"/>
        </w:rPr>
      </w:pPr>
      <w:r>
        <w:rPr>
          <w:rFonts w:hint="eastAsia" w:ascii="仿宋_GB2312" w:hAnsi="Times New Roman" w:eastAsia="仿宋_GB2312"/>
          <w:b/>
          <w:bCs/>
          <w:sz w:val="32"/>
          <w:szCs w:val="32"/>
        </w:rPr>
        <w:t>积极拓展国际传播。</w:t>
      </w:r>
      <w:r>
        <w:rPr>
          <w:rFonts w:hint="eastAsia" w:ascii="仿宋_GB2312" w:hAnsi="Times New Roman" w:eastAsia="仿宋_GB2312"/>
          <w:sz w:val="32"/>
          <w:szCs w:val="32"/>
        </w:rPr>
        <w:t>深度对接国际传播资深媒体，积极策划海外传播活动与合作项目，讲好“副中心故事”，提升国际传播效能。推动内容生产、平台运营、技术应用的国际化升级，打造一批具有全球吸引力的现象级融媒体产品。</w:t>
      </w:r>
      <w:r>
        <w:rPr>
          <w:rFonts w:ascii="仿宋_GB2312" w:hAnsi="仿宋_GB2312" w:eastAsia="仿宋_GB2312" w:cs="仿宋_GB2312"/>
          <w:sz w:val="32"/>
          <w:szCs w:val="32"/>
          <w:shd w:val="clear" w:color="auto" w:fill="FFFFFF"/>
        </w:rPr>
        <w:t>面向“一带一路”国家和重点客源国开展文化交流和旅游推介活动。</w:t>
      </w:r>
      <w:r>
        <w:rPr>
          <w:rFonts w:hint="eastAsia" w:ascii="仿宋_GB2312" w:hAnsi="仿宋_GB2312" w:eastAsia="仿宋_GB2312" w:cs="仿宋_GB2312"/>
          <w:sz w:val="32"/>
          <w:szCs w:val="32"/>
          <w:shd w:val="clear" w:color="auto" w:fill="FFFFFF"/>
        </w:rPr>
        <w:t>在海外华人华侨社团、商会协会、旅行社等机构建立宣传阵地。</w:t>
      </w:r>
      <w:r>
        <w:rPr>
          <w:rFonts w:hint="eastAsia" w:ascii="仿宋_GB2312" w:hAnsi="Times New Roman" w:eastAsia="仿宋_GB2312"/>
          <w:sz w:val="32"/>
          <w:szCs w:val="32"/>
        </w:rPr>
        <w:t>着力建设与运营好海外社交媒体官方账号。</w:t>
      </w:r>
    </w:p>
    <w:p w14:paraId="190DECDD">
      <w:pPr>
        <w:spacing w:line="560" w:lineRule="exact"/>
        <w:ind w:firstLine="643" w:firstLineChars="200"/>
        <w:outlineLvl w:val="1"/>
        <w:rPr>
          <w:rFonts w:hint="eastAsia" w:ascii="黑体" w:hAnsi="黑体" w:eastAsia="黑体" w:cs="黑体"/>
          <w:b/>
          <w:bCs/>
          <w:sz w:val="32"/>
          <w:szCs w:val="32"/>
        </w:rPr>
      </w:pPr>
      <w:bookmarkStart w:id="245" w:name="_Toc7068"/>
      <w:bookmarkStart w:id="246" w:name="_Toc2203"/>
      <w:bookmarkStart w:id="247" w:name="_Toc5441"/>
      <w:bookmarkStart w:id="248" w:name="_Toc30663"/>
      <w:bookmarkStart w:id="249" w:name="_Toc27808"/>
      <w:bookmarkStart w:id="250" w:name="_Toc20413"/>
      <w:bookmarkStart w:id="251" w:name="_Toc14338"/>
      <w:bookmarkStart w:id="252" w:name="_Toc22420"/>
      <w:r>
        <w:rPr>
          <w:rFonts w:hint="eastAsia" w:ascii="黑体" w:hAnsi="黑体" w:eastAsia="黑体" w:cs="黑体"/>
          <w:b/>
          <w:bCs/>
          <w:sz w:val="32"/>
          <w:szCs w:val="32"/>
        </w:rPr>
        <w:t>三、全面推进区域合作</w:t>
      </w:r>
      <w:bookmarkEnd w:id="245"/>
      <w:bookmarkEnd w:id="246"/>
      <w:bookmarkEnd w:id="247"/>
      <w:bookmarkEnd w:id="248"/>
      <w:bookmarkEnd w:id="249"/>
      <w:bookmarkEnd w:id="250"/>
      <w:bookmarkEnd w:id="251"/>
    </w:p>
    <w:p w14:paraId="46448A2A">
      <w:pPr>
        <w:spacing w:line="560" w:lineRule="exact"/>
        <w:ind w:firstLine="643" w:firstLineChars="200"/>
        <w:rPr>
          <w:rFonts w:ascii="Cambria Math" w:hAnsi="Cambria Math" w:eastAsia="仿宋_GB2312" w:cs="Cambria Math"/>
          <w:sz w:val="32"/>
          <w:szCs w:val="32"/>
        </w:rPr>
      </w:pPr>
      <w:r>
        <w:rPr>
          <w:rFonts w:hint="eastAsia" w:ascii="仿宋_GB2312" w:hAnsi="Times New Roman" w:eastAsia="仿宋_GB2312"/>
          <w:b/>
          <w:bCs/>
          <w:sz w:val="32"/>
          <w:szCs w:val="32"/>
        </w:rPr>
        <w:t>深化京津冀区域协同发展。</w:t>
      </w:r>
      <w:r>
        <w:rPr>
          <w:rFonts w:hint="eastAsia" w:ascii="Cambria Math" w:hAnsi="Cambria Math" w:eastAsia="仿宋_GB2312" w:cs="Cambria Math"/>
          <w:sz w:val="32"/>
          <w:szCs w:val="32"/>
        </w:rPr>
        <w:t>以大运河为连接轴线，强化通州区与大运河沿线重要节点城市的交流互动，尤其是加强在京津冀的协同合作，持续推进通州区与香河段北运河旅游通航。开展京津冀（通武廊）文化旅游交流季，推动通州区与北三县文旅体一体化高质量发展，联合制定产业发展规划，系统推进产业链图谱落地实施</w:t>
      </w:r>
      <w:r>
        <w:rPr>
          <w:rFonts w:hint="eastAsia" w:ascii="Cambria Math" w:hAnsi="Cambria Math" w:eastAsia="仿宋_GB2312" w:cs="Cambria Math"/>
          <w:sz w:val="32"/>
          <w:szCs w:val="32"/>
          <w:lang w:val="en-US" w:eastAsia="zh-CN"/>
        </w:rPr>
        <w:t>和跨区域消费一体化</w:t>
      </w:r>
      <w:r>
        <w:rPr>
          <w:rFonts w:hint="eastAsia" w:ascii="Cambria Math" w:hAnsi="Cambria Math" w:eastAsia="仿宋_GB2312" w:cs="Cambria Math"/>
          <w:sz w:val="32"/>
          <w:szCs w:val="32"/>
        </w:rPr>
        <w:t>，协同建设潮白河国家森林公园。充分发挥通州区商业资源集聚优势，推动城市副中心与北三县及周边京津冀毗邻区域深化商贸往来、强化消费联动协同。提升共建共享的公共服务水平，推动文体设施共建共享，共同打造北运河旅游经济</w:t>
      </w:r>
      <w:r>
        <w:rPr>
          <w:rFonts w:hint="eastAsia" w:ascii="Cambria Math" w:hAnsi="Cambria Math" w:eastAsia="仿宋_GB2312" w:cs="Cambria Math"/>
          <w:sz w:val="32"/>
          <w:szCs w:val="32"/>
          <w:lang w:val="en-US" w:eastAsia="zh-CN"/>
        </w:rPr>
        <w:t>带</w:t>
      </w:r>
      <w:r>
        <w:rPr>
          <w:rFonts w:hint="eastAsia" w:ascii="Cambria Math" w:hAnsi="Cambria Math" w:eastAsia="仿宋_GB2312" w:cs="Cambria Math"/>
          <w:sz w:val="32"/>
          <w:szCs w:val="32"/>
        </w:rPr>
        <w:t>，共同举办特色体验活动和品牌体育赛事，探索“通武</w:t>
      </w:r>
      <w:r>
        <w:rPr>
          <w:rFonts w:hint="eastAsia" w:ascii="仿宋_GB2312" w:hAnsi="Times New Roman" w:eastAsia="仿宋_GB2312"/>
          <w:sz w:val="32"/>
          <w:szCs w:val="32"/>
        </w:rPr>
        <w:t>廊文旅直通车”机制，推动轨道交通平谷线“文旅专列”实现景点联票一码通行。推动通州区更多景区景点纳入京津冀旅游联票体系。</w:t>
      </w:r>
    </w:p>
    <w:p w14:paraId="0499F73B">
      <w:pPr>
        <w:spacing w:line="560" w:lineRule="exact"/>
        <w:ind w:firstLine="643" w:firstLineChars="200"/>
        <w:rPr>
          <w:rFonts w:hint="eastAsia" w:ascii="黑体" w:hAnsi="黑体" w:eastAsia="黑体" w:cs="黑体"/>
          <w:b/>
          <w:bCs/>
          <w:sz w:val="32"/>
          <w:szCs w:val="32"/>
        </w:rPr>
      </w:pPr>
      <w:r>
        <w:rPr>
          <w:rFonts w:hint="eastAsia" w:ascii="仿宋_GB2312" w:hAnsi="仿宋" w:eastAsia="仿宋_GB2312"/>
          <w:b/>
          <w:bCs/>
          <w:sz w:val="32"/>
          <w:szCs w:val="32"/>
        </w:rPr>
        <w:t>强化与北京市对口支援城市间的文旅区域合作。</w:t>
      </w:r>
      <w:r>
        <w:rPr>
          <w:rFonts w:hint="eastAsia" w:ascii="仿宋_GB2312" w:hAnsi="仿宋" w:eastAsia="仿宋_GB2312"/>
          <w:sz w:val="32"/>
          <w:szCs w:val="32"/>
        </w:rPr>
        <w:t>加强京藏、京蒙、京长、京鄂等区域合作，推动非遗活化、红色文旅、生态康养、民俗体验等优势资源互补联动，开展客源互送、宣传互推。强化项目对接、人才交流与运营赋能，助力对口地区文旅提质增效，构建协同联动、互利共赢的文旅发展新格局，服务京津冀协同与国家对口支援战略。</w:t>
      </w:r>
      <w:r>
        <w:rPr>
          <w:rFonts w:hint="eastAsia" w:ascii="黑体" w:hAnsi="黑体" w:eastAsia="黑体" w:cs="黑体"/>
          <w:b/>
          <w:bCs/>
          <w:sz w:val="32"/>
          <w:szCs w:val="32"/>
        </w:rPr>
        <w:br w:type="page"/>
      </w:r>
    </w:p>
    <w:p w14:paraId="21AE4EAE">
      <w:pPr>
        <w:jc w:val="center"/>
        <w:outlineLvl w:val="0"/>
        <w:rPr>
          <w:rFonts w:hint="eastAsia" w:ascii="黑体" w:hAnsi="黑体" w:eastAsia="黑体" w:cs="黑体"/>
          <w:b/>
          <w:bCs/>
          <w:sz w:val="32"/>
          <w:szCs w:val="32"/>
        </w:rPr>
      </w:pPr>
      <w:bookmarkStart w:id="253" w:name="_Toc884"/>
      <w:bookmarkStart w:id="254" w:name="_Toc27519"/>
      <w:bookmarkStart w:id="255" w:name="_Toc1921"/>
      <w:bookmarkStart w:id="256" w:name="_Toc1655"/>
      <w:bookmarkStart w:id="257" w:name="_Toc8202"/>
      <w:bookmarkStart w:id="258" w:name="_Toc28266"/>
      <w:bookmarkStart w:id="259" w:name="_Toc18676"/>
      <w:r>
        <w:rPr>
          <w:rFonts w:hint="eastAsia" w:ascii="黑体" w:hAnsi="黑体" w:eastAsia="黑体" w:cs="黑体"/>
          <w:b/>
          <w:bCs/>
          <w:sz w:val="32"/>
          <w:szCs w:val="32"/>
        </w:rPr>
        <w:t>第十一章 强化统筹推进，完善规划实施保障机制</w:t>
      </w:r>
      <w:bookmarkEnd w:id="252"/>
      <w:bookmarkEnd w:id="253"/>
      <w:bookmarkEnd w:id="254"/>
      <w:bookmarkEnd w:id="255"/>
      <w:bookmarkEnd w:id="256"/>
      <w:bookmarkEnd w:id="257"/>
      <w:bookmarkEnd w:id="258"/>
      <w:bookmarkEnd w:id="259"/>
    </w:p>
    <w:p w14:paraId="370D1E30">
      <w:pPr>
        <w:pStyle w:val="4"/>
        <w:spacing w:before="0" w:after="0" w:line="560" w:lineRule="exact"/>
        <w:ind w:firstLine="640" w:firstLineChars="200"/>
        <w:rPr>
          <w:rFonts w:hint="eastAsia" w:ascii="黑体" w:hAnsi="黑体" w:eastAsia="黑体"/>
          <w:color w:val="auto"/>
          <w:sz w:val="32"/>
          <w:szCs w:val="32"/>
        </w:rPr>
      </w:pPr>
      <w:bookmarkStart w:id="260" w:name="_Toc11512"/>
      <w:bookmarkStart w:id="261" w:name="_Toc32767"/>
      <w:bookmarkStart w:id="262" w:name="_Toc2897"/>
      <w:bookmarkStart w:id="263" w:name="_Toc28492"/>
      <w:bookmarkStart w:id="264" w:name="_Toc10698"/>
      <w:bookmarkStart w:id="265" w:name="_Toc27225"/>
      <w:bookmarkStart w:id="266" w:name="_Toc2954"/>
      <w:bookmarkStart w:id="267" w:name="_Toc22684"/>
      <w:r>
        <w:rPr>
          <w:rFonts w:hint="eastAsia" w:ascii="黑体" w:hAnsi="黑体" w:eastAsia="黑体"/>
          <w:color w:val="auto"/>
          <w:sz w:val="32"/>
          <w:szCs w:val="32"/>
        </w:rPr>
        <w:t>一、加强组织领导</w:t>
      </w:r>
      <w:bookmarkEnd w:id="260"/>
      <w:bookmarkEnd w:id="261"/>
      <w:bookmarkEnd w:id="262"/>
    </w:p>
    <w:p w14:paraId="0D4BDB07">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坚持党的全面领导，完善党委领导、政府负责、部门协同、社会参与的工作机制。锚定发展方向、凝聚攻坚合力、破除体制壁垒、提升治理效能。充分发挥“大文旅”发展工作专班统筹协调作用，健全跨部门联席会议制度，定期研究解决文商旅体融合发展中的重大问题。强化区级部门与街道乡镇联动，建立重点任务台账管理和调度机制，将文商旅体融合发展成效纳入相关部门绩效考核体系。</w:t>
      </w:r>
    </w:p>
    <w:p w14:paraId="321E48E0">
      <w:pPr>
        <w:pStyle w:val="4"/>
        <w:spacing w:before="0" w:after="0" w:line="560" w:lineRule="exact"/>
        <w:ind w:firstLine="640" w:firstLineChars="200"/>
        <w:rPr>
          <w:rFonts w:hint="eastAsia" w:ascii="黑体" w:hAnsi="黑体" w:eastAsia="黑体"/>
          <w:color w:val="auto"/>
          <w:sz w:val="32"/>
          <w:szCs w:val="32"/>
        </w:rPr>
      </w:pPr>
      <w:bookmarkStart w:id="268" w:name="_Toc9545"/>
      <w:bookmarkStart w:id="269" w:name="_Toc30589"/>
      <w:bookmarkStart w:id="270" w:name="_Toc10186"/>
      <w:r>
        <w:rPr>
          <w:rFonts w:hint="eastAsia" w:ascii="黑体" w:hAnsi="黑体" w:eastAsia="黑体"/>
          <w:color w:val="auto"/>
          <w:sz w:val="32"/>
          <w:szCs w:val="32"/>
        </w:rPr>
        <w:t>二、完善政策支持</w:t>
      </w:r>
      <w:bookmarkEnd w:id="268"/>
      <w:bookmarkEnd w:id="269"/>
      <w:bookmarkEnd w:id="270"/>
    </w:p>
    <w:p w14:paraId="4EDE8F18">
      <w:pPr>
        <w:spacing w:line="560" w:lineRule="exact"/>
        <w:ind w:firstLine="640" w:firstLineChars="200"/>
        <w:rPr>
          <w:rFonts w:ascii="仿宋_GB2312" w:hAnsi="Times New Roman" w:eastAsia="仿宋_GB2312"/>
          <w:sz w:val="32"/>
          <w:szCs w:val="32"/>
        </w:rPr>
      </w:pPr>
      <w:bookmarkStart w:id="271" w:name="OLE_LINK12"/>
      <w:r>
        <w:rPr>
          <w:rFonts w:hint="eastAsia" w:ascii="仿宋_GB2312" w:hAnsi="Times New Roman" w:eastAsia="仿宋_GB2312"/>
          <w:sz w:val="32"/>
          <w:szCs w:val="32"/>
        </w:rPr>
        <w:t>持续推出文商旅体融合发展政策包，动态更新配套政策及管理实施办法。谋划设立文商旅体融合发展专项资金，对融合项目给予建设补贴与运营奖励。加大对演艺新空间、特色博物馆、沉浸式商业综合体的培育扶持力度。推进重点领域有序开放，探索推进将城市副中心纳入涉外经营性演出团体审批权下放试点范围，推动入境旅游便利化政策先行先试。强化市场主体培育与金融支持，持续释放“两区”制度优势，聚焦产业链核心环节，对具有强链补链作用的重点企业予以支持，引导中小文旅企业集聚发展。依托北京数据基础制度先行区建设，支持智慧文旅、数字文旅等新技术研发应用，对文旅数据专区建设、艺术品交易平台、产业服务平台等给予政策倾斜。</w:t>
      </w:r>
    </w:p>
    <w:bookmarkEnd w:id="271"/>
    <w:p w14:paraId="4B245DC4">
      <w:pPr>
        <w:pStyle w:val="4"/>
        <w:spacing w:before="0" w:after="0" w:line="560" w:lineRule="exact"/>
        <w:ind w:firstLine="640" w:firstLineChars="200"/>
        <w:rPr>
          <w:rFonts w:hint="eastAsia" w:ascii="黑体" w:hAnsi="黑体" w:eastAsia="黑体"/>
          <w:color w:val="auto"/>
          <w:sz w:val="32"/>
          <w:szCs w:val="32"/>
        </w:rPr>
      </w:pPr>
      <w:bookmarkStart w:id="272" w:name="_Toc27127"/>
      <w:bookmarkStart w:id="273" w:name="_Toc2019"/>
      <w:bookmarkStart w:id="274" w:name="_Toc20375"/>
      <w:r>
        <w:rPr>
          <w:rFonts w:hint="eastAsia" w:ascii="黑体" w:hAnsi="黑体" w:eastAsia="黑体"/>
          <w:color w:val="auto"/>
          <w:sz w:val="32"/>
          <w:szCs w:val="32"/>
        </w:rPr>
        <w:t>三、强化人才建设</w:t>
      </w:r>
      <w:bookmarkEnd w:id="272"/>
      <w:bookmarkEnd w:id="273"/>
      <w:bookmarkEnd w:id="274"/>
    </w:p>
    <w:p w14:paraId="4D2DFE12">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深入实施“运河英才计划”，构建涵盖多层次人才的全方位支持体系，全力建设青年友好之城。推动重大人才政策创新，率先探索高技术人才移民制度试点。积极承接市级下放新型专业职称评审权，吸引行业领军人才。强化校地融合，加快推进科技教育人才一体化发展，联合驻区高校建立契合产业发展需求的人才培养机制，共同构建一批科产教融合育人平台，定向培养跨领域技能人才。持续开展“运河小院”民宿主理人培训，拓展乡村旅游管家、非遗传承人、民宿运营官等定向培训，培育基层服务骨干，建立“星级评定+绩效补贴”激励机制。面向文化产业、旅游业、公共文化服务、文旅数字化、体育产业、商务服务、区域品牌传播等领域遴选专家，组建专家库，为重大项目提供咨询并参与基层实践指导。</w:t>
      </w:r>
    </w:p>
    <w:p w14:paraId="7878D885">
      <w:pPr>
        <w:pStyle w:val="4"/>
        <w:spacing w:line="560" w:lineRule="exact"/>
        <w:ind w:firstLine="640" w:firstLineChars="200"/>
        <w:rPr>
          <w:rFonts w:hint="eastAsia" w:ascii="黑体" w:hAnsi="黑体" w:eastAsia="黑体"/>
          <w:color w:val="auto"/>
          <w:sz w:val="32"/>
          <w:szCs w:val="32"/>
        </w:rPr>
      </w:pPr>
      <w:bookmarkStart w:id="275" w:name="_Toc16131"/>
      <w:bookmarkStart w:id="276" w:name="_Toc444"/>
      <w:bookmarkStart w:id="277" w:name="_Toc31353"/>
      <w:r>
        <w:rPr>
          <w:rFonts w:hint="eastAsia" w:ascii="黑体" w:hAnsi="黑体" w:eastAsia="黑体"/>
          <w:color w:val="auto"/>
          <w:sz w:val="32"/>
          <w:szCs w:val="32"/>
        </w:rPr>
        <w:t>四、加强规划实施</w:t>
      </w:r>
      <w:bookmarkEnd w:id="275"/>
      <w:bookmarkEnd w:id="276"/>
      <w:bookmarkEnd w:id="277"/>
    </w:p>
    <w:p w14:paraId="4F175A4E">
      <w:pPr>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统筹区域重点文旅资源开发与重大文旅项目实施，强化跨部门协作。加强各职能部门责任体系建设，制定配套服务实施方案，明确产业培育与重点任务的完成时限和责任人，形成“双向精准”的工作链条。支持重大项目列入政府投资计划，制定年度重大文化和旅游项目建设折子工程。推进土地利用模式创新，优先保障新增文旅项目土地供应，保持千亿级投资规模对文旅领域的支撑力度</w:t>
      </w:r>
      <w:r>
        <w:rPr>
          <w:rFonts w:ascii="仿宋_GB2312" w:hAnsi="Times New Roman" w:eastAsia="仿宋_GB2312"/>
          <w:sz w:val="32"/>
          <w:szCs w:val="32"/>
        </w:rPr>
        <w:t>。</w:t>
      </w:r>
      <w:bookmarkEnd w:id="263"/>
      <w:bookmarkEnd w:id="264"/>
      <w:bookmarkEnd w:id="265"/>
      <w:bookmarkEnd w:id="266"/>
      <w:bookmarkEnd w:id="267"/>
    </w:p>
    <w:sectPr>
      <w:footerReference r:id="rId4"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D555289-10AB-4B2B-B503-DFBFD48F921E}"/>
  </w:font>
  <w:font w:name="黑体">
    <w:panose1 w:val="02010609060101010101"/>
    <w:charset w:val="86"/>
    <w:family w:val="auto"/>
    <w:pitch w:val="default"/>
    <w:sig w:usb0="800002BF" w:usb1="38CF7CFA" w:usb2="00000016" w:usb3="00000000" w:csb0="00040001" w:csb1="00000000"/>
    <w:embedRegular r:id="rId2" w:fontKey="{4D13D8AC-0447-4724-8939-F455FBAECB1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BC916B3-DCA2-476B-9309-BA11E1A6C2C5}"/>
  </w:font>
  <w:font w:name="Calibri Light">
    <w:panose1 w:val="020F03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1" w:usb1="080E0000" w:usb2="00000000" w:usb3="00000000" w:csb0="00040000" w:csb1="00000000"/>
    <w:embedRegular r:id="rId4" w:fontKey="{F1E05A65-FC2D-4B92-8BA4-9AC98177B14C}"/>
  </w:font>
  <w:font w:name="方正小标宋简体">
    <w:panose1 w:val="02000000000000000000"/>
    <w:charset w:val="86"/>
    <w:family w:val="auto"/>
    <w:pitch w:val="default"/>
    <w:sig w:usb0="00000001" w:usb1="08000000" w:usb2="00000000" w:usb3="00000000" w:csb0="00040000" w:csb1="00000000"/>
    <w:embedRegular r:id="rId5" w:fontKey="{569D217A-4DE1-46D0-98BD-954254AD5F13}"/>
  </w:font>
  <w:font w:name="方正楷体_GB2312">
    <w:panose1 w:val="02000000000000000000"/>
    <w:charset w:val="86"/>
    <w:family w:val="auto"/>
    <w:pitch w:val="default"/>
    <w:sig w:usb0="A00002BF" w:usb1="184F6CFA" w:usb2="00000012" w:usb3="00000000" w:csb0="00040001" w:csb1="00000000"/>
    <w:embedRegular r:id="rId6" w:fontKey="{F773ABDB-046C-43BC-ABBE-0A4D1C9C0589}"/>
  </w:font>
  <w:font w:name="仿宋">
    <w:panose1 w:val="02010609060101010101"/>
    <w:charset w:val="86"/>
    <w:family w:val="modern"/>
    <w:pitch w:val="default"/>
    <w:sig w:usb0="800002BF" w:usb1="38CF7CFA" w:usb2="00000016" w:usb3="00000000" w:csb0="00040001" w:csb1="00000000"/>
    <w:embedRegular r:id="rId7" w:fontKey="{69CA2F4D-BEC6-4043-BFE8-152A36B55839}"/>
  </w:font>
  <w:font w:name="等线">
    <w:panose1 w:val="02010600030101010101"/>
    <w:charset w:val="86"/>
    <w:family w:val="auto"/>
    <w:pitch w:val="default"/>
    <w:sig w:usb0="A00002BF" w:usb1="38CF7CFA" w:usb2="00000016" w:usb3="00000000" w:csb0="0004000F" w:csb1="00000000"/>
    <w:embedRegular r:id="rId8" w:fontKey="{87B3FEDA-A239-4CCD-BA0B-05FF350FF08E}"/>
  </w:font>
  <w:font w:name="楷体_GB2312">
    <w:altName w:val="楷体"/>
    <w:panose1 w:val="00000000000000000000"/>
    <w:charset w:val="86"/>
    <w:family w:val="modern"/>
    <w:pitch w:val="default"/>
    <w:sig w:usb0="00000000" w:usb1="00000000" w:usb2="00000000" w:usb3="00000000" w:csb0="00040000" w:csb1="00000000"/>
    <w:embedRegular r:id="rId9" w:fontKey="{6B6A5786-6489-450C-835E-679043606CBC}"/>
  </w:font>
  <w:font w:name="楷体">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6FF" w:usb1="420024FF" w:usb2="02000000" w:usb3="00000000" w:csb0="2000019F" w:csb1="00000000"/>
    <w:embedRegular r:id="rId10" w:fontKey="{0D0EE932-7BCD-4C2A-B7D0-B06653E3A87D}"/>
  </w:font>
  <w:font w:name="WPSEMBED13">
    <w:panose1 w:val="02010609030101010101"/>
    <w:charset w:val="86"/>
    <w:family w:val="auto"/>
    <w:pitch w:val="default"/>
    <w:sig w:usb0="00000001" w:usb1="080E0000" w:usb2="00000000" w:usb3="00000000" w:csb0="00040000" w:csb1="00000000"/>
  </w:font>
  <w:font w:name="MS PGothic">
    <w:panose1 w:val="020B0600070205080204"/>
    <w:charset w:val="80"/>
    <w:family w:val="auto"/>
    <w:pitch w:val="default"/>
    <w:sig w:usb0="E00002FF" w:usb1="6AC7FDFB" w:usb2="08000012" w:usb3="00000000" w:csb0="4002009F" w:csb1="DFD7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59DC1">
    <w:pPr>
      <w:pStyle w:val="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6FF432">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56FF432">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9A000">
    <w:pPr>
      <w:pStyle w:val="7"/>
    </w:pPr>
    <w:r>
      <mc:AlternateContent>
        <mc:Choice Requires="wps">
          <w:drawing>
            <wp:anchor distT="0" distB="0" distL="114300" distR="114300" simplePos="0" relativeHeight="251660288" behindDoc="0" locked="0" layoutInCell="1" allowOverlap="1">
              <wp:simplePos x="0" y="0"/>
              <wp:positionH relativeFrom="margin">
                <wp:posOffset>2601595</wp:posOffset>
              </wp:positionH>
              <wp:positionV relativeFrom="paragraph">
                <wp:posOffset>635</wp:posOffset>
              </wp:positionV>
              <wp:extent cx="389890" cy="278130"/>
              <wp:effectExtent l="0" t="0" r="10795" b="7620"/>
              <wp:wrapNone/>
              <wp:docPr id="2" name="文本框 2"/>
              <wp:cNvGraphicFramePr/>
              <a:graphic xmlns:a="http://schemas.openxmlformats.org/drawingml/2006/main">
                <a:graphicData uri="http://schemas.microsoft.com/office/word/2010/wordprocessingShape">
                  <wps:wsp>
                    <wps:cNvSpPr txBox="1"/>
                    <wps:spPr>
                      <a:xfrm>
                        <a:off x="0" y="0"/>
                        <a:ext cx="389614" cy="2782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B43B9">
                          <w:pPr>
                            <w:pStyle w:val="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4.85pt;margin-top:0.05pt;height:21.9pt;width:30.7pt;mso-position-horizontal-relative:margin;z-index:251660288;mso-width-relative:page;mso-height-relative:page;" filled="f" stroked="f" coordsize="21600,21600" o:gfxdata="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TsYi91QAAAAcBAAAPAAAAAAAAAAEAIAAAACIAAABkcnMvZG93bnJldi54bWxQ&#10;SwECFAAUAAAACACHTuJA1+NeVjMCAABVBAAADgAAAAAAAAABACAAAAAkAQAAZHJzL2Uyb0RvYy54&#10;bWxQSwUGAAAAAAYABgBZAQAAyQUAAAAA&#10;">
              <v:fill on="f" focussize="0,0"/>
              <v:stroke on="f" weight="0.5pt"/>
              <v:imagedata o:title=""/>
              <o:lock v:ext="edit" aspectratio="f"/>
              <v:textbox inset="0mm,0mm,0mm,0mm">
                <w:txbxContent>
                  <w:p w14:paraId="1BCB43B9">
                    <w:pPr>
                      <w:pStyle w:val="7"/>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351"/>
    <w:rsid w:val="000136B5"/>
    <w:rsid w:val="00014BE0"/>
    <w:rsid w:val="00034D64"/>
    <w:rsid w:val="000508BB"/>
    <w:rsid w:val="00050CC0"/>
    <w:rsid w:val="000637D0"/>
    <w:rsid w:val="00067FC4"/>
    <w:rsid w:val="00070F3E"/>
    <w:rsid w:val="00071351"/>
    <w:rsid w:val="00073DBF"/>
    <w:rsid w:val="000749E3"/>
    <w:rsid w:val="00080323"/>
    <w:rsid w:val="0009330D"/>
    <w:rsid w:val="000A002F"/>
    <w:rsid w:val="000A1A64"/>
    <w:rsid w:val="000B592B"/>
    <w:rsid w:val="000C132A"/>
    <w:rsid w:val="000C673E"/>
    <w:rsid w:val="000D5CC6"/>
    <w:rsid w:val="000E6FE9"/>
    <w:rsid w:val="000E72D6"/>
    <w:rsid w:val="000F500E"/>
    <w:rsid w:val="000F586B"/>
    <w:rsid w:val="000F5C2A"/>
    <w:rsid w:val="00100B0F"/>
    <w:rsid w:val="0010799D"/>
    <w:rsid w:val="00110525"/>
    <w:rsid w:val="001362FD"/>
    <w:rsid w:val="00136767"/>
    <w:rsid w:val="00143FA3"/>
    <w:rsid w:val="00163121"/>
    <w:rsid w:val="001B71F9"/>
    <w:rsid w:val="001C1DA3"/>
    <w:rsid w:val="001C4290"/>
    <w:rsid w:val="001C5B68"/>
    <w:rsid w:val="001C739E"/>
    <w:rsid w:val="001D2CC6"/>
    <w:rsid w:val="00203178"/>
    <w:rsid w:val="00215046"/>
    <w:rsid w:val="002158A7"/>
    <w:rsid w:val="0023456F"/>
    <w:rsid w:val="002371A6"/>
    <w:rsid w:val="00244247"/>
    <w:rsid w:val="00253682"/>
    <w:rsid w:val="002746C4"/>
    <w:rsid w:val="00276ED1"/>
    <w:rsid w:val="0028003B"/>
    <w:rsid w:val="0028312A"/>
    <w:rsid w:val="00285116"/>
    <w:rsid w:val="00285442"/>
    <w:rsid w:val="0029457B"/>
    <w:rsid w:val="002953A8"/>
    <w:rsid w:val="002A4370"/>
    <w:rsid w:val="002A7B49"/>
    <w:rsid w:val="002B1BC7"/>
    <w:rsid w:val="002B4A86"/>
    <w:rsid w:val="002C222D"/>
    <w:rsid w:val="002C5BC8"/>
    <w:rsid w:val="002D2717"/>
    <w:rsid w:val="002D55A2"/>
    <w:rsid w:val="002F5150"/>
    <w:rsid w:val="003074C8"/>
    <w:rsid w:val="00312300"/>
    <w:rsid w:val="00313294"/>
    <w:rsid w:val="00314D18"/>
    <w:rsid w:val="00317F26"/>
    <w:rsid w:val="00322D5E"/>
    <w:rsid w:val="0032361A"/>
    <w:rsid w:val="00330876"/>
    <w:rsid w:val="003346AB"/>
    <w:rsid w:val="0034207D"/>
    <w:rsid w:val="003532FE"/>
    <w:rsid w:val="00373504"/>
    <w:rsid w:val="00383D81"/>
    <w:rsid w:val="0039670C"/>
    <w:rsid w:val="003A6858"/>
    <w:rsid w:val="003B71A2"/>
    <w:rsid w:val="003D1C60"/>
    <w:rsid w:val="003D5438"/>
    <w:rsid w:val="003F2FBE"/>
    <w:rsid w:val="00405252"/>
    <w:rsid w:val="0041027F"/>
    <w:rsid w:val="00410891"/>
    <w:rsid w:val="00412504"/>
    <w:rsid w:val="004140A3"/>
    <w:rsid w:val="00431048"/>
    <w:rsid w:val="00433E8D"/>
    <w:rsid w:val="00436D69"/>
    <w:rsid w:val="004632A3"/>
    <w:rsid w:val="004672B9"/>
    <w:rsid w:val="00473031"/>
    <w:rsid w:val="00484393"/>
    <w:rsid w:val="00492521"/>
    <w:rsid w:val="00492BDA"/>
    <w:rsid w:val="004A34B2"/>
    <w:rsid w:val="004B3CF0"/>
    <w:rsid w:val="004B6BA4"/>
    <w:rsid w:val="004E0923"/>
    <w:rsid w:val="004E5CF8"/>
    <w:rsid w:val="004F48DF"/>
    <w:rsid w:val="00505C4B"/>
    <w:rsid w:val="00535E7A"/>
    <w:rsid w:val="00542234"/>
    <w:rsid w:val="00547F52"/>
    <w:rsid w:val="005520DD"/>
    <w:rsid w:val="00555B7C"/>
    <w:rsid w:val="00556A86"/>
    <w:rsid w:val="0057422D"/>
    <w:rsid w:val="00580264"/>
    <w:rsid w:val="00593490"/>
    <w:rsid w:val="005A58D9"/>
    <w:rsid w:val="005B01D6"/>
    <w:rsid w:val="005C3B3E"/>
    <w:rsid w:val="005D122D"/>
    <w:rsid w:val="005D216D"/>
    <w:rsid w:val="005D7FDD"/>
    <w:rsid w:val="005F28EA"/>
    <w:rsid w:val="005F2CAF"/>
    <w:rsid w:val="00606694"/>
    <w:rsid w:val="00606E6A"/>
    <w:rsid w:val="00624BCB"/>
    <w:rsid w:val="0062565E"/>
    <w:rsid w:val="006266CF"/>
    <w:rsid w:val="00627749"/>
    <w:rsid w:val="006455EE"/>
    <w:rsid w:val="006457A9"/>
    <w:rsid w:val="00653467"/>
    <w:rsid w:val="006547F1"/>
    <w:rsid w:val="00661926"/>
    <w:rsid w:val="00661E25"/>
    <w:rsid w:val="00663965"/>
    <w:rsid w:val="00671074"/>
    <w:rsid w:val="00673771"/>
    <w:rsid w:val="0067638A"/>
    <w:rsid w:val="00687009"/>
    <w:rsid w:val="006932B7"/>
    <w:rsid w:val="006A0E5B"/>
    <w:rsid w:val="006A4EF9"/>
    <w:rsid w:val="006A7E49"/>
    <w:rsid w:val="006B73E7"/>
    <w:rsid w:val="006D27B4"/>
    <w:rsid w:val="006E4127"/>
    <w:rsid w:val="006E4D43"/>
    <w:rsid w:val="007011D3"/>
    <w:rsid w:val="00704BFB"/>
    <w:rsid w:val="00710D88"/>
    <w:rsid w:val="0071164A"/>
    <w:rsid w:val="00712747"/>
    <w:rsid w:val="007131C2"/>
    <w:rsid w:val="00724552"/>
    <w:rsid w:val="00735D76"/>
    <w:rsid w:val="007509E4"/>
    <w:rsid w:val="00756E93"/>
    <w:rsid w:val="00760AE5"/>
    <w:rsid w:val="00762CA3"/>
    <w:rsid w:val="00776508"/>
    <w:rsid w:val="0078363D"/>
    <w:rsid w:val="00784682"/>
    <w:rsid w:val="007905A2"/>
    <w:rsid w:val="00797D78"/>
    <w:rsid w:val="007C1182"/>
    <w:rsid w:val="007C553B"/>
    <w:rsid w:val="007C5A03"/>
    <w:rsid w:val="007C5B0F"/>
    <w:rsid w:val="007D0BE5"/>
    <w:rsid w:val="007F0A1D"/>
    <w:rsid w:val="007F55E7"/>
    <w:rsid w:val="00806035"/>
    <w:rsid w:val="00822154"/>
    <w:rsid w:val="008268FC"/>
    <w:rsid w:val="00834569"/>
    <w:rsid w:val="0083537E"/>
    <w:rsid w:val="00847745"/>
    <w:rsid w:val="00850DE1"/>
    <w:rsid w:val="008511DF"/>
    <w:rsid w:val="008546F0"/>
    <w:rsid w:val="00855CE4"/>
    <w:rsid w:val="00862B3D"/>
    <w:rsid w:val="00867EE2"/>
    <w:rsid w:val="008720F1"/>
    <w:rsid w:val="00872BD6"/>
    <w:rsid w:val="00876397"/>
    <w:rsid w:val="0088171B"/>
    <w:rsid w:val="008A0208"/>
    <w:rsid w:val="008B7D63"/>
    <w:rsid w:val="008C28C8"/>
    <w:rsid w:val="008C5BC3"/>
    <w:rsid w:val="008E5406"/>
    <w:rsid w:val="00907B3B"/>
    <w:rsid w:val="00953FFB"/>
    <w:rsid w:val="00982586"/>
    <w:rsid w:val="00992901"/>
    <w:rsid w:val="00994A48"/>
    <w:rsid w:val="009A10D4"/>
    <w:rsid w:val="009C0164"/>
    <w:rsid w:val="009C729B"/>
    <w:rsid w:val="009D6B0B"/>
    <w:rsid w:val="009E3B54"/>
    <w:rsid w:val="009E6AE7"/>
    <w:rsid w:val="009F582F"/>
    <w:rsid w:val="009F5C66"/>
    <w:rsid w:val="00A15C46"/>
    <w:rsid w:val="00A35E40"/>
    <w:rsid w:val="00A3616F"/>
    <w:rsid w:val="00A44378"/>
    <w:rsid w:val="00A45A6C"/>
    <w:rsid w:val="00A52866"/>
    <w:rsid w:val="00A6244D"/>
    <w:rsid w:val="00A64DBE"/>
    <w:rsid w:val="00A653D0"/>
    <w:rsid w:val="00A65E11"/>
    <w:rsid w:val="00A75F2E"/>
    <w:rsid w:val="00A77941"/>
    <w:rsid w:val="00A92E39"/>
    <w:rsid w:val="00AA7360"/>
    <w:rsid w:val="00AB477D"/>
    <w:rsid w:val="00AC1E6C"/>
    <w:rsid w:val="00AD1F10"/>
    <w:rsid w:val="00AD361A"/>
    <w:rsid w:val="00AD5850"/>
    <w:rsid w:val="00AE0CB6"/>
    <w:rsid w:val="00AF204B"/>
    <w:rsid w:val="00AF2C92"/>
    <w:rsid w:val="00AF67B8"/>
    <w:rsid w:val="00B056BA"/>
    <w:rsid w:val="00B05F06"/>
    <w:rsid w:val="00B10956"/>
    <w:rsid w:val="00B149ED"/>
    <w:rsid w:val="00B162EA"/>
    <w:rsid w:val="00B24F80"/>
    <w:rsid w:val="00B265F8"/>
    <w:rsid w:val="00B309DE"/>
    <w:rsid w:val="00B36F5E"/>
    <w:rsid w:val="00B5071E"/>
    <w:rsid w:val="00B515DC"/>
    <w:rsid w:val="00B917E2"/>
    <w:rsid w:val="00B96343"/>
    <w:rsid w:val="00BB16E4"/>
    <w:rsid w:val="00BC63E6"/>
    <w:rsid w:val="00BD03D1"/>
    <w:rsid w:val="00BD6A0D"/>
    <w:rsid w:val="00BE34C1"/>
    <w:rsid w:val="00BF2C86"/>
    <w:rsid w:val="00BF4F29"/>
    <w:rsid w:val="00C0100A"/>
    <w:rsid w:val="00C03359"/>
    <w:rsid w:val="00C057AA"/>
    <w:rsid w:val="00C11AFD"/>
    <w:rsid w:val="00C24D74"/>
    <w:rsid w:val="00C27BFF"/>
    <w:rsid w:val="00C30B58"/>
    <w:rsid w:val="00C34CD7"/>
    <w:rsid w:val="00C3505A"/>
    <w:rsid w:val="00C36C8C"/>
    <w:rsid w:val="00C372C0"/>
    <w:rsid w:val="00C564F4"/>
    <w:rsid w:val="00C626E4"/>
    <w:rsid w:val="00C66898"/>
    <w:rsid w:val="00C67D09"/>
    <w:rsid w:val="00C81250"/>
    <w:rsid w:val="00C8417F"/>
    <w:rsid w:val="00C85F20"/>
    <w:rsid w:val="00C903B5"/>
    <w:rsid w:val="00CB0934"/>
    <w:rsid w:val="00CC1A95"/>
    <w:rsid w:val="00CD553B"/>
    <w:rsid w:val="00CE4E9E"/>
    <w:rsid w:val="00CF1757"/>
    <w:rsid w:val="00CF6C36"/>
    <w:rsid w:val="00D01278"/>
    <w:rsid w:val="00D0127A"/>
    <w:rsid w:val="00D10A9C"/>
    <w:rsid w:val="00D12E2B"/>
    <w:rsid w:val="00D601B8"/>
    <w:rsid w:val="00D65069"/>
    <w:rsid w:val="00D6644C"/>
    <w:rsid w:val="00D70859"/>
    <w:rsid w:val="00D70BC3"/>
    <w:rsid w:val="00D72FA0"/>
    <w:rsid w:val="00D74DE6"/>
    <w:rsid w:val="00D75191"/>
    <w:rsid w:val="00D82543"/>
    <w:rsid w:val="00DA4FEF"/>
    <w:rsid w:val="00DB0FF2"/>
    <w:rsid w:val="00DD2987"/>
    <w:rsid w:val="00DD652D"/>
    <w:rsid w:val="00DF0955"/>
    <w:rsid w:val="00DF1001"/>
    <w:rsid w:val="00E128FC"/>
    <w:rsid w:val="00E23468"/>
    <w:rsid w:val="00E31910"/>
    <w:rsid w:val="00E4034A"/>
    <w:rsid w:val="00E461C6"/>
    <w:rsid w:val="00E55B3E"/>
    <w:rsid w:val="00E713AF"/>
    <w:rsid w:val="00E7541F"/>
    <w:rsid w:val="00E82A44"/>
    <w:rsid w:val="00E90679"/>
    <w:rsid w:val="00EA13C1"/>
    <w:rsid w:val="00EA2954"/>
    <w:rsid w:val="00EA55B9"/>
    <w:rsid w:val="00EB5D94"/>
    <w:rsid w:val="00EB64AB"/>
    <w:rsid w:val="00EC1D83"/>
    <w:rsid w:val="00ED2C4E"/>
    <w:rsid w:val="00ED53DE"/>
    <w:rsid w:val="00ED78E0"/>
    <w:rsid w:val="00EF6A68"/>
    <w:rsid w:val="00EF7F12"/>
    <w:rsid w:val="00F07800"/>
    <w:rsid w:val="00F13567"/>
    <w:rsid w:val="00F16F4F"/>
    <w:rsid w:val="00F1713E"/>
    <w:rsid w:val="00F21018"/>
    <w:rsid w:val="00F273DB"/>
    <w:rsid w:val="00F301F9"/>
    <w:rsid w:val="00F363B3"/>
    <w:rsid w:val="00F44D6D"/>
    <w:rsid w:val="00F60A45"/>
    <w:rsid w:val="00F85CD9"/>
    <w:rsid w:val="00F90BA2"/>
    <w:rsid w:val="00FA0D9B"/>
    <w:rsid w:val="00FA75C2"/>
    <w:rsid w:val="00FB0263"/>
    <w:rsid w:val="00FB776D"/>
    <w:rsid w:val="00FC1D7E"/>
    <w:rsid w:val="00FC4294"/>
    <w:rsid w:val="00FD4C20"/>
    <w:rsid w:val="00FF05FE"/>
    <w:rsid w:val="00FF57E9"/>
    <w:rsid w:val="0103164E"/>
    <w:rsid w:val="010827C0"/>
    <w:rsid w:val="010A6538"/>
    <w:rsid w:val="0116312F"/>
    <w:rsid w:val="012375FA"/>
    <w:rsid w:val="012B1219"/>
    <w:rsid w:val="012B5AFA"/>
    <w:rsid w:val="012B7F47"/>
    <w:rsid w:val="013F79BD"/>
    <w:rsid w:val="014313AE"/>
    <w:rsid w:val="014B08FF"/>
    <w:rsid w:val="01556EA9"/>
    <w:rsid w:val="01626374"/>
    <w:rsid w:val="01710365"/>
    <w:rsid w:val="01756616"/>
    <w:rsid w:val="018112F2"/>
    <w:rsid w:val="018B1DD7"/>
    <w:rsid w:val="018D0FD6"/>
    <w:rsid w:val="01A00C4B"/>
    <w:rsid w:val="01A3073B"/>
    <w:rsid w:val="01AD5116"/>
    <w:rsid w:val="01B12E58"/>
    <w:rsid w:val="01B446F6"/>
    <w:rsid w:val="01B6046E"/>
    <w:rsid w:val="01B6221C"/>
    <w:rsid w:val="01BB7833"/>
    <w:rsid w:val="01C0309B"/>
    <w:rsid w:val="01C121A1"/>
    <w:rsid w:val="01C13538"/>
    <w:rsid w:val="01D134FA"/>
    <w:rsid w:val="01D7751B"/>
    <w:rsid w:val="01EC79B0"/>
    <w:rsid w:val="01F31751"/>
    <w:rsid w:val="01FD1236"/>
    <w:rsid w:val="02104022"/>
    <w:rsid w:val="02217FDE"/>
    <w:rsid w:val="02385327"/>
    <w:rsid w:val="02441F1E"/>
    <w:rsid w:val="02445A7A"/>
    <w:rsid w:val="02483DA4"/>
    <w:rsid w:val="02532161"/>
    <w:rsid w:val="025F1A63"/>
    <w:rsid w:val="02687C0B"/>
    <w:rsid w:val="027C5214"/>
    <w:rsid w:val="02832A46"/>
    <w:rsid w:val="0284056C"/>
    <w:rsid w:val="028D07AE"/>
    <w:rsid w:val="029139AF"/>
    <w:rsid w:val="02924A37"/>
    <w:rsid w:val="02A81D04"/>
    <w:rsid w:val="02AF383B"/>
    <w:rsid w:val="02B04EBD"/>
    <w:rsid w:val="02B7624C"/>
    <w:rsid w:val="02BB7746"/>
    <w:rsid w:val="02C24E60"/>
    <w:rsid w:val="02C72207"/>
    <w:rsid w:val="02D66FE5"/>
    <w:rsid w:val="02D84023"/>
    <w:rsid w:val="02DA0437"/>
    <w:rsid w:val="02DC2156"/>
    <w:rsid w:val="02E66B31"/>
    <w:rsid w:val="02E84657"/>
    <w:rsid w:val="02EE4444"/>
    <w:rsid w:val="03010D0A"/>
    <w:rsid w:val="03067533"/>
    <w:rsid w:val="030D40BE"/>
    <w:rsid w:val="03196F07"/>
    <w:rsid w:val="032B1BE2"/>
    <w:rsid w:val="032D61C9"/>
    <w:rsid w:val="03353615"/>
    <w:rsid w:val="033B7861"/>
    <w:rsid w:val="03451AAA"/>
    <w:rsid w:val="035241C7"/>
    <w:rsid w:val="03666597"/>
    <w:rsid w:val="037C78D8"/>
    <w:rsid w:val="03894AF3"/>
    <w:rsid w:val="038F541B"/>
    <w:rsid w:val="03A63E32"/>
    <w:rsid w:val="03AD58A1"/>
    <w:rsid w:val="03AF786B"/>
    <w:rsid w:val="03C07382"/>
    <w:rsid w:val="03CD21B7"/>
    <w:rsid w:val="03D270B5"/>
    <w:rsid w:val="03D472D2"/>
    <w:rsid w:val="03D8291E"/>
    <w:rsid w:val="03DB6BF1"/>
    <w:rsid w:val="03EE0393"/>
    <w:rsid w:val="03EF5EB9"/>
    <w:rsid w:val="040556DD"/>
    <w:rsid w:val="040D00EE"/>
    <w:rsid w:val="042042C5"/>
    <w:rsid w:val="04275653"/>
    <w:rsid w:val="042B5143"/>
    <w:rsid w:val="042C4A18"/>
    <w:rsid w:val="042D106A"/>
    <w:rsid w:val="042E079C"/>
    <w:rsid w:val="0433224A"/>
    <w:rsid w:val="043F0BEF"/>
    <w:rsid w:val="044004C3"/>
    <w:rsid w:val="04441D61"/>
    <w:rsid w:val="04455AD9"/>
    <w:rsid w:val="04545D1C"/>
    <w:rsid w:val="045B52FD"/>
    <w:rsid w:val="045E36B4"/>
    <w:rsid w:val="0482288A"/>
    <w:rsid w:val="04874344"/>
    <w:rsid w:val="048760F2"/>
    <w:rsid w:val="048D36D8"/>
    <w:rsid w:val="04952304"/>
    <w:rsid w:val="049525BD"/>
    <w:rsid w:val="04A647CA"/>
    <w:rsid w:val="04AB1DE0"/>
    <w:rsid w:val="04AC185E"/>
    <w:rsid w:val="04AC7907"/>
    <w:rsid w:val="04AD4E3F"/>
    <w:rsid w:val="04C410F4"/>
    <w:rsid w:val="04F33787"/>
    <w:rsid w:val="05015EA4"/>
    <w:rsid w:val="05145BD8"/>
    <w:rsid w:val="05300538"/>
    <w:rsid w:val="053022E6"/>
    <w:rsid w:val="05355B4E"/>
    <w:rsid w:val="05360D72"/>
    <w:rsid w:val="05410997"/>
    <w:rsid w:val="05452235"/>
    <w:rsid w:val="054B5371"/>
    <w:rsid w:val="054F06BB"/>
    <w:rsid w:val="056921F6"/>
    <w:rsid w:val="056F676D"/>
    <w:rsid w:val="05783352"/>
    <w:rsid w:val="057E74F5"/>
    <w:rsid w:val="058D14E6"/>
    <w:rsid w:val="05962A91"/>
    <w:rsid w:val="059B00A7"/>
    <w:rsid w:val="05A54A82"/>
    <w:rsid w:val="05A624E4"/>
    <w:rsid w:val="05AC22B4"/>
    <w:rsid w:val="05B80C59"/>
    <w:rsid w:val="05C75CCC"/>
    <w:rsid w:val="05CA4074"/>
    <w:rsid w:val="05D47A74"/>
    <w:rsid w:val="05D81EC4"/>
    <w:rsid w:val="05DB66F5"/>
    <w:rsid w:val="05E337FC"/>
    <w:rsid w:val="05E51322"/>
    <w:rsid w:val="05EC7396"/>
    <w:rsid w:val="05EF3F4F"/>
    <w:rsid w:val="05F61781"/>
    <w:rsid w:val="06017F04"/>
    <w:rsid w:val="06053DE9"/>
    <w:rsid w:val="06062903"/>
    <w:rsid w:val="06164048"/>
    <w:rsid w:val="06230D18"/>
    <w:rsid w:val="063140EA"/>
    <w:rsid w:val="064424ED"/>
    <w:rsid w:val="06517388"/>
    <w:rsid w:val="065D535C"/>
    <w:rsid w:val="06652463"/>
    <w:rsid w:val="066E1317"/>
    <w:rsid w:val="06895061"/>
    <w:rsid w:val="069074E0"/>
    <w:rsid w:val="069C6D34"/>
    <w:rsid w:val="06A238AC"/>
    <w:rsid w:val="06A665F7"/>
    <w:rsid w:val="06B22BEF"/>
    <w:rsid w:val="06B73250"/>
    <w:rsid w:val="06BA27AF"/>
    <w:rsid w:val="06CE1DB6"/>
    <w:rsid w:val="06D27A55"/>
    <w:rsid w:val="06D3561E"/>
    <w:rsid w:val="06E76764"/>
    <w:rsid w:val="06FF01C2"/>
    <w:rsid w:val="07043A2A"/>
    <w:rsid w:val="0712411D"/>
    <w:rsid w:val="071C6FC5"/>
    <w:rsid w:val="071E0F8F"/>
    <w:rsid w:val="07225256"/>
    <w:rsid w:val="07245E7A"/>
    <w:rsid w:val="07306295"/>
    <w:rsid w:val="07351E35"/>
    <w:rsid w:val="07481B68"/>
    <w:rsid w:val="075229E7"/>
    <w:rsid w:val="075E508D"/>
    <w:rsid w:val="07732166"/>
    <w:rsid w:val="07740BAF"/>
    <w:rsid w:val="077706A0"/>
    <w:rsid w:val="077C1812"/>
    <w:rsid w:val="0781151E"/>
    <w:rsid w:val="078801B7"/>
    <w:rsid w:val="078F4F41"/>
    <w:rsid w:val="079052BE"/>
    <w:rsid w:val="07926EFD"/>
    <w:rsid w:val="07A10088"/>
    <w:rsid w:val="07A11524"/>
    <w:rsid w:val="07A33243"/>
    <w:rsid w:val="07A66462"/>
    <w:rsid w:val="07A672E6"/>
    <w:rsid w:val="07AC2491"/>
    <w:rsid w:val="07B90CB8"/>
    <w:rsid w:val="07B92A66"/>
    <w:rsid w:val="07BA29FE"/>
    <w:rsid w:val="07BE62CF"/>
    <w:rsid w:val="07CB4548"/>
    <w:rsid w:val="07DB2381"/>
    <w:rsid w:val="07E75922"/>
    <w:rsid w:val="07EA2C20"/>
    <w:rsid w:val="07EF0236"/>
    <w:rsid w:val="07FD6BA9"/>
    <w:rsid w:val="08014560"/>
    <w:rsid w:val="08055CAB"/>
    <w:rsid w:val="080C0DE8"/>
    <w:rsid w:val="080D4B60"/>
    <w:rsid w:val="08123F24"/>
    <w:rsid w:val="0822060B"/>
    <w:rsid w:val="08236132"/>
    <w:rsid w:val="08395955"/>
    <w:rsid w:val="08404F36"/>
    <w:rsid w:val="08517143"/>
    <w:rsid w:val="085A2535"/>
    <w:rsid w:val="086E1AA3"/>
    <w:rsid w:val="088077E4"/>
    <w:rsid w:val="088547D4"/>
    <w:rsid w:val="088918C3"/>
    <w:rsid w:val="088B6211"/>
    <w:rsid w:val="088E7A4F"/>
    <w:rsid w:val="08977DA8"/>
    <w:rsid w:val="089B1EC4"/>
    <w:rsid w:val="089D7C92"/>
    <w:rsid w:val="08A40242"/>
    <w:rsid w:val="08B6489D"/>
    <w:rsid w:val="08C54145"/>
    <w:rsid w:val="08CC0577"/>
    <w:rsid w:val="08D518AC"/>
    <w:rsid w:val="08DA69A3"/>
    <w:rsid w:val="08F43C68"/>
    <w:rsid w:val="08F8007E"/>
    <w:rsid w:val="09017814"/>
    <w:rsid w:val="09024A32"/>
    <w:rsid w:val="09047D11"/>
    <w:rsid w:val="09137F54"/>
    <w:rsid w:val="09181CBB"/>
    <w:rsid w:val="091B5EEE"/>
    <w:rsid w:val="09212671"/>
    <w:rsid w:val="09213C2E"/>
    <w:rsid w:val="092E4D8E"/>
    <w:rsid w:val="092F44B4"/>
    <w:rsid w:val="09311977"/>
    <w:rsid w:val="09354605"/>
    <w:rsid w:val="093F0D49"/>
    <w:rsid w:val="094C2DE1"/>
    <w:rsid w:val="09524F20"/>
    <w:rsid w:val="09581E0B"/>
    <w:rsid w:val="09616F12"/>
    <w:rsid w:val="096E162E"/>
    <w:rsid w:val="09756E61"/>
    <w:rsid w:val="097E7404"/>
    <w:rsid w:val="09832281"/>
    <w:rsid w:val="0984657C"/>
    <w:rsid w:val="09903745"/>
    <w:rsid w:val="09964BD6"/>
    <w:rsid w:val="09B83043"/>
    <w:rsid w:val="09C04B94"/>
    <w:rsid w:val="09C676BC"/>
    <w:rsid w:val="09CC303E"/>
    <w:rsid w:val="09D403DB"/>
    <w:rsid w:val="09D83DD8"/>
    <w:rsid w:val="09DB1E21"/>
    <w:rsid w:val="09FA032F"/>
    <w:rsid w:val="09FB7366"/>
    <w:rsid w:val="09FD1E6C"/>
    <w:rsid w:val="09FE743C"/>
    <w:rsid w:val="09FF2379"/>
    <w:rsid w:val="0A0501E5"/>
    <w:rsid w:val="0A060654"/>
    <w:rsid w:val="0A081A83"/>
    <w:rsid w:val="0A0A75A9"/>
    <w:rsid w:val="0A2166A1"/>
    <w:rsid w:val="0A2D613E"/>
    <w:rsid w:val="0A3356C5"/>
    <w:rsid w:val="0A382368"/>
    <w:rsid w:val="0A434D38"/>
    <w:rsid w:val="0A4375AC"/>
    <w:rsid w:val="0A4A36AB"/>
    <w:rsid w:val="0A4C7C4F"/>
    <w:rsid w:val="0A504137"/>
    <w:rsid w:val="0A692F6B"/>
    <w:rsid w:val="0A6F2477"/>
    <w:rsid w:val="0A6F38B0"/>
    <w:rsid w:val="0A786C09"/>
    <w:rsid w:val="0A795728"/>
    <w:rsid w:val="0A7F6940"/>
    <w:rsid w:val="0A876E4C"/>
    <w:rsid w:val="0A913826"/>
    <w:rsid w:val="0A931491"/>
    <w:rsid w:val="0A99092D"/>
    <w:rsid w:val="0AAC68B2"/>
    <w:rsid w:val="0AB63EDF"/>
    <w:rsid w:val="0ADD339A"/>
    <w:rsid w:val="0AE04B54"/>
    <w:rsid w:val="0AE93662"/>
    <w:rsid w:val="0AEA1189"/>
    <w:rsid w:val="0AEA2F37"/>
    <w:rsid w:val="0AEC6CAF"/>
    <w:rsid w:val="0AEF054D"/>
    <w:rsid w:val="0AF17FA4"/>
    <w:rsid w:val="0AFC1786"/>
    <w:rsid w:val="0AFE2A9E"/>
    <w:rsid w:val="0B0169CB"/>
    <w:rsid w:val="0B0C7351"/>
    <w:rsid w:val="0B1306DF"/>
    <w:rsid w:val="0B186B99"/>
    <w:rsid w:val="0B301291"/>
    <w:rsid w:val="0B3545A0"/>
    <w:rsid w:val="0B440899"/>
    <w:rsid w:val="0B5D310F"/>
    <w:rsid w:val="0B5E6278"/>
    <w:rsid w:val="0B6D6042"/>
    <w:rsid w:val="0B6E619D"/>
    <w:rsid w:val="0B73117E"/>
    <w:rsid w:val="0B7F69EB"/>
    <w:rsid w:val="0B81408C"/>
    <w:rsid w:val="0B837613"/>
    <w:rsid w:val="0B8769D7"/>
    <w:rsid w:val="0B89764A"/>
    <w:rsid w:val="0B8E420A"/>
    <w:rsid w:val="0B955598"/>
    <w:rsid w:val="0B9C575C"/>
    <w:rsid w:val="0BA863AE"/>
    <w:rsid w:val="0BAA09FA"/>
    <w:rsid w:val="0BAE1DFE"/>
    <w:rsid w:val="0BAE466D"/>
    <w:rsid w:val="0BAF70CA"/>
    <w:rsid w:val="0BB7550F"/>
    <w:rsid w:val="0BC371A6"/>
    <w:rsid w:val="0BC814CA"/>
    <w:rsid w:val="0BC8771C"/>
    <w:rsid w:val="0BC96FF0"/>
    <w:rsid w:val="0BD460C1"/>
    <w:rsid w:val="0BE2767C"/>
    <w:rsid w:val="0BE52FF0"/>
    <w:rsid w:val="0BF17A52"/>
    <w:rsid w:val="0BFB51F8"/>
    <w:rsid w:val="0C00214B"/>
    <w:rsid w:val="0C2030B4"/>
    <w:rsid w:val="0C321039"/>
    <w:rsid w:val="0C3A2887"/>
    <w:rsid w:val="0C3E353A"/>
    <w:rsid w:val="0C3E79DE"/>
    <w:rsid w:val="0C4D77AA"/>
    <w:rsid w:val="0C5114BF"/>
    <w:rsid w:val="0C5E1E2E"/>
    <w:rsid w:val="0C61547A"/>
    <w:rsid w:val="0C6C454B"/>
    <w:rsid w:val="0C6C7E51"/>
    <w:rsid w:val="0C741652"/>
    <w:rsid w:val="0C743400"/>
    <w:rsid w:val="0C78388E"/>
    <w:rsid w:val="0C7C4062"/>
    <w:rsid w:val="0C8C699B"/>
    <w:rsid w:val="0C8E2713"/>
    <w:rsid w:val="0C913FB2"/>
    <w:rsid w:val="0C973630"/>
    <w:rsid w:val="0CB35867"/>
    <w:rsid w:val="0CB62477"/>
    <w:rsid w:val="0CC51EAD"/>
    <w:rsid w:val="0CC65316"/>
    <w:rsid w:val="0CD81BE1"/>
    <w:rsid w:val="0CE51C08"/>
    <w:rsid w:val="0CE916F8"/>
    <w:rsid w:val="0CF74C6E"/>
    <w:rsid w:val="0CF900A3"/>
    <w:rsid w:val="0CFB58CF"/>
    <w:rsid w:val="0CFF716D"/>
    <w:rsid w:val="0D1424ED"/>
    <w:rsid w:val="0D1644B7"/>
    <w:rsid w:val="0D166265"/>
    <w:rsid w:val="0D1A32D4"/>
    <w:rsid w:val="0D2308A5"/>
    <w:rsid w:val="0D5762EC"/>
    <w:rsid w:val="0D58062B"/>
    <w:rsid w:val="0D5B114F"/>
    <w:rsid w:val="0D706CB1"/>
    <w:rsid w:val="0D7116ED"/>
    <w:rsid w:val="0D7609C7"/>
    <w:rsid w:val="0D7A67F4"/>
    <w:rsid w:val="0D7C73F5"/>
    <w:rsid w:val="0D8713A0"/>
    <w:rsid w:val="0D8A1D87"/>
    <w:rsid w:val="0D927FE1"/>
    <w:rsid w:val="0D9C051F"/>
    <w:rsid w:val="0D9F44AC"/>
    <w:rsid w:val="0DA35E00"/>
    <w:rsid w:val="0DA970D9"/>
    <w:rsid w:val="0DAF61F4"/>
    <w:rsid w:val="0DBA1E39"/>
    <w:rsid w:val="0DD1795C"/>
    <w:rsid w:val="0DD65208"/>
    <w:rsid w:val="0DDA3028"/>
    <w:rsid w:val="0DDE4FD5"/>
    <w:rsid w:val="0DE10621"/>
    <w:rsid w:val="0DE819AF"/>
    <w:rsid w:val="0DE83B8B"/>
    <w:rsid w:val="0E133967"/>
    <w:rsid w:val="0E1A3B33"/>
    <w:rsid w:val="0E244655"/>
    <w:rsid w:val="0E2B32AF"/>
    <w:rsid w:val="0E49572E"/>
    <w:rsid w:val="0E513AD0"/>
    <w:rsid w:val="0E543C3C"/>
    <w:rsid w:val="0E5928AD"/>
    <w:rsid w:val="0E67321C"/>
    <w:rsid w:val="0E6A5125"/>
    <w:rsid w:val="0E730330"/>
    <w:rsid w:val="0E7713A4"/>
    <w:rsid w:val="0E7F504A"/>
    <w:rsid w:val="0E7F5969"/>
    <w:rsid w:val="0E821359"/>
    <w:rsid w:val="0E962477"/>
    <w:rsid w:val="0E9658AF"/>
    <w:rsid w:val="0EA9444A"/>
    <w:rsid w:val="0EB6385C"/>
    <w:rsid w:val="0EB67D3E"/>
    <w:rsid w:val="0EB9159E"/>
    <w:rsid w:val="0EBC3E40"/>
    <w:rsid w:val="0EC0292C"/>
    <w:rsid w:val="0EC211BA"/>
    <w:rsid w:val="0ED33972"/>
    <w:rsid w:val="0EE63725"/>
    <w:rsid w:val="0EE87AAA"/>
    <w:rsid w:val="0EFD36EF"/>
    <w:rsid w:val="0EFD592E"/>
    <w:rsid w:val="0EFF16A6"/>
    <w:rsid w:val="0F0F5662"/>
    <w:rsid w:val="0F1467D4"/>
    <w:rsid w:val="0F1A5CBF"/>
    <w:rsid w:val="0F1B4006"/>
    <w:rsid w:val="0F1F5272"/>
    <w:rsid w:val="0F27512B"/>
    <w:rsid w:val="0F517A28"/>
    <w:rsid w:val="0F532AB2"/>
    <w:rsid w:val="0F5A0F7A"/>
    <w:rsid w:val="0F661BEE"/>
    <w:rsid w:val="0F667D43"/>
    <w:rsid w:val="0F680C0A"/>
    <w:rsid w:val="0F6E4136"/>
    <w:rsid w:val="0F711E78"/>
    <w:rsid w:val="0F73174D"/>
    <w:rsid w:val="0F751969"/>
    <w:rsid w:val="0F7756E1"/>
    <w:rsid w:val="0F792001"/>
    <w:rsid w:val="0F8971C2"/>
    <w:rsid w:val="0F916077"/>
    <w:rsid w:val="0F985657"/>
    <w:rsid w:val="0F9A034A"/>
    <w:rsid w:val="0FA43FFC"/>
    <w:rsid w:val="0FA638D0"/>
    <w:rsid w:val="0FAE35ED"/>
    <w:rsid w:val="0FB96DB1"/>
    <w:rsid w:val="0FC96EBD"/>
    <w:rsid w:val="0FD146C5"/>
    <w:rsid w:val="0FD35650"/>
    <w:rsid w:val="0FF420EE"/>
    <w:rsid w:val="0FF6382B"/>
    <w:rsid w:val="0FF719F6"/>
    <w:rsid w:val="0FFC7B49"/>
    <w:rsid w:val="0FFE370C"/>
    <w:rsid w:val="0FFE3B6B"/>
    <w:rsid w:val="10014FAA"/>
    <w:rsid w:val="10091E0C"/>
    <w:rsid w:val="100965CD"/>
    <w:rsid w:val="100F5919"/>
    <w:rsid w:val="10183D84"/>
    <w:rsid w:val="102D2243"/>
    <w:rsid w:val="10392996"/>
    <w:rsid w:val="103947FE"/>
    <w:rsid w:val="103A670E"/>
    <w:rsid w:val="105E1255"/>
    <w:rsid w:val="106519DD"/>
    <w:rsid w:val="106D2640"/>
    <w:rsid w:val="106E400E"/>
    <w:rsid w:val="107F2A45"/>
    <w:rsid w:val="1084784A"/>
    <w:rsid w:val="10923E54"/>
    <w:rsid w:val="109E0DDB"/>
    <w:rsid w:val="10A5002C"/>
    <w:rsid w:val="10AA0636"/>
    <w:rsid w:val="10AA5642"/>
    <w:rsid w:val="10C2298C"/>
    <w:rsid w:val="10C676B7"/>
    <w:rsid w:val="10DC1574"/>
    <w:rsid w:val="10ED65DB"/>
    <w:rsid w:val="11063FEA"/>
    <w:rsid w:val="110F593B"/>
    <w:rsid w:val="111C31CE"/>
    <w:rsid w:val="112819F4"/>
    <w:rsid w:val="112A75B4"/>
    <w:rsid w:val="112F1255"/>
    <w:rsid w:val="11321FAA"/>
    <w:rsid w:val="11335637"/>
    <w:rsid w:val="113F7DB2"/>
    <w:rsid w:val="11406D4B"/>
    <w:rsid w:val="11472E91"/>
    <w:rsid w:val="114E2471"/>
    <w:rsid w:val="115634AF"/>
    <w:rsid w:val="115B2158"/>
    <w:rsid w:val="116432A2"/>
    <w:rsid w:val="116A4DD1"/>
    <w:rsid w:val="116B1D07"/>
    <w:rsid w:val="1178129C"/>
    <w:rsid w:val="117A14B8"/>
    <w:rsid w:val="1182036D"/>
    <w:rsid w:val="1184777C"/>
    <w:rsid w:val="1193257A"/>
    <w:rsid w:val="119B4F8B"/>
    <w:rsid w:val="11A135FD"/>
    <w:rsid w:val="11A902D3"/>
    <w:rsid w:val="11C10E95"/>
    <w:rsid w:val="11D34725"/>
    <w:rsid w:val="11ED1C8A"/>
    <w:rsid w:val="11EE5A02"/>
    <w:rsid w:val="11F56D91"/>
    <w:rsid w:val="11F857D4"/>
    <w:rsid w:val="11FA43A7"/>
    <w:rsid w:val="12062D4C"/>
    <w:rsid w:val="12076395"/>
    <w:rsid w:val="120E1C01"/>
    <w:rsid w:val="12107727"/>
    <w:rsid w:val="121409B6"/>
    <w:rsid w:val="12150C53"/>
    <w:rsid w:val="121A05A5"/>
    <w:rsid w:val="12270675"/>
    <w:rsid w:val="1227792F"/>
    <w:rsid w:val="12282CC2"/>
    <w:rsid w:val="123E20D6"/>
    <w:rsid w:val="124A70DD"/>
    <w:rsid w:val="12535865"/>
    <w:rsid w:val="12584CB9"/>
    <w:rsid w:val="12695089"/>
    <w:rsid w:val="126C2C21"/>
    <w:rsid w:val="12717304"/>
    <w:rsid w:val="12773533"/>
    <w:rsid w:val="1286241A"/>
    <w:rsid w:val="128679E9"/>
    <w:rsid w:val="128900F8"/>
    <w:rsid w:val="128F4AEF"/>
    <w:rsid w:val="1294743A"/>
    <w:rsid w:val="12994D49"/>
    <w:rsid w:val="12A12A75"/>
    <w:rsid w:val="12AF5192"/>
    <w:rsid w:val="12B24C82"/>
    <w:rsid w:val="12C8190B"/>
    <w:rsid w:val="12CA5B28"/>
    <w:rsid w:val="12D9220E"/>
    <w:rsid w:val="12DD749A"/>
    <w:rsid w:val="12E3308D"/>
    <w:rsid w:val="12E67A2B"/>
    <w:rsid w:val="12F9530C"/>
    <w:rsid w:val="13076D7C"/>
    <w:rsid w:val="13196AA8"/>
    <w:rsid w:val="131D659F"/>
    <w:rsid w:val="13201BEB"/>
    <w:rsid w:val="13370CE3"/>
    <w:rsid w:val="13421B62"/>
    <w:rsid w:val="13456138"/>
    <w:rsid w:val="13466D2C"/>
    <w:rsid w:val="134C29E0"/>
    <w:rsid w:val="135A6FA4"/>
    <w:rsid w:val="135D699C"/>
    <w:rsid w:val="137244AF"/>
    <w:rsid w:val="13734411"/>
    <w:rsid w:val="137C0F10"/>
    <w:rsid w:val="137D34C8"/>
    <w:rsid w:val="13872098"/>
    <w:rsid w:val="138E7FDD"/>
    <w:rsid w:val="139525D9"/>
    <w:rsid w:val="13AF1C19"/>
    <w:rsid w:val="13B14F39"/>
    <w:rsid w:val="13CC58CF"/>
    <w:rsid w:val="13E23345"/>
    <w:rsid w:val="13F16BB5"/>
    <w:rsid w:val="13F66EDF"/>
    <w:rsid w:val="14011A1D"/>
    <w:rsid w:val="14037464"/>
    <w:rsid w:val="14097E34"/>
    <w:rsid w:val="140F7BE3"/>
    <w:rsid w:val="14185F05"/>
    <w:rsid w:val="141A2ADF"/>
    <w:rsid w:val="141D386E"/>
    <w:rsid w:val="142B4CEC"/>
    <w:rsid w:val="1435759E"/>
    <w:rsid w:val="143936D8"/>
    <w:rsid w:val="14400B26"/>
    <w:rsid w:val="14423DE3"/>
    <w:rsid w:val="144731A8"/>
    <w:rsid w:val="144B713C"/>
    <w:rsid w:val="145B1459"/>
    <w:rsid w:val="145E0C1D"/>
    <w:rsid w:val="14651597"/>
    <w:rsid w:val="14720225"/>
    <w:rsid w:val="147E354D"/>
    <w:rsid w:val="147F2942"/>
    <w:rsid w:val="148471EE"/>
    <w:rsid w:val="14945EEC"/>
    <w:rsid w:val="149C1746"/>
    <w:rsid w:val="14A8633C"/>
    <w:rsid w:val="14B35F82"/>
    <w:rsid w:val="14B940A6"/>
    <w:rsid w:val="14C72840"/>
    <w:rsid w:val="14CA62B3"/>
    <w:rsid w:val="14CE4728"/>
    <w:rsid w:val="14D93E23"/>
    <w:rsid w:val="14E721D9"/>
    <w:rsid w:val="14EC447B"/>
    <w:rsid w:val="14EE4930"/>
    <w:rsid w:val="14F652AD"/>
    <w:rsid w:val="14FE5F5C"/>
    <w:rsid w:val="150712B5"/>
    <w:rsid w:val="15121A08"/>
    <w:rsid w:val="15145780"/>
    <w:rsid w:val="15256C56"/>
    <w:rsid w:val="15263A3E"/>
    <w:rsid w:val="152B4BFE"/>
    <w:rsid w:val="152D6842"/>
    <w:rsid w:val="15385550"/>
    <w:rsid w:val="154716B1"/>
    <w:rsid w:val="1548681A"/>
    <w:rsid w:val="155618F4"/>
    <w:rsid w:val="15567B46"/>
    <w:rsid w:val="155A139E"/>
    <w:rsid w:val="155E4C4D"/>
    <w:rsid w:val="15604521"/>
    <w:rsid w:val="15636923"/>
    <w:rsid w:val="156571A1"/>
    <w:rsid w:val="156D5812"/>
    <w:rsid w:val="156F29B6"/>
    <w:rsid w:val="15787ABD"/>
    <w:rsid w:val="158346B4"/>
    <w:rsid w:val="15861753"/>
    <w:rsid w:val="158E4707"/>
    <w:rsid w:val="158F3058"/>
    <w:rsid w:val="15945CB1"/>
    <w:rsid w:val="159A6E34"/>
    <w:rsid w:val="15A9236C"/>
    <w:rsid w:val="15B50867"/>
    <w:rsid w:val="15B648AC"/>
    <w:rsid w:val="15BF56EC"/>
    <w:rsid w:val="15D004B2"/>
    <w:rsid w:val="15D1049B"/>
    <w:rsid w:val="15DA0777"/>
    <w:rsid w:val="15E2762C"/>
    <w:rsid w:val="15E50ECA"/>
    <w:rsid w:val="15F54042"/>
    <w:rsid w:val="15F555B1"/>
    <w:rsid w:val="15F958CF"/>
    <w:rsid w:val="16094BB9"/>
    <w:rsid w:val="1609594A"/>
    <w:rsid w:val="160B4384"/>
    <w:rsid w:val="16117F11"/>
    <w:rsid w:val="161B2FF8"/>
    <w:rsid w:val="162157D8"/>
    <w:rsid w:val="162E60EA"/>
    <w:rsid w:val="163A7468"/>
    <w:rsid w:val="16465E0D"/>
    <w:rsid w:val="16467BBB"/>
    <w:rsid w:val="16491459"/>
    <w:rsid w:val="1659407E"/>
    <w:rsid w:val="165E3829"/>
    <w:rsid w:val="166221AA"/>
    <w:rsid w:val="166E74A4"/>
    <w:rsid w:val="1672275E"/>
    <w:rsid w:val="16723C4E"/>
    <w:rsid w:val="167A1613"/>
    <w:rsid w:val="168B3820"/>
    <w:rsid w:val="169C6A85"/>
    <w:rsid w:val="16A42B33"/>
    <w:rsid w:val="16A5497C"/>
    <w:rsid w:val="16A677CD"/>
    <w:rsid w:val="16A91EF8"/>
    <w:rsid w:val="16AF3030"/>
    <w:rsid w:val="16B44623"/>
    <w:rsid w:val="16BF34C9"/>
    <w:rsid w:val="16C3745D"/>
    <w:rsid w:val="16C44F84"/>
    <w:rsid w:val="16CA52C0"/>
    <w:rsid w:val="16D900E4"/>
    <w:rsid w:val="16DF591A"/>
    <w:rsid w:val="16E82A20"/>
    <w:rsid w:val="16F21CCB"/>
    <w:rsid w:val="16F75359"/>
    <w:rsid w:val="16F92E7F"/>
    <w:rsid w:val="16FE2244"/>
    <w:rsid w:val="17005F34"/>
    <w:rsid w:val="17092996"/>
    <w:rsid w:val="1718562C"/>
    <w:rsid w:val="172D48D7"/>
    <w:rsid w:val="172F064F"/>
    <w:rsid w:val="17312619"/>
    <w:rsid w:val="17343EB7"/>
    <w:rsid w:val="17345C65"/>
    <w:rsid w:val="17463BEB"/>
    <w:rsid w:val="175207E1"/>
    <w:rsid w:val="17591918"/>
    <w:rsid w:val="176E5003"/>
    <w:rsid w:val="177644D0"/>
    <w:rsid w:val="177B1AE6"/>
    <w:rsid w:val="179039C4"/>
    <w:rsid w:val="17920BDE"/>
    <w:rsid w:val="17984446"/>
    <w:rsid w:val="1799486D"/>
    <w:rsid w:val="179D0244"/>
    <w:rsid w:val="17A67E3B"/>
    <w:rsid w:val="17AC1CA0"/>
    <w:rsid w:val="17B31280"/>
    <w:rsid w:val="17BD3EAD"/>
    <w:rsid w:val="17C074F9"/>
    <w:rsid w:val="17CC2342"/>
    <w:rsid w:val="17CC40F0"/>
    <w:rsid w:val="17D17958"/>
    <w:rsid w:val="17E94CA2"/>
    <w:rsid w:val="17EC4792"/>
    <w:rsid w:val="17F3575E"/>
    <w:rsid w:val="18057602"/>
    <w:rsid w:val="181347CA"/>
    <w:rsid w:val="1818112A"/>
    <w:rsid w:val="18267CA4"/>
    <w:rsid w:val="182F637B"/>
    <w:rsid w:val="183445BD"/>
    <w:rsid w:val="18375C9D"/>
    <w:rsid w:val="183A54FD"/>
    <w:rsid w:val="1840063A"/>
    <w:rsid w:val="184364E7"/>
    <w:rsid w:val="18506ACF"/>
    <w:rsid w:val="185E5CB4"/>
    <w:rsid w:val="185F4F64"/>
    <w:rsid w:val="186802BC"/>
    <w:rsid w:val="186905EA"/>
    <w:rsid w:val="186D58D3"/>
    <w:rsid w:val="18707171"/>
    <w:rsid w:val="18743F6E"/>
    <w:rsid w:val="18775C69"/>
    <w:rsid w:val="18974105"/>
    <w:rsid w:val="189F1804"/>
    <w:rsid w:val="18AF7445"/>
    <w:rsid w:val="18B10430"/>
    <w:rsid w:val="18B20B64"/>
    <w:rsid w:val="18C15C1F"/>
    <w:rsid w:val="18C86FAE"/>
    <w:rsid w:val="18CF1B65"/>
    <w:rsid w:val="18D13844"/>
    <w:rsid w:val="18D30230"/>
    <w:rsid w:val="18DF6B74"/>
    <w:rsid w:val="18E36CB5"/>
    <w:rsid w:val="18E37943"/>
    <w:rsid w:val="18ED00CB"/>
    <w:rsid w:val="18ED14A8"/>
    <w:rsid w:val="19074C20"/>
    <w:rsid w:val="190A1374"/>
    <w:rsid w:val="190A4292"/>
    <w:rsid w:val="190C4E70"/>
    <w:rsid w:val="192176DC"/>
    <w:rsid w:val="1926420A"/>
    <w:rsid w:val="192D0BBE"/>
    <w:rsid w:val="192E7E2B"/>
    <w:rsid w:val="1941206D"/>
    <w:rsid w:val="194B54E8"/>
    <w:rsid w:val="194B7962"/>
    <w:rsid w:val="194D0450"/>
    <w:rsid w:val="19520625"/>
    <w:rsid w:val="19536B90"/>
    <w:rsid w:val="19602C5A"/>
    <w:rsid w:val="19650358"/>
    <w:rsid w:val="196A3BC0"/>
    <w:rsid w:val="19712F36"/>
    <w:rsid w:val="19742C91"/>
    <w:rsid w:val="197A4670"/>
    <w:rsid w:val="197B5DCD"/>
    <w:rsid w:val="19801636"/>
    <w:rsid w:val="19825FD2"/>
    <w:rsid w:val="199576CF"/>
    <w:rsid w:val="19997559"/>
    <w:rsid w:val="199A4A77"/>
    <w:rsid w:val="19A73191"/>
    <w:rsid w:val="19AC41D9"/>
    <w:rsid w:val="19B06471"/>
    <w:rsid w:val="19B372A4"/>
    <w:rsid w:val="19B94B48"/>
    <w:rsid w:val="19CF670D"/>
    <w:rsid w:val="19D52D64"/>
    <w:rsid w:val="19D63004"/>
    <w:rsid w:val="19DB686C"/>
    <w:rsid w:val="19DE2C60"/>
    <w:rsid w:val="19DF45AE"/>
    <w:rsid w:val="19E87054"/>
    <w:rsid w:val="19F17E3E"/>
    <w:rsid w:val="19FB6F0F"/>
    <w:rsid w:val="1A001CE1"/>
    <w:rsid w:val="1A02204B"/>
    <w:rsid w:val="1A037B71"/>
    <w:rsid w:val="1A0D279E"/>
    <w:rsid w:val="1A150839"/>
    <w:rsid w:val="1A18740C"/>
    <w:rsid w:val="1A293ADE"/>
    <w:rsid w:val="1A2E30B6"/>
    <w:rsid w:val="1A2F0966"/>
    <w:rsid w:val="1A304E0A"/>
    <w:rsid w:val="1A317C51"/>
    <w:rsid w:val="1A3C2ADC"/>
    <w:rsid w:val="1A4046C7"/>
    <w:rsid w:val="1A4274FB"/>
    <w:rsid w:val="1A5D1977"/>
    <w:rsid w:val="1A6918AE"/>
    <w:rsid w:val="1A716EDA"/>
    <w:rsid w:val="1A736AA5"/>
    <w:rsid w:val="1A75152F"/>
    <w:rsid w:val="1A7F5449"/>
    <w:rsid w:val="1A8E1B30"/>
    <w:rsid w:val="1A8E38DF"/>
    <w:rsid w:val="1A9C0B0E"/>
    <w:rsid w:val="1AA72BF2"/>
    <w:rsid w:val="1AAC1FB7"/>
    <w:rsid w:val="1ABA2925"/>
    <w:rsid w:val="1ABB2BFD"/>
    <w:rsid w:val="1AC45552"/>
    <w:rsid w:val="1AC82188"/>
    <w:rsid w:val="1ACE04D7"/>
    <w:rsid w:val="1AD4734D"/>
    <w:rsid w:val="1AD92D8F"/>
    <w:rsid w:val="1ADC6D40"/>
    <w:rsid w:val="1AE00B90"/>
    <w:rsid w:val="1AE2031B"/>
    <w:rsid w:val="1AE259D8"/>
    <w:rsid w:val="1AE87493"/>
    <w:rsid w:val="1AEA1D23"/>
    <w:rsid w:val="1B0167A6"/>
    <w:rsid w:val="1B087B35"/>
    <w:rsid w:val="1B0C5135"/>
    <w:rsid w:val="1B0E4A1F"/>
    <w:rsid w:val="1B0F0EC3"/>
    <w:rsid w:val="1B172B18"/>
    <w:rsid w:val="1B193AF0"/>
    <w:rsid w:val="1B1B3AF9"/>
    <w:rsid w:val="1B1C0EEA"/>
    <w:rsid w:val="1B202FF2"/>
    <w:rsid w:val="1B2B6103"/>
    <w:rsid w:val="1B351FAC"/>
    <w:rsid w:val="1B6B511A"/>
    <w:rsid w:val="1B6F3710"/>
    <w:rsid w:val="1B744165"/>
    <w:rsid w:val="1B75356E"/>
    <w:rsid w:val="1B844ABD"/>
    <w:rsid w:val="1B881812"/>
    <w:rsid w:val="1B8B6070"/>
    <w:rsid w:val="1B8F3DB2"/>
    <w:rsid w:val="1B8F790E"/>
    <w:rsid w:val="1B940383"/>
    <w:rsid w:val="1BA01B1B"/>
    <w:rsid w:val="1BA548B0"/>
    <w:rsid w:val="1BAA13D7"/>
    <w:rsid w:val="1BC3580A"/>
    <w:rsid w:val="1BC872C4"/>
    <w:rsid w:val="1BD17F27"/>
    <w:rsid w:val="1BE6171B"/>
    <w:rsid w:val="1BEA0FE8"/>
    <w:rsid w:val="1BEC2FB3"/>
    <w:rsid w:val="1BF260EF"/>
    <w:rsid w:val="1BF7155D"/>
    <w:rsid w:val="1BFD451E"/>
    <w:rsid w:val="1C055E22"/>
    <w:rsid w:val="1C0C0F5F"/>
    <w:rsid w:val="1C112A19"/>
    <w:rsid w:val="1C19367C"/>
    <w:rsid w:val="1C202D43"/>
    <w:rsid w:val="1C226A8A"/>
    <w:rsid w:val="1C295574"/>
    <w:rsid w:val="1C2C7853"/>
    <w:rsid w:val="1C381D54"/>
    <w:rsid w:val="1C4050A7"/>
    <w:rsid w:val="1C422ECC"/>
    <w:rsid w:val="1C493F61"/>
    <w:rsid w:val="1C623275"/>
    <w:rsid w:val="1C7158DC"/>
    <w:rsid w:val="1C7D1E5D"/>
    <w:rsid w:val="1C7F3E27"/>
    <w:rsid w:val="1C82609F"/>
    <w:rsid w:val="1C827473"/>
    <w:rsid w:val="1C865EAE"/>
    <w:rsid w:val="1C917712"/>
    <w:rsid w:val="1C924A87"/>
    <w:rsid w:val="1C930EB9"/>
    <w:rsid w:val="1C99656B"/>
    <w:rsid w:val="1C9F0025"/>
    <w:rsid w:val="1CB3762C"/>
    <w:rsid w:val="1CBF50DC"/>
    <w:rsid w:val="1CC07ED6"/>
    <w:rsid w:val="1CD6156D"/>
    <w:rsid w:val="1CDD28FB"/>
    <w:rsid w:val="1CFA34AD"/>
    <w:rsid w:val="1CFD2F9D"/>
    <w:rsid w:val="1D022362"/>
    <w:rsid w:val="1D026372"/>
    <w:rsid w:val="1D0C4D3C"/>
    <w:rsid w:val="1D0E6F59"/>
    <w:rsid w:val="1D1C78C7"/>
    <w:rsid w:val="1D225EE4"/>
    <w:rsid w:val="1D2413D7"/>
    <w:rsid w:val="1D277E4F"/>
    <w:rsid w:val="1D320E99"/>
    <w:rsid w:val="1D3423C3"/>
    <w:rsid w:val="1D3657D7"/>
    <w:rsid w:val="1D3C1D18"/>
    <w:rsid w:val="1D3F35B6"/>
    <w:rsid w:val="1D3F7112"/>
    <w:rsid w:val="1D4D182F"/>
    <w:rsid w:val="1D4E2AE9"/>
    <w:rsid w:val="1D5277E1"/>
    <w:rsid w:val="1D632EBE"/>
    <w:rsid w:val="1D6F5C49"/>
    <w:rsid w:val="1D7748F7"/>
    <w:rsid w:val="1D78025C"/>
    <w:rsid w:val="1D813BCE"/>
    <w:rsid w:val="1D915D32"/>
    <w:rsid w:val="1D990F18"/>
    <w:rsid w:val="1D9C27B6"/>
    <w:rsid w:val="1D9C40B3"/>
    <w:rsid w:val="1D9D1D87"/>
    <w:rsid w:val="1DA85572"/>
    <w:rsid w:val="1DA93032"/>
    <w:rsid w:val="1DB26E14"/>
    <w:rsid w:val="1DBC69B5"/>
    <w:rsid w:val="1DC75D5A"/>
    <w:rsid w:val="1DDC7057"/>
    <w:rsid w:val="1DDE77F7"/>
    <w:rsid w:val="1DE5593A"/>
    <w:rsid w:val="1DEC54EC"/>
    <w:rsid w:val="1E01086B"/>
    <w:rsid w:val="1E0D7210"/>
    <w:rsid w:val="1E2E38EF"/>
    <w:rsid w:val="1E3A09B5"/>
    <w:rsid w:val="1E461E83"/>
    <w:rsid w:val="1E51534F"/>
    <w:rsid w:val="1E54734D"/>
    <w:rsid w:val="1E5905ED"/>
    <w:rsid w:val="1E647069"/>
    <w:rsid w:val="1E777800"/>
    <w:rsid w:val="1E8349E3"/>
    <w:rsid w:val="1E911BEF"/>
    <w:rsid w:val="1EA00084"/>
    <w:rsid w:val="1EA2746D"/>
    <w:rsid w:val="1EC20B7F"/>
    <w:rsid w:val="1ECB7DF7"/>
    <w:rsid w:val="1ECC613A"/>
    <w:rsid w:val="1ECE354F"/>
    <w:rsid w:val="1ED815CC"/>
    <w:rsid w:val="1ED8781E"/>
    <w:rsid w:val="1EFA1543"/>
    <w:rsid w:val="1EFD247E"/>
    <w:rsid w:val="1F046865"/>
    <w:rsid w:val="1F080588"/>
    <w:rsid w:val="1F29007A"/>
    <w:rsid w:val="1F3E6060"/>
    <w:rsid w:val="1F464788"/>
    <w:rsid w:val="1F494278"/>
    <w:rsid w:val="1F5C6639"/>
    <w:rsid w:val="1F681A89"/>
    <w:rsid w:val="1F707A57"/>
    <w:rsid w:val="1F867203"/>
    <w:rsid w:val="1F923FFD"/>
    <w:rsid w:val="1FA92F69"/>
    <w:rsid w:val="1FAE597E"/>
    <w:rsid w:val="1FBC5A21"/>
    <w:rsid w:val="1FC57DA2"/>
    <w:rsid w:val="1FC61D6D"/>
    <w:rsid w:val="1FCD6AB7"/>
    <w:rsid w:val="1FD8244E"/>
    <w:rsid w:val="1FDB75C6"/>
    <w:rsid w:val="1FE83B06"/>
    <w:rsid w:val="1FE87F35"/>
    <w:rsid w:val="1FEC17D3"/>
    <w:rsid w:val="1FF45676"/>
    <w:rsid w:val="1FF9388E"/>
    <w:rsid w:val="200C3C23"/>
    <w:rsid w:val="200D77AD"/>
    <w:rsid w:val="20134B59"/>
    <w:rsid w:val="20166850"/>
    <w:rsid w:val="20297B89"/>
    <w:rsid w:val="202E34EE"/>
    <w:rsid w:val="20354F75"/>
    <w:rsid w:val="203C3DDD"/>
    <w:rsid w:val="2040567B"/>
    <w:rsid w:val="204607B7"/>
    <w:rsid w:val="20482782"/>
    <w:rsid w:val="20484530"/>
    <w:rsid w:val="2054269E"/>
    <w:rsid w:val="206633A9"/>
    <w:rsid w:val="20670E5A"/>
    <w:rsid w:val="206E4924"/>
    <w:rsid w:val="207277FE"/>
    <w:rsid w:val="207A3E96"/>
    <w:rsid w:val="208714FC"/>
    <w:rsid w:val="209E5928"/>
    <w:rsid w:val="20A0611A"/>
    <w:rsid w:val="20A3766A"/>
    <w:rsid w:val="20A91472"/>
    <w:rsid w:val="20AA2E36"/>
    <w:rsid w:val="20AA343C"/>
    <w:rsid w:val="20BE5BD1"/>
    <w:rsid w:val="20C04A0E"/>
    <w:rsid w:val="20C462AC"/>
    <w:rsid w:val="20C81BF2"/>
    <w:rsid w:val="20CC6F0F"/>
    <w:rsid w:val="20CF128C"/>
    <w:rsid w:val="20D858B3"/>
    <w:rsid w:val="20DB1848"/>
    <w:rsid w:val="20DD111C"/>
    <w:rsid w:val="20ED1C88"/>
    <w:rsid w:val="210E5779"/>
    <w:rsid w:val="212D7FC8"/>
    <w:rsid w:val="21350AE2"/>
    <w:rsid w:val="213B4094"/>
    <w:rsid w:val="213D605E"/>
    <w:rsid w:val="213F010A"/>
    <w:rsid w:val="21521B0A"/>
    <w:rsid w:val="21570ECE"/>
    <w:rsid w:val="215A276C"/>
    <w:rsid w:val="215C64E4"/>
    <w:rsid w:val="215C706E"/>
    <w:rsid w:val="2163724B"/>
    <w:rsid w:val="216C7BE6"/>
    <w:rsid w:val="21817CF9"/>
    <w:rsid w:val="21821CC3"/>
    <w:rsid w:val="219739C1"/>
    <w:rsid w:val="21C30312"/>
    <w:rsid w:val="21C67A51"/>
    <w:rsid w:val="21C77B3B"/>
    <w:rsid w:val="21CF128C"/>
    <w:rsid w:val="21DB2344"/>
    <w:rsid w:val="21DC7694"/>
    <w:rsid w:val="21E32762"/>
    <w:rsid w:val="21E62252"/>
    <w:rsid w:val="21FC6DEB"/>
    <w:rsid w:val="22001566"/>
    <w:rsid w:val="220D2602"/>
    <w:rsid w:val="220D5A31"/>
    <w:rsid w:val="220F17A9"/>
    <w:rsid w:val="221A4255"/>
    <w:rsid w:val="221C3EC6"/>
    <w:rsid w:val="22334540"/>
    <w:rsid w:val="22352A22"/>
    <w:rsid w:val="22372AAE"/>
    <w:rsid w:val="223E5BEA"/>
    <w:rsid w:val="22410F7C"/>
    <w:rsid w:val="224156DA"/>
    <w:rsid w:val="224376A4"/>
    <w:rsid w:val="22441D83"/>
    <w:rsid w:val="224D0523"/>
    <w:rsid w:val="2251611C"/>
    <w:rsid w:val="22695129"/>
    <w:rsid w:val="22695CC5"/>
    <w:rsid w:val="226D4721"/>
    <w:rsid w:val="226F0499"/>
    <w:rsid w:val="22791318"/>
    <w:rsid w:val="227C4964"/>
    <w:rsid w:val="227D7B30"/>
    <w:rsid w:val="22851A6B"/>
    <w:rsid w:val="22861367"/>
    <w:rsid w:val="228C2DF9"/>
    <w:rsid w:val="2297354C"/>
    <w:rsid w:val="229F6E90"/>
    <w:rsid w:val="22A04AF7"/>
    <w:rsid w:val="22AF0896"/>
    <w:rsid w:val="22BA5A10"/>
    <w:rsid w:val="22C24875"/>
    <w:rsid w:val="22C34341"/>
    <w:rsid w:val="22C64F8A"/>
    <w:rsid w:val="22CC0F2A"/>
    <w:rsid w:val="22DA21F5"/>
    <w:rsid w:val="22DB78DD"/>
    <w:rsid w:val="22F35816"/>
    <w:rsid w:val="22FB7F7F"/>
    <w:rsid w:val="23021FAC"/>
    <w:rsid w:val="23040BE2"/>
    <w:rsid w:val="230B6414"/>
    <w:rsid w:val="23296041"/>
    <w:rsid w:val="232E2103"/>
    <w:rsid w:val="233B4EA2"/>
    <w:rsid w:val="2341634B"/>
    <w:rsid w:val="23692D78"/>
    <w:rsid w:val="2372240D"/>
    <w:rsid w:val="237C10C0"/>
    <w:rsid w:val="23922691"/>
    <w:rsid w:val="23A80914"/>
    <w:rsid w:val="23A83C63"/>
    <w:rsid w:val="23AB5C84"/>
    <w:rsid w:val="23B01AB4"/>
    <w:rsid w:val="23B24318"/>
    <w:rsid w:val="23BC770E"/>
    <w:rsid w:val="23CB5BA3"/>
    <w:rsid w:val="23D031BA"/>
    <w:rsid w:val="23D7157E"/>
    <w:rsid w:val="23DA27F0"/>
    <w:rsid w:val="23DA5DE6"/>
    <w:rsid w:val="23EB1DA2"/>
    <w:rsid w:val="23EF1510"/>
    <w:rsid w:val="23F959F3"/>
    <w:rsid w:val="23FD01D9"/>
    <w:rsid w:val="240E19B7"/>
    <w:rsid w:val="240F36C9"/>
    <w:rsid w:val="2416273C"/>
    <w:rsid w:val="241A0F53"/>
    <w:rsid w:val="241F18CE"/>
    <w:rsid w:val="24305262"/>
    <w:rsid w:val="243401DD"/>
    <w:rsid w:val="24354E51"/>
    <w:rsid w:val="2438587A"/>
    <w:rsid w:val="243E5F26"/>
    <w:rsid w:val="24431BDE"/>
    <w:rsid w:val="244C30A4"/>
    <w:rsid w:val="244E777C"/>
    <w:rsid w:val="245254CF"/>
    <w:rsid w:val="245F00EF"/>
    <w:rsid w:val="24672AD2"/>
    <w:rsid w:val="2468098D"/>
    <w:rsid w:val="246E2D16"/>
    <w:rsid w:val="2479395E"/>
    <w:rsid w:val="247B1377"/>
    <w:rsid w:val="2480034D"/>
    <w:rsid w:val="248024EA"/>
    <w:rsid w:val="24877D1C"/>
    <w:rsid w:val="248A5117"/>
    <w:rsid w:val="24975A86"/>
    <w:rsid w:val="24983041"/>
    <w:rsid w:val="249935AC"/>
    <w:rsid w:val="249D12EE"/>
    <w:rsid w:val="249E6E14"/>
    <w:rsid w:val="24B228BF"/>
    <w:rsid w:val="24BD373E"/>
    <w:rsid w:val="24C03374"/>
    <w:rsid w:val="24C30629"/>
    <w:rsid w:val="24CA5E5B"/>
    <w:rsid w:val="24CC572F"/>
    <w:rsid w:val="24D32F62"/>
    <w:rsid w:val="24D35CA7"/>
    <w:rsid w:val="24DC16EA"/>
    <w:rsid w:val="24E0567E"/>
    <w:rsid w:val="24E20A87"/>
    <w:rsid w:val="24F609FE"/>
    <w:rsid w:val="24FF3D57"/>
    <w:rsid w:val="2500362B"/>
    <w:rsid w:val="250076E0"/>
    <w:rsid w:val="25050C41"/>
    <w:rsid w:val="251404C8"/>
    <w:rsid w:val="251553EE"/>
    <w:rsid w:val="25177229"/>
    <w:rsid w:val="25203CCD"/>
    <w:rsid w:val="25214078"/>
    <w:rsid w:val="25284504"/>
    <w:rsid w:val="25461D87"/>
    <w:rsid w:val="254C6870"/>
    <w:rsid w:val="254E031C"/>
    <w:rsid w:val="254E25E8"/>
    <w:rsid w:val="255E0351"/>
    <w:rsid w:val="256C6F12"/>
    <w:rsid w:val="2573204F"/>
    <w:rsid w:val="25752322"/>
    <w:rsid w:val="25774BC8"/>
    <w:rsid w:val="25875AFA"/>
    <w:rsid w:val="25983863"/>
    <w:rsid w:val="259B3AF3"/>
    <w:rsid w:val="25A55F80"/>
    <w:rsid w:val="25C97EC1"/>
    <w:rsid w:val="25D86336"/>
    <w:rsid w:val="25E8185F"/>
    <w:rsid w:val="25ED5E00"/>
    <w:rsid w:val="25F413E1"/>
    <w:rsid w:val="25F87624"/>
    <w:rsid w:val="25FF38E2"/>
    <w:rsid w:val="26062EC3"/>
    <w:rsid w:val="260D24A3"/>
    <w:rsid w:val="26153106"/>
    <w:rsid w:val="261C26E6"/>
    <w:rsid w:val="26221654"/>
    <w:rsid w:val="26297825"/>
    <w:rsid w:val="26306192"/>
    <w:rsid w:val="263F5A17"/>
    <w:rsid w:val="2640388A"/>
    <w:rsid w:val="26492DAF"/>
    <w:rsid w:val="264B7597"/>
    <w:rsid w:val="26500C1F"/>
    <w:rsid w:val="26506717"/>
    <w:rsid w:val="26551754"/>
    <w:rsid w:val="265D6277"/>
    <w:rsid w:val="267267AA"/>
    <w:rsid w:val="26797B39"/>
    <w:rsid w:val="267E0CAB"/>
    <w:rsid w:val="26822D5C"/>
    <w:rsid w:val="26866628"/>
    <w:rsid w:val="26886951"/>
    <w:rsid w:val="268E6AB1"/>
    <w:rsid w:val="268F4337"/>
    <w:rsid w:val="2699558B"/>
    <w:rsid w:val="26A60202"/>
    <w:rsid w:val="26B26DD0"/>
    <w:rsid w:val="26B5091A"/>
    <w:rsid w:val="26BE72FA"/>
    <w:rsid w:val="26D905D7"/>
    <w:rsid w:val="26DB4B00"/>
    <w:rsid w:val="26DD260F"/>
    <w:rsid w:val="26DE174A"/>
    <w:rsid w:val="26E01966"/>
    <w:rsid w:val="26E16B53"/>
    <w:rsid w:val="26EF3957"/>
    <w:rsid w:val="26FA478D"/>
    <w:rsid w:val="26FB22FC"/>
    <w:rsid w:val="27197B4D"/>
    <w:rsid w:val="27342446"/>
    <w:rsid w:val="27344754"/>
    <w:rsid w:val="27382998"/>
    <w:rsid w:val="273F48DE"/>
    <w:rsid w:val="27637EA1"/>
    <w:rsid w:val="27765E26"/>
    <w:rsid w:val="27787DF0"/>
    <w:rsid w:val="277B168E"/>
    <w:rsid w:val="27871DE1"/>
    <w:rsid w:val="27893DAB"/>
    <w:rsid w:val="27897907"/>
    <w:rsid w:val="278E7359"/>
    <w:rsid w:val="27A24E6D"/>
    <w:rsid w:val="27C14002"/>
    <w:rsid w:val="27CB7F20"/>
    <w:rsid w:val="27DF287A"/>
    <w:rsid w:val="27F51441"/>
    <w:rsid w:val="27FA5549"/>
    <w:rsid w:val="280B48A6"/>
    <w:rsid w:val="280C22E7"/>
    <w:rsid w:val="28137B19"/>
    <w:rsid w:val="28177609"/>
    <w:rsid w:val="282615FA"/>
    <w:rsid w:val="2826784C"/>
    <w:rsid w:val="28357A8F"/>
    <w:rsid w:val="28416FE0"/>
    <w:rsid w:val="284F6DA3"/>
    <w:rsid w:val="28553C8E"/>
    <w:rsid w:val="285A4934"/>
    <w:rsid w:val="285C501C"/>
    <w:rsid w:val="28665E9B"/>
    <w:rsid w:val="286B383E"/>
    <w:rsid w:val="286D77B8"/>
    <w:rsid w:val="2879797C"/>
    <w:rsid w:val="287D218E"/>
    <w:rsid w:val="288E6ED0"/>
    <w:rsid w:val="289229E4"/>
    <w:rsid w:val="28A044B5"/>
    <w:rsid w:val="28C560BE"/>
    <w:rsid w:val="28CD2D8F"/>
    <w:rsid w:val="28CE49C0"/>
    <w:rsid w:val="28D67BDE"/>
    <w:rsid w:val="28D9041B"/>
    <w:rsid w:val="28FC05AD"/>
    <w:rsid w:val="290F1950"/>
    <w:rsid w:val="291F36A4"/>
    <w:rsid w:val="29234A57"/>
    <w:rsid w:val="2927387C"/>
    <w:rsid w:val="292A6EC8"/>
    <w:rsid w:val="292C49EE"/>
    <w:rsid w:val="292E4C0A"/>
    <w:rsid w:val="29323370"/>
    <w:rsid w:val="29334219"/>
    <w:rsid w:val="293D309F"/>
    <w:rsid w:val="29420B46"/>
    <w:rsid w:val="294601F2"/>
    <w:rsid w:val="2953438F"/>
    <w:rsid w:val="29562602"/>
    <w:rsid w:val="29582714"/>
    <w:rsid w:val="296368B0"/>
    <w:rsid w:val="29644819"/>
    <w:rsid w:val="296543A4"/>
    <w:rsid w:val="2973703F"/>
    <w:rsid w:val="29764F60"/>
    <w:rsid w:val="299D5EB5"/>
    <w:rsid w:val="299F1664"/>
    <w:rsid w:val="29A40B91"/>
    <w:rsid w:val="29B175E9"/>
    <w:rsid w:val="29B34F5A"/>
    <w:rsid w:val="29C966E1"/>
    <w:rsid w:val="29D55086"/>
    <w:rsid w:val="29E569B4"/>
    <w:rsid w:val="29E7200B"/>
    <w:rsid w:val="29E95268"/>
    <w:rsid w:val="29EE439A"/>
    <w:rsid w:val="29EE7EF6"/>
    <w:rsid w:val="29F97883"/>
    <w:rsid w:val="29FA0C70"/>
    <w:rsid w:val="29FF0355"/>
    <w:rsid w:val="2A005E7B"/>
    <w:rsid w:val="2A0106A4"/>
    <w:rsid w:val="2A0E0598"/>
    <w:rsid w:val="2A1831C5"/>
    <w:rsid w:val="2A2F2EED"/>
    <w:rsid w:val="2A3909B1"/>
    <w:rsid w:val="2A3C3357"/>
    <w:rsid w:val="2A3C7D07"/>
    <w:rsid w:val="2A464F29"/>
    <w:rsid w:val="2A497728"/>
    <w:rsid w:val="2A503C36"/>
    <w:rsid w:val="2A5D507B"/>
    <w:rsid w:val="2A5F2BA2"/>
    <w:rsid w:val="2A6033D4"/>
    <w:rsid w:val="2A6B1546"/>
    <w:rsid w:val="2A830F86"/>
    <w:rsid w:val="2A8C41C4"/>
    <w:rsid w:val="2A8F460F"/>
    <w:rsid w:val="2AA66A22"/>
    <w:rsid w:val="2AA84549"/>
    <w:rsid w:val="2AB27175"/>
    <w:rsid w:val="2AB729DE"/>
    <w:rsid w:val="2AC46EA9"/>
    <w:rsid w:val="2AC809F9"/>
    <w:rsid w:val="2ACD6F90"/>
    <w:rsid w:val="2AD90BA6"/>
    <w:rsid w:val="2AE01307"/>
    <w:rsid w:val="2AE21360"/>
    <w:rsid w:val="2AEB2687"/>
    <w:rsid w:val="2AEF3A6B"/>
    <w:rsid w:val="2AF07385"/>
    <w:rsid w:val="2AF23A16"/>
    <w:rsid w:val="2AF27EBA"/>
    <w:rsid w:val="2B1339FD"/>
    <w:rsid w:val="2B186EC3"/>
    <w:rsid w:val="2B2362C5"/>
    <w:rsid w:val="2B3264F9"/>
    <w:rsid w:val="2B345DDC"/>
    <w:rsid w:val="2B3C1135"/>
    <w:rsid w:val="2B510478"/>
    <w:rsid w:val="2B522706"/>
    <w:rsid w:val="2B6E1C33"/>
    <w:rsid w:val="2B822FEC"/>
    <w:rsid w:val="2B922C8C"/>
    <w:rsid w:val="2B9351F9"/>
    <w:rsid w:val="2B936FA7"/>
    <w:rsid w:val="2B960845"/>
    <w:rsid w:val="2B9B5E5B"/>
    <w:rsid w:val="2B9D7E25"/>
    <w:rsid w:val="2B9E594C"/>
    <w:rsid w:val="2BAA67A1"/>
    <w:rsid w:val="2BB138D1"/>
    <w:rsid w:val="2BBD04C8"/>
    <w:rsid w:val="2BBD6041"/>
    <w:rsid w:val="2BBE1B4A"/>
    <w:rsid w:val="2BC2687D"/>
    <w:rsid w:val="2BCF16CC"/>
    <w:rsid w:val="2BD53DFD"/>
    <w:rsid w:val="2BDB094E"/>
    <w:rsid w:val="2BE44FB5"/>
    <w:rsid w:val="2BE47891"/>
    <w:rsid w:val="2BED633D"/>
    <w:rsid w:val="2BF03F9A"/>
    <w:rsid w:val="2BF04150"/>
    <w:rsid w:val="2BF8420D"/>
    <w:rsid w:val="2BFA5ED2"/>
    <w:rsid w:val="2BFC0FF0"/>
    <w:rsid w:val="2BFD6B16"/>
    <w:rsid w:val="2C02412C"/>
    <w:rsid w:val="2C057779"/>
    <w:rsid w:val="2C181352"/>
    <w:rsid w:val="2C197BFF"/>
    <w:rsid w:val="2C1E2435"/>
    <w:rsid w:val="2C2C11A9"/>
    <w:rsid w:val="2C3A38C6"/>
    <w:rsid w:val="2C4604BD"/>
    <w:rsid w:val="2C4A5E20"/>
    <w:rsid w:val="2C510A40"/>
    <w:rsid w:val="2C536453"/>
    <w:rsid w:val="2C536736"/>
    <w:rsid w:val="2C550700"/>
    <w:rsid w:val="2C5B3DED"/>
    <w:rsid w:val="2C646B95"/>
    <w:rsid w:val="2C656218"/>
    <w:rsid w:val="2C772424"/>
    <w:rsid w:val="2C7C7A3B"/>
    <w:rsid w:val="2C7F39CF"/>
    <w:rsid w:val="2C8B2374"/>
    <w:rsid w:val="2C965551"/>
    <w:rsid w:val="2C974875"/>
    <w:rsid w:val="2CA64AB8"/>
    <w:rsid w:val="2CA90A4C"/>
    <w:rsid w:val="2CC26B9B"/>
    <w:rsid w:val="2CC67518"/>
    <w:rsid w:val="2CCD64E8"/>
    <w:rsid w:val="2CD05FD9"/>
    <w:rsid w:val="2CEB49B0"/>
    <w:rsid w:val="2CF77A09"/>
    <w:rsid w:val="2CFD3A58"/>
    <w:rsid w:val="2CFE54AD"/>
    <w:rsid w:val="2D067C4C"/>
    <w:rsid w:val="2D1063D5"/>
    <w:rsid w:val="2D2610F8"/>
    <w:rsid w:val="2D314CC9"/>
    <w:rsid w:val="2D3C71CA"/>
    <w:rsid w:val="2D400884"/>
    <w:rsid w:val="2D496041"/>
    <w:rsid w:val="2D517119"/>
    <w:rsid w:val="2D546C0A"/>
    <w:rsid w:val="2D6055AE"/>
    <w:rsid w:val="2D6329A9"/>
    <w:rsid w:val="2D652BC5"/>
    <w:rsid w:val="2D6C4C62"/>
    <w:rsid w:val="2D71149A"/>
    <w:rsid w:val="2D731B04"/>
    <w:rsid w:val="2D8A7365"/>
    <w:rsid w:val="2D8C63A3"/>
    <w:rsid w:val="2D8E024B"/>
    <w:rsid w:val="2D963B63"/>
    <w:rsid w:val="2D964B2C"/>
    <w:rsid w:val="2D995560"/>
    <w:rsid w:val="2D9E7E85"/>
    <w:rsid w:val="2DB44B38"/>
    <w:rsid w:val="2DBD6A25"/>
    <w:rsid w:val="2DC224E8"/>
    <w:rsid w:val="2DD17128"/>
    <w:rsid w:val="2DD41AF8"/>
    <w:rsid w:val="2DD608AF"/>
    <w:rsid w:val="2DDF0A87"/>
    <w:rsid w:val="2DDF2977"/>
    <w:rsid w:val="2DDF6ACE"/>
    <w:rsid w:val="2DE414FC"/>
    <w:rsid w:val="2DEA30CA"/>
    <w:rsid w:val="2DF550B2"/>
    <w:rsid w:val="2E04276F"/>
    <w:rsid w:val="2E045F3A"/>
    <w:rsid w:val="2E0777D8"/>
    <w:rsid w:val="2E107AD8"/>
    <w:rsid w:val="2E1A1487"/>
    <w:rsid w:val="2E1A3538"/>
    <w:rsid w:val="2E24482E"/>
    <w:rsid w:val="2E250A7D"/>
    <w:rsid w:val="2E355705"/>
    <w:rsid w:val="2E382087"/>
    <w:rsid w:val="2E4B71FE"/>
    <w:rsid w:val="2E592290"/>
    <w:rsid w:val="2E6764C9"/>
    <w:rsid w:val="2E6E3CFB"/>
    <w:rsid w:val="2E7A5657"/>
    <w:rsid w:val="2E7B3D22"/>
    <w:rsid w:val="2E7F24F2"/>
    <w:rsid w:val="2E7F68A5"/>
    <w:rsid w:val="2E956D09"/>
    <w:rsid w:val="2E9574DA"/>
    <w:rsid w:val="2E9A689E"/>
    <w:rsid w:val="2E9C43C4"/>
    <w:rsid w:val="2E9D1979"/>
    <w:rsid w:val="2EA94D33"/>
    <w:rsid w:val="2EBA5AA5"/>
    <w:rsid w:val="2EC27BA3"/>
    <w:rsid w:val="2EC92CDF"/>
    <w:rsid w:val="2ECB6A58"/>
    <w:rsid w:val="2ED2049C"/>
    <w:rsid w:val="2ED51684"/>
    <w:rsid w:val="2ED971B9"/>
    <w:rsid w:val="2EE14BC4"/>
    <w:rsid w:val="2EE26143"/>
    <w:rsid w:val="2EF324D7"/>
    <w:rsid w:val="2EF51F20"/>
    <w:rsid w:val="2EF57F78"/>
    <w:rsid w:val="2EFF2BA5"/>
    <w:rsid w:val="2F0E5507"/>
    <w:rsid w:val="2F146650"/>
    <w:rsid w:val="2F2B1BEC"/>
    <w:rsid w:val="2F2D14C0"/>
    <w:rsid w:val="2F324D29"/>
    <w:rsid w:val="2F37233F"/>
    <w:rsid w:val="2F3740ED"/>
    <w:rsid w:val="2F4F7689"/>
    <w:rsid w:val="2F503401"/>
    <w:rsid w:val="2F57653D"/>
    <w:rsid w:val="2F5E78CC"/>
    <w:rsid w:val="2F6F3887"/>
    <w:rsid w:val="2F723377"/>
    <w:rsid w:val="2F7470EF"/>
    <w:rsid w:val="2F7E7F6E"/>
    <w:rsid w:val="2F891180"/>
    <w:rsid w:val="2F8A06C1"/>
    <w:rsid w:val="2F8D6403"/>
    <w:rsid w:val="2F9D64D2"/>
    <w:rsid w:val="2FB43990"/>
    <w:rsid w:val="2FBC3872"/>
    <w:rsid w:val="2FBC45F2"/>
    <w:rsid w:val="2FBE648A"/>
    <w:rsid w:val="2FC71915"/>
    <w:rsid w:val="2FE55D42"/>
    <w:rsid w:val="2FE87E8A"/>
    <w:rsid w:val="2FEB3188"/>
    <w:rsid w:val="2FF13BF2"/>
    <w:rsid w:val="2FFE314D"/>
    <w:rsid w:val="30007502"/>
    <w:rsid w:val="30136908"/>
    <w:rsid w:val="30180806"/>
    <w:rsid w:val="30202DD3"/>
    <w:rsid w:val="30281D23"/>
    <w:rsid w:val="30360848"/>
    <w:rsid w:val="303E0AB7"/>
    <w:rsid w:val="30432A96"/>
    <w:rsid w:val="304765B2"/>
    <w:rsid w:val="304C5C8C"/>
    <w:rsid w:val="304E5B92"/>
    <w:rsid w:val="30504F46"/>
    <w:rsid w:val="30507C80"/>
    <w:rsid w:val="30525122"/>
    <w:rsid w:val="305A0B2B"/>
    <w:rsid w:val="306929CC"/>
    <w:rsid w:val="30706D15"/>
    <w:rsid w:val="307153DD"/>
    <w:rsid w:val="307308B6"/>
    <w:rsid w:val="3075518C"/>
    <w:rsid w:val="307D0225"/>
    <w:rsid w:val="307F5D4C"/>
    <w:rsid w:val="308446D5"/>
    <w:rsid w:val="30A6777C"/>
    <w:rsid w:val="30AE03DF"/>
    <w:rsid w:val="30AE6631"/>
    <w:rsid w:val="30B362CA"/>
    <w:rsid w:val="30B401E5"/>
    <w:rsid w:val="30B5662C"/>
    <w:rsid w:val="30B654E5"/>
    <w:rsid w:val="30BB0D89"/>
    <w:rsid w:val="30BC1724"/>
    <w:rsid w:val="30C916BD"/>
    <w:rsid w:val="30CD1AEB"/>
    <w:rsid w:val="30D06622"/>
    <w:rsid w:val="30D45D78"/>
    <w:rsid w:val="30E107B4"/>
    <w:rsid w:val="30E87D95"/>
    <w:rsid w:val="30FF52AC"/>
    <w:rsid w:val="31132938"/>
    <w:rsid w:val="31152BCA"/>
    <w:rsid w:val="311A5A74"/>
    <w:rsid w:val="311E2755"/>
    <w:rsid w:val="31215055"/>
    <w:rsid w:val="312220E2"/>
    <w:rsid w:val="312564F4"/>
    <w:rsid w:val="312608BD"/>
    <w:rsid w:val="3126266B"/>
    <w:rsid w:val="31280191"/>
    <w:rsid w:val="3133601F"/>
    <w:rsid w:val="314A1942"/>
    <w:rsid w:val="31505F30"/>
    <w:rsid w:val="31586B7F"/>
    <w:rsid w:val="31643725"/>
    <w:rsid w:val="316903DF"/>
    <w:rsid w:val="316E2211"/>
    <w:rsid w:val="317B29B7"/>
    <w:rsid w:val="318555E4"/>
    <w:rsid w:val="318615CB"/>
    <w:rsid w:val="31880423"/>
    <w:rsid w:val="318850D4"/>
    <w:rsid w:val="318B0720"/>
    <w:rsid w:val="318D6246"/>
    <w:rsid w:val="31923517"/>
    <w:rsid w:val="319C3D1B"/>
    <w:rsid w:val="319D4E24"/>
    <w:rsid w:val="31A52FED"/>
    <w:rsid w:val="31B40132"/>
    <w:rsid w:val="31B93261"/>
    <w:rsid w:val="31BB1005"/>
    <w:rsid w:val="31C5592A"/>
    <w:rsid w:val="31C6519A"/>
    <w:rsid w:val="31D04385"/>
    <w:rsid w:val="31D67BED"/>
    <w:rsid w:val="31DB54BF"/>
    <w:rsid w:val="31DE5646"/>
    <w:rsid w:val="31E00A6C"/>
    <w:rsid w:val="31F42769"/>
    <w:rsid w:val="320A7897"/>
    <w:rsid w:val="320C7AB3"/>
    <w:rsid w:val="32163E9C"/>
    <w:rsid w:val="32185B81"/>
    <w:rsid w:val="323D738C"/>
    <w:rsid w:val="323E39E4"/>
    <w:rsid w:val="324C1F04"/>
    <w:rsid w:val="32582CF8"/>
    <w:rsid w:val="325A5D7D"/>
    <w:rsid w:val="325D030E"/>
    <w:rsid w:val="325D4D96"/>
    <w:rsid w:val="325F4087"/>
    <w:rsid w:val="32676A97"/>
    <w:rsid w:val="3268280F"/>
    <w:rsid w:val="32687F08"/>
    <w:rsid w:val="32696CB3"/>
    <w:rsid w:val="32760EDE"/>
    <w:rsid w:val="327C2C35"/>
    <w:rsid w:val="32847649"/>
    <w:rsid w:val="328B209B"/>
    <w:rsid w:val="32A46267"/>
    <w:rsid w:val="32AB107A"/>
    <w:rsid w:val="32B118D1"/>
    <w:rsid w:val="32BC5448"/>
    <w:rsid w:val="32C049E3"/>
    <w:rsid w:val="32C24615"/>
    <w:rsid w:val="32D17C89"/>
    <w:rsid w:val="32DA195F"/>
    <w:rsid w:val="32E43FC9"/>
    <w:rsid w:val="32E77BD8"/>
    <w:rsid w:val="32F10A57"/>
    <w:rsid w:val="32F411B0"/>
    <w:rsid w:val="331309CD"/>
    <w:rsid w:val="331704BD"/>
    <w:rsid w:val="3321133C"/>
    <w:rsid w:val="33272F0F"/>
    <w:rsid w:val="33274478"/>
    <w:rsid w:val="33356B95"/>
    <w:rsid w:val="3341553A"/>
    <w:rsid w:val="33481151"/>
    <w:rsid w:val="335334BF"/>
    <w:rsid w:val="335C05C6"/>
    <w:rsid w:val="335C42DD"/>
    <w:rsid w:val="337B4EF0"/>
    <w:rsid w:val="337C47C4"/>
    <w:rsid w:val="33813B89"/>
    <w:rsid w:val="3383112B"/>
    <w:rsid w:val="338D00AD"/>
    <w:rsid w:val="338D3BB2"/>
    <w:rsid w:val="338D7815"/>
    <w:rsid w:val="33957634"/>
    <w:rsid w:val="339935C8"/>
    <w:rsid w:val="33A31D1F"/>
    <w:rsid w:val="33A35879"/>
    <w:rsid w:val="33A54FFD"/>
    <w:rsid w:val="33AF6CB8"/>
    <w:rsid w:val="33B52681"/>
    <w:rsid w:val="33B72E33"/>
    <w:rsid w:val="33B815D8"/>
    <w:rsid w:val="33BB353F"/>
    <w:rsid w:val="33CA3782"/>
    <w:rsid w:val="33DF1AA7"/>
    <w:rsid w:val="33EC7B9C"/>
    <w:rsid w:val="33EF143A"/>
    <w:rsid w:val="33EF5D17"/>
    <w:rsid w:val="33F408C4"/>
    <w:rsid w:val="340053F5"/>
    <w:rsid w:val="340533E2"/>
    <w:rsid w:val="340A6274"/>
    <w:rsid w:val="340D033E"/>
    <w:rsid w:val="340E15CA"/>
    <w:rsid w:val="3425120D"/>
    <w:rsid w:val="3425321B"/>
    <w:rsid w:val="34253CAD"/>
    <w:rsid w:val="342F5CDB"/>
    <w:rsid w:val="343432F1"/>
    <w:rsid w:val="34351D28"/>
    <w:rsid w:val="34431811"/>
    <w:rsid w:val="34496D9C"/>
    <w:rsid w:val="34497D1E"/>
    <w:rsid w:val="34512B06"/>
    <w:rsid w:val="34525525"/>
    <w:rsid w:val="345349E4"/>
    <w:rsid w:val="34580D8D"/>
    <w:rsid w:val="345F5722"/>
    <w:rsid w:val="346855AF"/>
    <w:rsid w:val="346A6D13"/>
    <w:rsid w:val="346B1933"/>
    <w:rsid w:val="34813909"/>
    <w:rsid w:val="34862EBD"/>
    <w:rsid w:val="348F0400"/>
    <w:rsid w:val="3494623B"/>
    <w:rsid w:val="349470A2"/>
    <w:rsid w:val="34A52E51"/>
    <w:rsid w:val="34A57D4B"/>
    <w:rsid w:val="34A6476E"/>
    <w:rsid w:val="34AF2977"/>
    <w:rsid w:val="34C05919"/>
    <w:rsid w:val="34C06AA2"/>
    <w:rsid w:val="34DB1D54"/>
    <w:rsid w:val="34E00D83"/>
    <w:rsid w:val="34EC597A"/>
    <w:rsid w:val="34FC3E0F"/>
    <w:rsid w:val="34FD1935"/>
    <w:rsid w:val="34FD749F"/>
    <w:rsid w:val="350662D2"/>
    <w:rsid w:val="35074561"/>
    <w:rsid w:val="350A4079"/>
    <w:rsid w:val="350B22A4"/>
    <w:rsid w:val="351C000D"/>
    <w:rsid w:val="351C2D64"/>
    <w:rsid w:val="3520406B"/>
    <w:rsid w:val="352B171E"/>
    <w:rsid w:val="352E1AEE"/>
    <w:rsid w:val="353335A8"/>
    <w:rsid w:val="35380BBF"/>
    <w:rsid w:val="353D61D5"/>
    <w:rsid w:val="354046A2"/>
    <w:rsid w:val="35411821"/>
    <w:rsid w:val="354258EB"/>
    <w:rsid w:val="354C0922"/>
    <w:rsid w:val="35531555"/>
    <w:rsid w:val="355377A7"/>
    <w:rsid w:val="355A0B35"/>
    <w:rsid w:val="35696FCA"/>
    <w:rsid w:val="358A706E"/>
    <w:rsid w:val="359305B1"/>
    <w:rsid w:val="359857D6"/>
    <w:rsid w:val="35A901EB"/>
    <w:rsid w:val="35B244CD"/>
    <w:rsid w:val="35B86362"/>
    <w:rsid w:val="35BD1BE9"/>
    <w:rsid w:val="35C12962"/>
    <w:rsid w:val="35C70FF2"/>
    <w:rsid w:val="35E52AF5"/>
    <w:rsid w:val="35E6686D"/>
    <w:rsid w:val="35EE6609"/>
    <w:rsid w:val="35FA328C"/>
    <w:rsid w:val="35FD0039"/>
    <w:rsid w:val="36034D29"/>
    <w:rsid w:val="361C403D"/>
    <w:rsid w:val="36252EF1"/>
    <w:rsid w:val="36257395"/>
    <w:rsid w:val="362B5026"/>
    <w:rsid w:val="363718D7"/>
    <w:rsid w:val="363B6422"/>
    <w:rsid w:val="363C023B"/>
    <w:rsid w:val="364D2448"/>
    <w:rsid w:val="36500A52"/>
    <w:rsid w:val="36530ED4"/>
    <w:rsid w:val="365B6767"/>
    <w:rsid w:val="366028A2"/>
    <w:rsid w:val="36673BB3"/>
    <w:rsid w:val="366F4C2B"/>
    <w:rsid w:val="36767BF1"/>
    <w:rsid w:val="367C093A"/>
    <w:rsid w:val="367F6352"/>
    <w:rsid w:val="3680169F"/>
    <w:rsid w:val="369339C8"/>
    <w:rsid w:val="369640B2"/>
    <w:rsid w:val="36973645"/>
    <w:rsid w:val="3699482A"/>
    <w:rsid w:val="36996DFB"/>
    <w:rsid w:val="36A15E2F"/>
    <w:rsid w:val="36A209E6"/>
    <w:rsid w:val="36A6768F"/>
    <w:rsid w:val="36A75FFC"/>
    <w:rsid w:val="36AC53C0"/>
    <w:rsid w:val="36AC716F"/>
    <w:rsid w:val="36AF3103"/>
    <w:rsid w:val="36B6005D"/>
    <w:rsid w:val="36C01346"/>
    <w:rsid w:val="36CF7301"/>
    <w:rsid w:val="36D3294D"/>
    <w:rsid w:val="36D36DF1"/>
    <w:rsid w:val="36DF2C79"/>
    <w:rsid w:val="36E20DE2"/>
    <w:rsid w:val="36EB25B2"/>
    <w:rsid w:val="36F079A3"/>
    <w:rsid w:val="36FF0751"/>
    <w:rsid w:val="37144D14"/>
    <w:rsid w:val="37160A8C"/>
    <w:rsid w:val="37164F30"/>
    <w:rsid w:val="371A4D83"/>
    <w:rsid w:val="373812CE"/>
    <w:rsid w:val="375515B4"/>
    <w:rsid w:val="37557806"/>
    <w:rsid w:val="375B2943"/>
    <w:rsid w:val="3762626B"/>
    <w:rsid w:val="37645C9B"/>
    <w:rsid w:val="376F048F"/>
    <w:rsid w:val="37735EDE"/>
    <w:rsid w:val="377A726D"/>
    <w:rsid w:val="377E4FAF"/>
    <w:rsid w:val="377F0D27"/>
    <w:rsid w:val="37895702"/>
    <w:rsid w:val="37904CE2"/>
    <w:rsid w:val="37991DE9"/>
    <w:rsid w:val="37997961"/>
    <w:rsid w:val="379F7D3B"/>
    <w:rsid w:val="37B00EE0"/>
    <w:rsid w:val="37B409D1"/>
    <w:rsid w:val="37BD5C4C"/>
    <w:rsid w:val="37BF3CB2"/>
    <w:rsid w:val="37C27C94"/>
    <w:rsid w:val="37C4673A"/>
    <w:rsid w:val="37D13058"/>
    <w:rsid w:val="37D92540"/>
    <w:rsid w:val="37DB4B59"/>
    <w:rsid w:val="37E73268"/>
    <w:rsid w:val="37EA7EAA"/>
    <w:rsid w:val="37F46F5A"/>
    <w:rsid w:val="3801173C"/>
    <w:rsid w:val="380354B4"/>
    <w:rsid w:val="38082ACA"/>
    <w:rsid w:val="38084878"/>
    <w:rsid w:val="381274A5"/>
    <w:rsid w:val="382219A2"/>
    <w:rsid w:val="382A2A41"/>
    <w:rsid w:val="38346E8D"/>
    <w:rsid w:val="383A69FC"/>
    <w:rsid w:val="383C2774"/>
    <w:rsid w:val="384855BD"/>
    <w:rsid w:val="384A30E3"/>
    <w:rsid w:val="384F4255"/>
    <w:rsid w:val="385E6B8E"/>
    <w:rsid w:val="3861528B"/>
    <w:rsid w:val="3862042D"/>
    <w:rsid w:val="38763ED8"/>
    <w:rsid w:val="387B329C"/>
    <w:rsid w:val="388A34DF"/>
    <w:rsid w:val="389425B0"/>
    <w:rsid w:val="389A6DAB"/>
    <w:rsid w:val="38A06D27"/>
    <w:rsid w:val="38A24CCD"/>
    <w:rsid w:val="38B14F10"/>
    <w:rsid w:val="38CF183A"/>
    <w:rsid w:val="38D67B89"/>
    <w:rsid w:val="38DE1A7D"/>
    <w:rsid w:val="38EA0422"/>
    <w:rsid w:val="38F11AFC"/>
    <w:rsid w:val="38F848ED"/>
    <w:rsid w:val="38F968FC"/>
    <w:rsid w:val="390E4110"/>
    <w:rsid w:val="391B270E"/>
    <w:rsid w:val="39225E0E"/>
    <w:rsid w:val="39253208"/>
    <w:rsid w:val="39273424"/>
    <w:rsid w:val="3945176F"/>
    <w:rsid w:val="39456D71"/>
    <w:rsid w:val="394826C9"/>
    <w:rsid w:val="39547840"/>
    <w:rsid w:val="3962445C"/>
    <w:rsid w:val="396E2E01"/>
    <w:rsid w:val="3972239A"/>
    <w:rsid w:val="39730417"/>
    <w:rsid w:val="397A1F81"/>
    <w:rsid w:val="39812B34"/>
    <w:rsid w:val="3988038C"/>
    <w:rsid w:val="39972358"/>
    <w:rsid w:val="39A71E6F"/>
    <w:rsid w:val="39A84565"/>
    <w:rsid w:val="39BF34CA"/>
    <w:rsid w:val="39C30954"/>
    <w:rsid w:val="39D31D9B"/>
    <w:rsid w:val="39D41AA5"/>
    <w:rsid w:val="39D54FB1"/>
    <w:rsid w:val="39E3559D"/>
    <w:rsid w:val="39EB4DC0"/>
    <w:rsid w:val="39F5707E"/>
    <w:rsid w:val="39F73224"/>
    <w:rsid w:val="39F942C0"/>
    <w:rsid w:val="3A064DE8"/>
    <w:rsid w:val="3A0F6392"/>
    <w:rsid w:val="3A127C30"/>
    <w:rsid w:val="3A145E4E"/>
    <w:rsid w:val="3A176B13"/>
    <w:rsid w:val="3A2A2A96"/>
    <w:rsid w:val="3A2D0C17"/>
    <w:rsid w:val="3A39340F"/>
    <w:rsid w:val="3A3C3348"/>
    <w:rsid w:val="3A3F654C"/>
    <w:rsid w:val="3A537A35"/>
    <w:rsid w:val="3A5C70FE"/>
    <w:rsid w:val="3A6D67EF"/>
    <w:rsid w:val="3A742699"/>
    <w:rsid w:val="3A797CAF"/>
    <w:rsid w:val="3A80103E"/>
    <w:rsid w:val="3A9464B4"/>
    <w:rsid w:val="3AA81B65"/>
    <w:rsid w:val="3ABC194A"/>
    <w:rsid w:val="3AC04D69"/>
    <w:rsid w:val="3AC058DE"/>
    <w:rsid w:val="3ACD1DA9"/>
    <w:rsid w:val="3ACD3B57"/>
    <w:rsid w:val="3ACF167E"/>
    <w:rsid w:val="3B0532F1"/>
    <w:rsid w:val="3B095BAB"/>
    <w:rsid w:val="3B0E7598"/>
    <w:rsid w:val="3B0F5F1E"/>
    <w:rsid w:val="3B107B9E"/>
    <w:rsid w:val="3B216BCA"/>
    <w:rsid w:val="3B27255D"/>
    <w:rsid w:val="3B283915"/>
    <w:rsid w:val="3B286837"/>
    <w:rsid w:val="3B3058D4"/>
    <w:rsid w:val="3B36794F"/>
    <w:rsid w:val="3B4B0625"/>
    <w:rsid w:val="3B5E76A2"/>
    <w:rsid w:val="3B5F117C"/>
    <w:rsid w:val="3B5F66A3"/>
    <w:rsid w:val="3B64626A"/>
    <w:rsid w:val="3B6C6CE5"/>
    <w:rsid w:val="3B6E533A"/>
    <w:rsid w:val="3B7753B5"/>
    <w:rsid w:val="3B7E6473"/>
    <w:rsid w:val="3B8354D4"/>
    <w:rsid w:val="3B8569E2"/>
    <w:rsid w:val="3B8F34C7"/>
    <w:rsid w:val="3B931FF6"/>
    <w:rsid w:val="3B9D79CE"/>
    <w:rsid w:val="3BAE604A"/>
    <w:rsid w:val="3BB51EAD"/>
    <w:rsid w:val="3BB777C2"/>
    <w:rsid w:val="3BBC4434"/>
    <w:rsid w:val="3BBC6D51"/>
    <w:rsid w:val="3BBD657E"/>
    <w:rsid w:val="3BC50684"/>
    <w:rsid w:val="3BCC0F7C"/>
    <w:rsid w:val="3BE47317"/>
    <w:rsid w:val="3BEE1FD7"/>
    <w:rsid w:val="3BF910A8"/>
    <w:rsid w:val="3C044687"/>
    <w:rsid w:val="3C0572CE"/>
    <w:rsid w:val="3C27466A"/>
    <w:rsid w:val="3C343766"/>
    <w:rsid w:val="3C355E58"/>
    <w:rsid w:val="3C3976F6"/>
    <w:rsid w:val="3C531744"/>
    <w:rsid w:val="3C683C2C"/>
    <w:rsid w:val="3C6E4EC6"/>
    <w:rsid w:val="3C6E7A28"/>
    <w:rsid w:val="3C706E90"/>
    <w:rsid w:val="3C7921E9"/>
    <w:rsid w:val="3C855259"/>
    <w:rsid w:val="3C8666B4"/>
    <w:rsid w:val="3C996DB6"/>
    <w:rsid w:val="3C9B215F"/>
    <w:rsid w:val="3C9E57AB"/>
    <w:rsid w:val="3CB14874"/>
    <w:rsid w:val="3CB94393"/>
    <w:rsid w:val="3CBB3B2E"/>
    <w:rsid w:val="3CBC3F37"/>
    <w:rsid w:val="3CBE19AA"/>
    <w:rsid w:val="3CC336E8"/>
    <w:rsid w:val="3CCD42E3"/>
    <w:rsid w:val="3CD613E9"/>
    <w:rsid w:val="3CD83D46"/>
    <w:rsid w:val="3D0F16A4"/>
    <w:rsid w:val="3D0F48FB"/>
    <w:rsid w:val="3D14690F"/>
    <w:rsid w:val="3D146B29"/>
    <w:rsid w:val="3D1D2B74"/>
    <w:rsid w:val="3D2C3719"/>
    <w:rsid w:val="3D2F28A7"/>
    <w:rsid w:val="3D3103CE"/>
    <w:rsid w:val="3D346110"/>
    <w:rsid w:val="3D34764B"/>
    <w:rsid w:val="3D3954D4"/>
    <w:rsid w:val="3D3A734A"/>
    <w:rsid w:val="3D430613"/>
    <w:rsid w:val="3D4374DA"/>
    <w:rsid w:val="3D45293D"/>
    <w:rsid w:val="3D4F6AA6"/>
    <w:rsid w:val="3D5D11C3"/>
    <w:rsid w:val="3D5F318D"/>
    <w:rsid w:val="3D6411B7"/>
    <w:rsid w:val="3D7604D6"/>
    <w:rsid w:val="3D820C29"/>
    <w:rsid w:val="3D8B1E8D"/>
    <w:rsid w:val="3D8E75CE"/>
    <w:rsid w:val="3D9170BE"/>
    <w:rsid w:val="3D94095C"/>
    <w:rsid w:val="3DA768E2"/>
    <w:rsid w:val="3DB039E8"/>
    <w:rsid w:val="3DB47E93"/>
    <w:rsid w:val="3DC115C9"/>
    <w:rsid w:val="3DCB6A74"/>
    <w:rsid w:val="3DCC459A"/>
    <w:rsid w:val="3DE21247"/>
    <w:rsid w:val="3DE417D3"/>
    <w:rsid w:val="3DE81BA1"/>
    <w:rsid w:val="3DF27F43"/>
    <w:rsid w:val="3DF5764D"/>
    <w:rsid w:val="3DFA11CB"/>
    <w:rsid w:val="3E0E4BB3"/>
    <w:rsid w:val="3E1026D9"/>
    <w:rsid w:val="3E111FAD"/>
    <w:rsid w:val="3E1F46CA"/>
    <w:rsid w:val="3E210442"/>
    <w:rsid w:val="3E241CE0"/>
    <w:rsid w:val="3E246184"/>
    <w:rsid w:val="3E265A58"/>
    <w:rsid w:val="3E2726C7"/>
    <w:rsid w:val="3E2B0588"/>
    <w:rsid w:val="3E340FE3"/>
    <w:rsid w:val="3E371A14"/>
    <w:rsid w:val="3E3C1E2A"/>
    <w:rsid w:val="3E3F6584"/>
    <w:rsid w:val="3E42660A"/>
    <w:rsid w:val="3E446852"/>
    <w:rsid w:val="3E483C21"/>
    <w:rsid w:val="3E530817"/>
    <w:rsid w:val="3E5552BA"/>
    <w:rsid w:val="3E5C76CC"/>
    <w:rsid w:val="3E614CE2"/>
    <w:rsid w:val="3E6D3687"/>
    <w:rsid w:val="3E6F38A3"/>
    <w:rsid w:val="3E841B74"/>
    <w:rsid w:val="3E9C7122"/>
    <w:rsid w:val="3E9E25C2"/>
    <w:rsid w:val="3E9E4E87"/>
    <w:rsid w:val="3EAA058E"/>
    <w:rsid w:val="3EAA2D3B"/>
    <w:rsid w:val="3EB11BB8"/>
    <w:rsid w:val="3EC82FB3"/>
    <w:rsid w:val="3EC83D4B"/>
    <w:rsid w:val="3ED01E68"/>
    <w:rsid w:val="3ED71449"/>
    <w:rsid w:val="3EDB2CE7"/>
    <w:rsid w:val="3EDC6A5F"/>
    <w:rsid w:val="3EDE4585"/>
    <w:rsid w:val="3EF45B57"/>
    <w:rsid w:val="3F0044FB"/>
    <w:rsid w:val="3F081602"/>
    <w:rsid w:val="3F0D4E6A"/>
    <w:rsid w:val="3F0F0BE2"/>
    <w:rsid w:val="3F103AF3"/>
    <w:rsid w:val="3F1B27D8"/>
    <w:rsid w:val="3F235B23"/>
    <w:rsid w:val="3F2D2E17"/>
    <w:rsid w:val="3F372F35"/>
    <w:rsid w:val="3F375A43"/>
    <w:rsid w:val="3F485DF7"/>
    <w:rsid w:val="3F542A99"/>
    <w:rsid w:val="3F56359E"/>
    <w:rsid w:val="3F682BC0"/>
    <w:rsid w:val="3F6E5909"/>
    <w:rsid w:val="3F711E6B"/>
    <w:rsid w:val="3F720C59"/>
    <w:rsid w:val="3F730B09"/>
    <w:rsid w:val="3F751CD1"/>
    <w:rsid w:val="3F76656C"/>
    <w:rsid w:val="3F7D11A2"/>
    <w:rsid w:val="3F904142"/>
    <w:rsid w:val="3F9C66DF"/>
    <w:rsid w:val="3FA05CDE"/>
    <w:rsid w:val="3FA70E1B"/>
    <w:rsid w:val="3FBA6DA0"/>
    <w:rsid w:val="3FBD424E"/>
    <w:rsid w:val="3FC45ED2"/>
    <w:rsid w:val="3FD50795"/>
    <w:rsid w:val="3FD6525C"/>
    <w:rsid w:val="3FD82A71"/>
    <w:rsid w:val="3FDB2873"/>
    <w:rsid w:val="3FDF6807"/>
    <w:rsid w:val="3FE536F1"/>
    <w:rsid w:val="3FF20A09"/>
    <w:rsid w:val="3FF56524"/>
    <w:rsid w:val="3FF73B50"/>
    <w:rsid w:val="3FFA7ABB"/>
    <w:rsid w:val="3FFD188D"/>
    <w:rsid w:val="3FFD3B90"/>
    <w:rsid w:val="40155096"/>
    <w:rsid w:val="40155D85"/>
    <w:rsid w:val="401C5365"/>
    <w:rsid w:val="401E383A"/>
    <w:rsid w:val="4028272F"/>
    <w:rsid w:val="402B55A8"/>
    <w:rsid w:val="40320A70"/>
    <w:rsid w:val="40363199"/>
    <w:rsid w:val="403976F5"/>
    <w:rsid w:val="4041301D"/>
    <w:rsid w:val="404448BC"/>
    <w:rsid w:val="4047615A"/>
    <w:rsid w:val="4053646A"/>
    <w:rsid w:val="40550877"/>
    <w:rsid w:val="40550B11"/>
    <w:rsid w:val="405745EF"/>
    <w:rsid w:val="405D597D"/>
    <w:rsid w:val="4061546E"/>
    <w:rsid w:val="407E15CC"/>
    <w:rsid w:val="408A49C4"/>
    <w:rsid w:val="409969B6"/>
    <w:rsid w:val="40A62E81"/>
    <w:rsid w:val="40A92971"/>
    <w:rsid w:val="40B57568"/>
    <w:rsid w:val="40B85ED8"/>
    <w:rsid w:val="40C4271E"/>
    <w:rsid w:val="40C854ED"/>
    <w:rsid w:val="40C94DC1"/>
    <w:rsid w:val="40CB6D8B"/>
    <w:rsid w:val="40D07EFD"/>
    <w:rsid w:val="40DC2D46"/>
    <w:rsid w:val="40E60052"/>
    <w:rsid w:val="40E8793D"/>
    <w:rsid w:val="410344D6"/>
    <w:rsid w:val="4108086F"/>
    <w:rsid w:val="410D3296"/>
    <w:rsid w:val="410F3430"/>
    <w:rsid w:val="41107BC1"/>
    <w:rsid w:val="41140732"/>
    <w:rsid w:val="41167637"/>
    <w:rsid w:val="411C126A"/>
    <w:rsid w:val="411E335F"/>
    <w:rsid w:val="412D4F64"/>
    <w:rsid w:val="4134048C"/>
    <w:rsid w:val="413D24F3"/>
    <w:rsid w:val="41484E09"/>
    <w:rsid w:val="414A56C0"/>
    <w:rsid w:val="41674009"/>
    <w:rsid w:val="41676AB4"/>
    <w:rsid w:val="416F7716"/>
    <w:rsid w:val="41735459"/>
    <w:rsid w:val="41767A44"/>
    <w:rsid w:val="417E667C"/>
    <w:rsid w:val="4185518C"/>
    <w:rsid w:val="41877EB7"/>
    <w:rsid w:val="418862D1"/>
    <w:rsid w:val="41902DB3"/>
    <w:rsid w:val="41913B31"/>
    <w:rsid w:val="419D3DBE"/>
    <w:rsid w:val="41AC44C7"/>
    <w:rsid w:val="41C23CEA"/>
    <w:rsid w:val="41C44FD7"/>
    <w:rsid w:val="41CE08E1"/>
    <w:rsid w:val="41CE332F"/>
    <w:rsid w:val="41D1217F"/>
    <w:rsid w:val="41D6610E"/>
    <w:rsid w:val="41D70B7E"/>
    <w:rsid w:val="41E225DE"/>
    <w:rsid w:val="41EC0D67"/>
    <w:rsid w:val="41ED70A1"/>
    <w:rsid w:val="4202058A"/>
    <w:rsid w:val="42176A6B"/>
    <w:rsid w:val="421A3B26"/>
    <w:rsid w:val="421D3616"/>
    <w:rsid w:val="422A17CF"/>
    <w:rsid w:val="422F6C35"/>
    <w:rsid w:val="42310E70"/>
    <w:rsid w:val="423C60F0"/>
    <w:rsid w:val="423F533B"/>
    <w:rsid w:val="42415ACC"/>
    <w:rsid w:val="42417C51"/>
    <w:rsid w:val="424566C9"/>
    <w:rsid w:val="4249440B"/>
    <w:rsid w:val="424D38D4"/>
    <w:rsid w:val="42500858"/>
    <w:rsid w:val="42521512"/>
    <w:rsid w:val="42552DC1"/>
    <w:rsid w:val="425B7C9B"/>
    <w:rsid w:val="425D1C65"/>
    <w:rsid w:val="425D30F6"/>
    <w:rsid w:val="425E443E"/>
    <w:rsid w:val="426B4382"/>
    <w:rsid w:val="427D651B"/>
    <w:rsid w:val="427F607F"/>
    <w:rsid w:val="428914FE"/>
    <w:rsid w:val="429749F6"/>
    <w:rsid w:val="429A4C67"/>
    <w:rsid w:val="42A33B1C"/>
    <w:rsid w:val="42A64609"/>
    <w:rsid w:val="42A97719"/>
    <w:rsid w:val="42B71375"/>
    <w:rsid w:val="42B775C7"/>
    <w:rsid w:val="42BF647C"/>
    <w:rsid w:val="42C121F4"/>
    <w:rsid w:val="42C43BCE"/>
    <w:rsid w:val="42CE4911"/>
    <w:rsid w:val="42CF6863"/>
    <w:rsid w:val="42DF08CC"/>
    <w:rsid w:val="42E13E74"/>
    <w:rsid w:val="42E163F2"/>
    <w:rsid w:val="42E303BC"/>
    <w:rsid w:val="42F04887"/>
    <w:rsid w:val="42F26851"/>
    <w:rsid w:val="42F73E67"/>
    <w:rsid w:val="42FA6252"/>
    <w:rsid w:val="4302688B"/>
    <w:rsid w:val="43026FC7"/>
    <w:rsid w:val="430976F7"/>
    <w:rsid w:val="4315521A"/>
    <w:rsid w:val="43162980"/>
    <w:rsid w:val="43196087"/>
    <w:rsid w:val="431D4E28"/>
    <w:rsid w:val="43236A0A"/>
    <w:rsid w:val="432664FB"/>
    <w:rsid w:val="4335673E"/>
    <w:rsid w:val="43374264"/>
    <w:rsid w:val="433911DA"/>
    <w:rsid w:val="433A4E46"/>
    <w:rsid w:val="43413334"/>
    <w:rsid w:val="434150E2"/>
    <w:rsid w:val="43454BD3"/>
    <w:rsid w:val="434F77FF"/>
    <w:rsid w:val="435B43F6"/>
    <w:rsid w:val="435C3CCA"/>
    <w:rsid w:val="435F56FF"/>
    <w:rsid w:val="43621354"/>
    <w:rsid w:val="43641F1E"/>
    <w:rsid w:val="43664B49"/>
    <w:rsid w:val="436D243D"/>
    <w:rsid w:val="43707776"/>
    <w:rsid w:val="437E0808"/>
    <w:rsid w:val="438813DA"/>
    <w:rsid w:val="438C4088"/>
    <w:rsid w:val="438D465B"/>
    <w:rsid w:val="43B7373D"/>
    <w:rsid w:val="43B94F3E"/>
    <w:rsid w:val="43C81360"/>
    <w:rsid w:val="43D60DC1"/>
    <w:rsid w:val="43D9531B"/>
    <w:rsid w:val="43E279C6"/>
    <w:rsid w:val="43E31EBC"/>
    <w:rsid w:val="43E71D22"/>
    <w:rsid w:val="43E75C8A"/>
    <w:rsid w:val="43EF0FE2"/>
    <w:rsid w:val="43F839F3"/>
    <w:rsid w:val="43FD65F5"/>
    <w:rsid w:val="4404683C"/>
    <w:rsid w:val="440F0F41"/>
    <w:rsid w:val="440F6F8F"/>
    <w:rsid w:val="441064DD"/>
    <w:rsid w:val="44153672"/>
    <w:rsid w:val="441822CB"/>
    <w:rsid w:val="44250560"/>
    <w:rsid w:val="44366912"/>
    <w:rsid w:val="443A4914"/>
    <w:rsid w:val="443F5AC6"/>
    <w:rsid w:val="44496945"/>
    <w:rsid w:val="444F2E96"/>
    <w:rsid w:val="445A3A94"/>
    <w:rsid w:val="44652860"/>
    <w:rsid w:val="446B446C"/>
    <w:rsid w:val="44836C5F"/>
    <w:rsid w:val="449545A6"/>
    <w:rsid w:val="44AE0556"/>
    <w:rsid w:val="44BB410A"/>
    <w:rsid w:val="44C1472D"/>
    <w:rsid w:val="44CC6C2E"/>
    <w:rsid w:val="44CD20C7"/>
    <w:rsid w:val="44DA759D"/>
    <w:rsid w:val="44ED5522"/>
    <w:rsid w:val="44F07393"/>
    <w:rsid w:val="44F674C7"/>
    <w:rsid w:val="450114C5"/>
    <w:rsid w:val="45084385"/>
    <w:rsid w:val="450F36EA"/>
    <w:rsid w:val="451A13C2"/>
    <w:rsid w:val="451E76C8"/>
    <w:rsid w:val="452F5B3A"/>
    <w:rsid w:val="453F1647"/>
    <w:rsid w:val="45416E53"/>
    <w:rsid w:val="45467BF7"/>
    <w:rsid w:val="454809AA"/>
    <w:rsid w:val="45484B2F"/>
    <w:rsid w:val="45524604"/>
    <w:rsid w:val="45583051"/>
    <w:rsid w:val="455A735A"/>
    <w:rsid w:val="45637592"/>
    <w:rsid w:val="456417E4"/>
    <w:rsid w:val="456A18F5"/>
    <w:rsid w:val="45737D38"/>
    <w:rsid w:val="45765517"/>
    <w:rsid w:val="457F787C"/>
    <w:rsid w:val="458920E2"/>
    <w:rsid w:val="458F3751"/>
    <w:rsid w:val="45930AA3"/>
    <w:rsid w:val="4597723C"/>
    <w:rsid w:val="45A002F6"/>
    <w:rsid w:val="45A57BAB"/>
    <w:rsid w:val="45AF27D7"/>
    <w:rsid w:val="45B71FEF"/>
    <w:rsid w:val="45C269AF"/>
    <w:rsid w:val="45CA7611"/>
    <w:rsid w:val="45D264C6"/>
    <w:rsid w:val="45D60A99"/>
    <w:rsid w:val="45DE130F"/>
    <w:rsid w:val="45E36925"/>
    <w:rsid w:val="45EA0EAB"/>
    <w:rsid w:val="45EB5CAE"/>
    <w:rsid w:val="45EC3D2C"/>
    <w:rsid w:val="45F56EC3"/>
    <w:rsid w:val="45FB5A1D"/>
    <w:rsid w:val="460074D7"/>
    <w:rsid w:val="4607616F"/>
    <w:rsid w:val="4613720A"/>
    <w:rsid w:val="461568D3"/>
    <w:rsid w:val="462C09A4"/>
    <w:rsid w:val="462C5BD6"/>
    <w:rsid w:val="46410AC4"/>
    <w:rsid w:val="46535859"/>
    <w:rsid w:val="4657193E"/>
    <w:rsid w:val="465869CB"/>
    <w:rsid w:val="46613350"/>
    <w:rsid w:val="4665733A"/>
    <w:rsid w:val="46744BAF"/>
    <w:rsid w:val="46942001"/>
    <w:rsid w:val="469B2D5C"/>
    <w:rsid w:val="46AF680E"/>
    <w:rsid w:val="46BA1E87"/>
    <w:rsid w:val="46C01222"/>
    <w:rsid w:val="46C2478C"/>
    <w:rsid w:val="46C57C37"/>
    <w:rsid w:val="46C73B51"/>
    <w:rsid w:val="46CB3641"/>
    <w:rsid w:val="46DB13AA"/>
    <w:rsid w:val="46FD7572"/>
    <w:rsid w:val="47005468"/>
    <w:rsid w:val="470D5A07"/>
    <w:rsid w:val="47270E54"/>
    <w:rsid w:val="472D42FC"/>
    <w:rsid w:val="472F6522"/>
    <w:rsid w:val="474358CD"/>
    <w:rsid w:val="475353E4"/>
    <w:rsid w:val="47570E5E"/>
    <w:rsid w:val="4766645C"/>
    <w:rsid w:val="4769234B"/>
    <w:rsid w:val="476B0980"/>
    <w:rsid w:val="47717EB5"/>
    <w:rsid w:val="477261B2"/>
    <w:rsid w:val="477535AD"/>
    <w:rsid w:val="47777520"/>
    <w:rsid w:val="478C0312"/>
    <w:rsid w:val="478F466E"/>
    <w:rsid w:val="479779C7"/>
    <w:rsid w:val="4799729B"/>
    <w:rsid w:val="47AA76FA"/>
    <w:rsid w:val="47AC21FE"/>
    <w:rsid w:val="47AD7D2A"/>
    <w:rsid w:val="47BD61AD"/>
    <w:rsid w:val="47C54534"/>
    <w:rsid w:val="47DE55F6"/>
    <w:rsid w:val="47E151EE"/>
    <w:rsid w:val="47EF1560"/>
    <w:rsid w:val="47FB1D04"/>
    <w:rsid w:val="480768FB"/>
    <w:rsid w:val="48084421"/>
    <w:rsid w:val="480A0199"/>
    <w:rsid w:val="480F1C53"/>
    <w:rsid w:val="481728B6"/>
    <w:rsid w:val="482D32C4"/>
    <w:rsid w:val="483E5F26"/>
    <w:rsid w:val="483E7E42"/>
    <w:rsid w:val="484E1F5E"/>
    <w:rsid w:val="485853A8"/>
    <w:rsid w:val="48587156"/>
    <w:rsid w:val="48597611"/>
    <w:rsid w:val="48611721"/>
    <w:rsid w:val="48627A7B"/>
    <w:rsid w:val="486C0E54"/>
    <w:rsid w:val="486F13F8"/>
    <w:rsid w:val="487241CC"/>
    <w:rsid w:val="487D096B"/>
    <w:rsid w:val="48825F81"/>
    <w:rsid w:val="489B7854"/>
    <w:rsid w:val="48B50726"/>
    <w:rsid w:val="48B5567E"/>
    <w:rsid w:val="48BB7B71"/>
    <w:rsid w:val="48C006A6"/>
    <w:rsid w:val="48C04CFB"/>
    <w:rsid w:val="48C67642"/>
    <w:rsid w:val="48C93BB0"/>
    <w:rsid w:val="48CB5B7A"/>
    <w:rsid w:val="48D22491"/>
    <w:rsid w:val="48D34A2F"/>
    <w:rsid w:val="48DF33D4"/>
    <w:rsid w:val="48E00EFA"/>
    <w:rsid w:val="48E24BBA"/>
    <w:rsid w:val="48E44E8E"/>
    <w:rsid w:val="48E56510"/>
    <w:rsid w:val="48E704DA"/>
    <w:rsid w:val="48E96418"/>
    <w:rsid w:val="48EB7FCA"/>
    <w:rsid w:val="48FB518F"/>
    <w:rsid w:val="48FD040D"/>
    <w:rsid w:val="48FF3A76"/>
    <w:rsid w:val="49011FF5"/>
    <w:rsid w:val="49023556"/>
    <w:rsid w:val="49117305"/>
    <w:rsid w:val="49127986"/>
    <w:rsid w:val="491C63D6"/>
    <w:rsid w:val="491D62C3"/>
    <w:rsid w:val="49282FCC"/>
    <w:rsid w:val="49290AF3"/>
    <w:rsid w:val="49380D36"/>
    <w:rsid w:val="493E46DD"/>
    <w:rsid w:val="494030A4"/>
    <w:rsid w:val="4944592C"/>
    <w:rsid w:val="49477851"/>
    <w:rsid w:val="494C6E4D"/>
    <w:rsid w:val="494D47E1"/>
    <w:rsid w:val="495042D1"/>
    <w:rsid w:val="495518E8"/>
    <w:rsid w:val="49560E44"/>
    <w:rsid w:val="49731136"/>
    <w:rsid w:val="497D499A"/>
    <w:rsid w:val="49830203"/>
    <w:rsid w:val="49861AA1"/>
    <w:rsid w:val="498A73BD"/>
    <w:rsid w:val="49925C08"/>
    <w:rsid w:val="49956188"/>
    <w:rsid w:val="49971F00"/>
    <w:rsid w:val="499C12C5"/>
    <w:rsid w:val="499C678B"/>
    <w:rsid w:val="49A10689"/>
    <w:rsid w:val="49A62FC2"/>
    <w:rsid w:val="49AD1A85"/>
    <w:rsid w:val="49B9786A"/>
    <w:rsid w:val="49BA4C7D"/>
    <w:rsid w:val="49C01457"/>
    <w:rsid w:val="49C43121"/>
    <w:rsid w:val="49CA4084"/>
    <w:rsid w:val="49E05B69"/>
    <w:rsid w:val="49EF3AEA"/>
    <w:rsid w:val="49F00DD0"/>
    <w:rsid w:val="49F6512D"/>
    <w:rsid w:val="49FB3149"/>
    <w:rsid w:val="4A01737A"/>
    <w:rsid w:val="4A056E6A"/>
    <w:rsid w:val="4A604B4B"/>
    <w:rsid w:val="4A645985"/>
    <w:rsid w:val="4A657908"/>
    <w:rsid w:val="4A6D0C58"/>
    <w:rsid w:val="4A735661"/>
    <w:rsid w:val="4A795555"/>
    <w:rsid w:val="4A7B35D0"/>
    <w:rsid w:val="4A7D5D73"/>
    <w:rsid w:val="4A8E3303"/>
    <w:rsid w:val="4A914BA1"/>
    <w:rsid w:val="4A9B332A"/>
    <w:rsid w:val="4AAA4283"/>
    <w:rsid w:val="4AC94D68"/>
    <w:rsid w:val="4ACC0BEA"/>
    <w:rsid w:val="4ACF1226"/>
    <w:rsid w:val="4AD131F0"/>
    <w:rsid w:val="4ADD1B95"/>
    <w:rsid w:val="4AF70955"/>
    <w:rsid w:val="4AFA2747"/>
    <w:rsid w:val="4B033A69"/>
    <w:rsid w:val="4B0E7FA0"/>
    <w:rsid w:val="4B103D18"/>
    <w:rsid w:val="4B134653"/>
    <w:rsid w:val="4B1F3F5B"/>
    <w:rsid w:val="4B2705A4"/>
    <w:rsid w:val="4B292FC6"/>
    <w:rsid w:val="4B30355B"/>
    <w:rsid w:val="4B3C236E"/>
    <w:rsid w:val="4B3C6103"/>
    <w:rsid w:val="4B496CDC"/>
    <w:rsid w:val="4B541BD0"/>
    <w:rsid w:val="4B6422B6"/>
    <w:rsid w:val="4B6B0F4E"/>
    <w:rsid w:val="4B7E514B"/>
    <w:rsid w:val="4BBA0D7E"/>
    <w:rsid w:val="4BBA3C84"/>
    <w:rsid w:val="4BC24EA7"/>
    <w:rsid w:val="4BCD48B1"/>
    <w:rsid w:val="4BE62B26"/>
    <w:rsid w:val="4BF2341E"/>
    <w:rsid w:val="4BFE587D"/>
    <w:rsid w:val="4C0D2006"/>
    <w:rsid w:val="4C107D48"/>
    <w:rsid w:val="4C2061DD"/>
    <w:rsid w:val="4C354EAD"/>
    <w:rsid w:val="4C39104D"/>
    <w:rsid w:val="4C51283A"/>
    <w:rsid w:val="4C526563"/>
    <w:rsid w:val="4C545E87"/>
    <w:rsid w:val="4C5D5CF6"/>
    <w:rsid w:val="4C627219"/>
    <w:rsid w:val="4C676977"/>
    <w:rsid w:val="4C681932"/>
    <w:rsid w:val="4C72630D"/>
    <w:rsid w:val="4C7B10AA"/>
    <w:rsid w:val="4C7D53DD"/>
    <w:rsid w:val="4C7F7B94"/>
    <w:rsid w:val="4C8B77DB"/>
    <w:rsid w:val="4C8F07C2"/>
    <w:rsid w:val="4CA87AFB"/>
    <w:rsid w:val="4CAF7561"/>
    <w:rsid w:val="4CC41F0D"/>
    <w:rsid w:val="4CC530AB"/>
    <w:rsid w:val="4CD64AED"/>
    <w:rsid w:val="4CE0607F"/>
    <w:rsid w:val="4CEC4D57"/>
    <w:rsid w:val="4CFB27A6"/>
    <w:rsid w:val="4D033271"/>
    <w:rsid w:val="4D040842"/>
    <w:rsid w:val="4D19055F"/>
    <w:rsid w:val="4D1B4BF6"/>
    <w:rsid w:val="4D1B69A4"/>
    <w:rsid w:val="4D231CE3"/>
    <w:rsid w:val="4D37091A"/>
    <w:rsid w:val="4D3D7E0C"/>
    <w:rsid w:val="4D4B1569"/>
    <w:rsid w:val="4D622825"/>
    <w:rsid w:val="4D653795"/>
    <w:rsid w:val="4D711393"/>
    <w:rsid w:val="4D73058E"/>
    <w:rsid w:val="4D7607AF"/>
    <w:rsid w:val="4D867282"/>
    <w:rsid w:val="4D877CE7"/>
    <w:rsid w:val="4D8D7CB6"/>
    <w:rsid w:val="4D9329DF"/>
    <w:rsid w:val="4D9549A9"/>
    <w:rsid w:val="4D9C5D37"/>
    <w:rsid w:val="4DB13C02"/>
    <w:rsid w:val="4DC4528E"/>
    <w:rsid w:val="4DCD4142"/>
    <w:rsid w:val="4DDD3C5A"/>
    <w:rsid w:val="4DDF391E"/>
    <w:rsid w:val="4DDF3F6E"/>
    <w:rsid w:val="4DE638B8"/>
    <w:rsid w:val="4DE90850"/>
    <w:rsid w:val="4DF01BDF"/>
    <w:rsid w:val="4DFA6D48"/>
    <w:rsid w:val="4DFF1E22"/>
    <w:rsid w:val="4E032C72"/>
    <w:rsid w:val="4E037EE6"/>
    <w:rsid w:val="4E1538D9"/>
    <w:rsid w:val="4E1853E6"/>
    <w:rsid w:val="4E204980"/>
    <w:rsid w:val="4E231FB4"/>
    <w:rsid w:val="4E2E25EA"/>
    <w:rsid w:val="4E3160E5"/>
    <w:rsid w:val="4E3B5594"/>
    <w:rsid w:val="4E42310F"/>
    <w:rsid w:val="4E4A12EF"/>
    <w:rsid w:val="4E4B5067"/>
    <w:rsid w:val="4E4D47D4"/>
    <w:rsid w:val="4E531BF6"/>
    <w:rsid w:val="4E5E7A74"/>
    <w:rsid w:val="4E612ADD"/>
    <w:rsid w:val="4E645C2C"/>
    <w:rsid w:val="4E646F2C"/>
    <w:rsid w:val="4E69016F"/>
    <w:rsid w:val="4E6D1482"/>
    <w:rsid w:val="4E747A56"/>
    <w:rsid w:val="4E7736AC"/>
    <w:rsid w:val="4E7D7917"/>
    <w:rsid w:val="4E7E71EB"/>
    <w:rsid w:val="4E962786"/>
    <w:rsid w:val="4E9B7D9D"/>
    <w:rsid w:val="4EA03BB6"/>
    <w:rsid w:val="4EAC3D58"/>
    <w:rsid w:val="4EAC449C"/>
    <w:rsid w:val="4EAF55F6"/>
    <w:rsid w:val="4EBB21ED"/>
    <w:rsid w:val="4ECB579F"/>
    <w:rsid w:val="4ED3131A"/>
    <w:rsid w:val="4EDE2BD4"/>
    <w:rsid w:val="4EF13E61"/>
    <w:rsid w:val="4EF207F5"/>
    <w:rsid w:val="4EF72DCF"/>
    <w:rsid w:val="4EF91B3B"/>
    <w:rsid w:val="4F027E1C"/>
    <w:rsid w:val="4F035E4C"/>
    <w:rsid w:val="4F1C3AFD"/>
    <w:rsid w:val="4F4F7BC7"/>
    <w:rsid w:val="4F5A605D"/>
    <w:rsid w:val="4F6637EE"/>
    <w:rsid w:val="4F6C34E7"/>
    <w:rsid w:val="4F6E3703"/>
    <w:rsid w:val="4F950C90"/>
    <w:rsid w:val="4F960564"/>
    <w:rsid w:val="4F9A44F8"/>
    <w:rsid w:val="4F9E33D4"/>
    <w:rsid w:val="4FA17635"/>
    <w:rsid w:val="4FA7250F"/>
    <w:rsid w:val="4FAA2859"/>
    <w:rsid w:val="4FAD177A"/>
    <w:rsid w:val="4FAF46E1"/>
    <w:rsid w:val="4FBC446F"/>
    <w:rsid w:val="4FBD7396"/>
    <w:rsid w:val="4FBF5D0D"/>
    <w:rsid w:val="4FD652BF"/>
    <w:rsid w:val="4FDB0622"/>
    <w:rsid w:val="4FE16740"/>
    <w:rsid w:val="4FE614EB"/>
    <w:rsid w:val="4FEA79F2"/>
    <w:rsid w:val="4FED7EE7"/>
    <w:rsid w:val="4FF45451"/>
    <w:rsid w:val="50011E81"/>
    <w:rsid w:val="500E27F0"/>
    <w:rsid w:val="501439CE"/>
    <w:rsid w:val="502C325A"/>
    <w:rsid w:val="502D2C76"/>
    <w:rsid w:val="503A5393"/>
    <w:rsid w:val="503C5CDB"/>
    <w:rsid w:val="50461F8A"/>
    <w:rsid w:val="504B75A0"/>
    <w:rsid w:val="50500C1D"/>
    <w:rsid w:val="505A58A5"/>
    <w:rsid w:val="50681F00"/>
    <w:rsid w:val="506D39BB"/>
    <w:rsid w:val="506F6E38"/>
    <w:rsid w:val="507E411E"/>
    <w:rsid w:val="50854860"/>
    <w:rsid w:val="508D7BB9"/>
    <w:rsid w:val="509251CF"/>
    <w:rsid w:val="50947199"/>
    <w:rsid w:val="509C1BAA"/>
    <w:rsid w:val="50A54F03"/>
    <w:rsid w:val="50C1439C"/>
    <w:rsid w:val="50C35389"/>
    <w:rsid w:val="50C501EE"/>
    <w:rsid w:val="50DE0CE3"/>
    <w:rsid w:val="50EE11C2"/>
    <w:rsid w:val="50EF43D0"/>
    <w:rsid w:val="50F1262D"/>
    <w:rsid w:val="50F51A8D"/>
    <w:rsid w:val="50FF76EE"/>
    <w:rsid w:val="51004D18"/>
    <w:rsid w:val="51035143"/>
    <w:rsid w:val="51056328"/>
    <w:rsid w:val="51190EF4"/>
    <w:rsid w:val="51336869"/>
    <w:rsid w:val="51351FA8"/>
    <w:rsid w:val="513C0C59"/>
    <w:rsid w:val="514C331F"/>
    <w:rsid w:val="51595CED"/>
    <w:rsid w:val="5167665C"/>
    <w:rsid w:val="51852020"/>
    <w:rsid w:val="51870AAC"/>
    <w:rsid w:val="51872650"/>
    <w:rsid w:val="518965D2"/>
    <w:rsid w:val="518E3BE9"/>
    <w:rsid w:val="51A72442"/>
    <w:rsid w:val="51AA02F7"/>
    <w:rsid w:val="51B6693B"/>
    <w:rsid w:val="51D22043"/>
    <w:rsid w:val="51DC4F0F"/>
    <w:rsid w:val="51DC5197"/>
    <w:rsid w:val="51E43E9C"/>
    <w:rsid w:val="51E47CAD"/>
    <w:rsid w:val="51E57A85"/>
    <w:rsid w:val="51ED3AED"/>
    <w:rsid w:val="52004F96"/>
    <w:rsid w:val="520D53A9"/>
    <w:rsid w:val="520E0886"/>
    <w:rsid w:val="521536EF"/>
    <w:rsid w:val="522B1438"/>
    <w:rsid w:val="522E0F28"/>
    <w:rsid w:val="52310B9E"/>
    <w:rsid w:val="523A13C9"/>
    <w:rsid w:val="52432C25"/>
    <w:rsid w:val="52601BF3"/>
    <w:rsid w:val="52620098"/>
    <w:rsid w:val="5262371A"/>
    <w:rsid w:val="526D1A50"/>
    <w:rsid w:val="526D776F"/>
    <w:rsid w:val="526F0860"/>
    <w:rsid w:val="52720E14"/>
    <w:rsid w:val="52774555"/>
    <w:rsid w:val="527A0CBA"/>
    <w:rsid w:val="52854FEC"/>
    <w:rsid w:val="528A0854"/>
    <w:rsid w:val="528B413E"/>
    <w:rsid w:val="528D3B22"/>
    <w:rsid w:val="528D5C4E"/>
    <w:rsid w:val="529169C4"/>
    <w:rsid w:val="52972F71"/>
    <w:rsid w:val="52A907F9"/>
    <w:rsid w:val="52BC4786"/>
    <w:rsid w:val="52D3377F"/>
    <w:rsid w:val="52D40E70"/>
    <w:rsid w:val="52D94783"/>
    <w:rsid w:val="52E2243E"/>
    <w:rsid w:val="52EF3383"/>
    <w:rsid w:val="52F04997"/>
    <w:rsid w:val="52F32DE0"/>
    <w:rsid w:val="52F932E4"/>
    <w:rsid w:val="52FD1026"/>
    <w:rsid w:val="530121AE"/>
    <w:rsid w:val="530C74BB"/>
    <w:rsid w:val="53126652"/>
    <w:rsid w:val="531552B3"/>
    <w:rsid w:val="53163E96"/>
    <w:rsid w:val="53197A1D"/>
    <w:rsid w:val="5337776C"/>
    <w:rsid w:val="53423D16"/>
    <w:rsid w:val="53432D2C"/>
    <w:rsid w:val="5352687D"/>
    <w:rsid w:val="53574132"/>
    <w:rsid w:val="535F5A56"/>
    <w:rsid w:val="537312E8"/>
    <w:rsid w:val="537D3F15"/>
    <w:rsid w:val="53837051"/>
    <w:rsid w:val="538A03E0"/>
    <w:rsid w:val="538E7ED0"/>
    <w:rsid w:val="539265D3"/>
    <w:rsid w:val="53942DF6"/>
    <w:rsid w:val="53953895"/>
    <w:rsid w:val="53986FA1"/>
    <w:rsid w:val="53BF7112"/>
    <w:rsid w:val="53CD71B7"/>
    <w:rsid w:val="53DA3115"/>
    <w:rsid w:val="53DB0C3B"/>
    <w:rsid w:val="53DF5508"/>
    <w:rsid w:val="53E06252"/>
    <w:rsid w:val="53E144A4"/>
    <w:rsid w:val="53E47AF0"/>
    <w:rsid w:val="53EB6E09"/>
    <w:rsid w:val="53FC29DA"/>
    <w:rsid w:val="540E7263"/>
    <w:rsid w:val="54120B01"/>
    <w:rsid w:val="5422686A"/>
    <w:rsid w:val="543A57B1"/>
    <w:rsid w:val="543C64A6"/>
    <w:rsid w:val="54401FF4"/>
    <w:rsid w:val="54422A68"/>
    <w:rsid w:val="54446FC0"/>
    <w:rsid w:val="54484523"/>
    <w:rsid w:val="544B6CDA"/>
    <w:rsid w:val="54531311"/>
    <w:rsid w:val="545509EE"/>
    <w:rsid w:val="546C0098"/>
    <w:rsid w:val="5479292E"/>
    <w:rsid w:val="548B37A3"/>
    <w:rsid w:val="549C377F"/>
    <w:rsid w:val="54AA6F8B"/>
    <w:rsid w:val="54C85664"/>
    <w:rsid w:val="54CC1545"/>
    <w:rsid w:val="54CD2C7A"/>
    <w:rsid w:val="54D10E25"/>
    <w:rsid w:val="54D44008"/>
    <w:rsid w:val="54D65DCA"/>
    <w:rsid w:val="54D9161F"/>
    <w:rsid w:val="54DB5379"/>
    <w:rsid w:val="54F0583E"/>
    <w:rsid w:val="54F6233F"/>
    <w:rsid w:val="54F6656E"/>
    <w:rsid w:val="54F8584D"/>
    <w:rsid w:val="54F93A6F"/>
    <w:rsid w:val="550565D4"/>
    <w:rsid w:val="55200136"/>
    <w:rsid w:val="552B51BC"/>
    <w:rsid w:val="552C79A0"/>
    <w:rsid w:val="553655E5"/>
    <w:rsid w:val="5539030F"/>
    <w:rsid w:val="55434CEA"/>
    <w:rsid w:val="555B6329"/>
    <w:rsid w:val="556233C2"/>
    <w:rsid w:val="556D0AE3"/>
    <w:rsid w:val="556F788D"/>
    <w:rsid w:val="5583158B"/>
    <w:rsid w:val="55833339"/>
    <w:rsid w:val="55A0267B"/>
    <w:rsid w:val="55AC0AE1"/>
    <w:rsid w:val="55B1434A"/>
    <w:rsid w:val="55B709E4"/>
    <w:rsid w:val="55B7742C"/>
    <w:rsid w:val="55B96DDD"/>
    <w:rsid w:val="55BD1B16"/>
    <w:rsid w:val="55CA5A69"/>
    <w:rsid w:val="55D2387C"/>
    <w:rsid w:val="55D342C0"/>
    <w:rsid w:val="55DA4B53"/>
    <w:rsid w:val="55DD366F"/>
    <w:rsid w:val="55EA0DC4"/>
    <w:rsid w:val="55ED2635"/>
    <w:rsid w:val="55FA527D"/>
    <w:rsid w:val="55FF50B5"/>
    <w:rsid w:val="560426CB"/>
    <w:rsid w:val="56050A20"/>
    <w:rsid w:val="560763AD"/>
    <w:rsid w:val="56091A90"/>
    <w:rsid w:val="560B1CAC"/>
    <w:rsid w:val="56190555"/>
    <w:rsid w:val="561A59BB"/>
    <w:rsid w:val="561E677E"/>
    <w:rsid w:val="562305BD"/>
    <w:rsid w:val="56250055"/>
    <w:rsid w:val="56280B45"/>
    <w:rsid w:val="562B4FF8"/>
    <w:rsid w:val="562B7C58"/>
    <w:rsid w:val="562E2E9B"/>
    <w:rsid w:val="563B5A15"/>
    <w:rsid w:val="56594D53"/>
    <w:rsid w:val="567F608A"/>
    <w:rsid w:val="568E5410"/>
    <w:rsid w:val="568E6439"/>
    <w:rsid w:val="56921A85"/>
    <w:rsid w:val="56941CA1"/>
    <w:rsid w:val="569B5C5E"/>
    <w:rsid w:val="569E667C"/>
    <w:rsid w:val="569F41A2"/>
    <w:rsid w:val="56A40F15"/>
    <w:rsid w:val="56A65531"/>
    <w:rsid w:val="56AB6FEB"/>
    <w:rsid w:val="56AD44B8"/>
    <w:rsid w:val="56B22127"/>
    <w:rsid w:val="56B2329E"/>
    <w:rsid w:val="56BA4F74"/>
    <w:rsid w:val="56BE6D1E"/>
    <w:rsid w:val="56C44CD8"/>
    <w:rsid w:val="56C67981"/>
    <w:rsid w:val="56E237B3"/>
    <w:rsid w:val="56E46B61"/>
    <w:rsid w:val="56F97D56"/>
    <w:rsid w:val="57087F99"/>
    <w:rsid w:val="571A0A26"/>
    <w:rsid w:val="571B00C0"/>
    <w:rsid w:val="572172AD"/>
    <w:rsid w:val="572359F5"/>
    <w:rsid w:val="572444AB"/>
    <w:rsid w:val="57285257"/>
    <w:rsid w:val="57325BD1"/>
    <w:rsid w:val="573E5462"/>
    <w:rsid w:val="5748600F"/>
    <w:rsid w:val="575431DF"/>
    <w:rsid w:val="575475F7"/>
    <w:rsid w:val="575C02E5"/>
    <w:rsid w:val="575C5CCF"/>
    <w:rsid w:val="57672F12"/>
    <w:rsid w:val="576C0528"/>
    <w:rsid w:val="57723665"/>
    <w:rsid w:val="57847330"/>
    <w:rsid w:val="57955A42"/>
    <w:rsid w:val="579637F7"/>
    <w:rsid w:val="579B1CEE"/>
    <w:rsid w:val="57AF2B0B"/>
    <w:rsid w:val="57AF48B9"/>
    <w:rsid w:val="57B123DF"/>
    <w:rsid w:val="57B24890"/>
    <w:rsid w:val="57B604E5"/>
    <w:rsid w:val="57B75313"/>
    <w:rsid w:val="57B974E6"/>
    <w:rsid w:val="57C1701F"/>
    <w:rsid w:val="57C245EC"/>
    <w:rsid w:val="57C55E8A"/>
    <w:rsid w:val="57C82282"/>
    <w:rsid w:val="57CD334A"/>
    <w:rsid w:val="57CE06D9"/>
    <w:rsid w:val="57DB56AE"/>
    <w:rsid w:val="58004109"/>
    <w:rsid w:val="58112E7E"/>
    <w:rsid w:val="58134413"/>
    <w:rsid w:val="5814677F"/>
    <w:rsid w:val="581A721C"/>
    <w:rsid w:val="58301BAD"/>
    <w:rsid w:val="583077A8"/>
    <w:rsid w:val="5839385E"/>
    <w:rsid w:val="58417C07"/>
    <w:rsid w:val="584262FF"/>
    <w:rsid w:val="584A0389"/>
    <w:rsid w:val="584E7C2E"/>
    <w:rsid w:val="58507E4A"/>
    <w:rsid w:val="5851771E"/>
    <w:rsid w:val="585A65D3"/>
    <w:rsid w:val="586A12C8"/>
    <w:rsid w:val="586B4D4E"/>
    <w:rsid w:val="587C29ED"/>
    <w:rsid w:val="5889510A"/>
    <w:rsid w:val="58935F89"/>
    <w:rsid w:val="5895585D"/>
    <w:rsid w:val="58C3686E"/>
    <w:rsid w:val="58C44394"/>
    <w:rsid w:val="58D520FD"/>
    <w:rsid w:val="58D85297"/>
    <w:rsid w:val="58E40592"/>
    <w:rsid w:val="58EA0B58"/>
    <w:rsid w:val="58EB1921"/>
    <w:rsid w:val="58EF1DF9"/>
    <w:rsid w:val="58F307D5"/>
    <w:rsid w:val="59070080"/>
    <w:rsid w:val="59080725"/>
    <w:rsid w:val="59113C10"/>
    <w:rsid w:val="591732B3"/>
    <w:rsid w:val="592A16CF"/>
    <w:rsid w:val="592E180D"/>
    <w:rsid w:val="592F3F03"/>
    <w:rsid w:val="5934151A"/>
    <w:rsid w:val="59487733"/>
    <w:rsid w:val="594B1686"/>
    <w:rsid w:val="59505C28"/>
    <w:rsid w:val="5955323E"/>
    <w:rsid w:val="595917B8"/>
    <w:rsid w:val="596D2336"/>
    <w:rsid w:val="597132A7"/>
    <w:rsid w:val="59727F77"/>
    <w:rsid w:val="597847D9"/>
    <w:rsid w:val="597F3501"/>
    <w:rsid w:val="59883613"/>
    <w:rsid w:val="598F2129"/>
    <w:rsid w:val="59945B14"/>
    <w:rsid w:val="59967ADE"/>
    <w:rsid w:val="599B3347"/>
    <w:rsid w:val="59B57170"/>
    <w:rsid w:val="59B91A1F"/>
    <w:rsid w:val="59BF6AD5"/>
    <w:rsid w:val="59C06B4D"/>
    <w:rsid w:val="59DB001B"/>
    <w:rsid w:val="59DE4FE1"/>
    <w:rsid w:val="59E55D0C"/>
    <w:rsid w:val="59EA5096"/>
    <w:rsid w:val="59F64A21"/>
    <w:rsid w:val="59F91F07"/>
    <w:rsid w:val="59FA7758"/>
    <w:rsid w:val="5A00764E"/>
    <w:rsid w:val="5A0A0901"/>
    <w:rsid w:val="5A130056"/>
    <w:rsid w:val="5A1667A4"/>
    <w:rsid w:val="5A276988"/>
    <w:rsid w:val="5A40023C"/>
    <w:rsid w:val="5A421A14"/>
    <w:rsid w:val="5A4412E8"/>
    <w:rsid w:val="5A490FF5"/>
    <w:rsid w:val="5A557999"/>
    <w:rsid w:val="5A562049"/>
    <w:rsid w:val="5A5B58F4"/>
    <w:rsid w:val="5A5F471A"/>
    <w:rsid w:val="5A6220B6"/>
    <w:rsid w:val="5A785436"/>
    <w:rsid w:val="5A84605C"/>
    <w:rsid w:val="5A867B53"/>
    <w:rsid w:val="5A884BD2"/>
    <w:rsid w:val="5A8B6F17"/>
    <w:rsid w:val="5A90452E"/>
    <w:rsid w:val="5A9102A6"/>
    <w:rsid w:val="5A9543EF"/>
    <w:rsid w:val="5A981634"/>
    <w:rsid w:val="5AA32902"/>
    <w:rsid w:val="5AA4447D"/>
    <w:rsid w:val="5AAB75B9"/>
    <w:rsid w:val="5AB741B0"/>
    <w:rsid w:val="5AB87F28"/>
    <w:rsid w:val="5ABA5A4E"/>
    <w:rsid w:val="5ABB23D9"/>
    <w:rsid w:val="5ABD593E"/>
    <w:rsid w:val="5AC149CA"/>
    <w:rsid w:val="5AC4067B"/>
    <w:rsid w:val="5ACE5C4B"/>
    <w:rsid w:val="5AD7215D"/>
    <w:rsid w:val="5ADE201A"/>
    <w:rsid w:val="5AE20B01"/>
    <w:rsid w:val="5AEB5C08"/>
    <w:rsid w:val="5AED72F3"/>
    <w:rsid w:val="5AFF7905"/>
    <w:rsid w:val="5B0867BA"/>
    <w:rsid w:val="5B0E5771"/>
    <w:rsid w:val="5B164C1B"/>
    <w:rsid w:val="5B1F1D55"/>
    <w:rsid w:val="5B203C45"/>
    <w:rsid w:val="5B296730"/>
    <w:rsid w:val="5B3A093D"/>
    <w:rsid w:val="5B3F5E3F"/>
    <w:rsid w:val="5B4F2965"/>
    <w:rsid w:val="5B55086C"/>
    <w:rsid w:val="5B634866"/>
    <w:rsid w:val="5B67418E"/>
    <w:rsid w:val="5B745BFD"/>
    <w:rsid w:val="5B751975"/>
    <w:rsid w:val="5B8564DE"/>
    <w:rsid w:val="5B890A02"/>
    <w:rsid w:val="5B8F1C60"/>
    <w:rsid w:val="5B963047"/>
    <w:rsid w:val="5BA0207D"/>
    <w:rsid w:val="5BA30291"/>
    <w:rsid w:val="5BA77191"/>
    <w:rsid w:val="5BAB5397"/>
    <w:rsid w:val="5BAE36B3"/>
    <w:rsid w:val="5BB95D06"/>
    <w:rsid w:val="5BC92655"/>
    <w:rsid w:val="5BD13050"/>
    <w:rsid w:val="5BD448EE"/>
    <w:rsid w:val="5BD82630"/>
    <w:rsid w:val="5BE74621"/>
    <w:rsid w:val="5BED59B0"/>
    <w:rsid w:val="5BF94355"/>
    <w:rsid w:val="5C003935"/>
    <w:rsid w:val="5C07200B"/>
    <w:rsid w:val="5C074D52"/>
    <w:rsid w:val="5C0C0CAC"/>
    <w:rsid w:val="5C1D6B5E"/>
    <w:rsid w:val="5C3A0466"/>
    <w:rsid w:val="5C3E7FB9"/>
    <w:rsid w:val="5C3F445D"/>
    <w:rsid w:val="5C427AAA"/>
    <w:rsid w:val="5C471564"/>
    <w:rsid w:val="5C484A27"/>
    <w:rsid w:val="5C4F21B0"/>
    <w:rsid w:val="5C5C61D5"/>
    <w:rsid w:val="5C6E089F"/>
    <w:rsid w:val="5C7B2FBB"/>
    <w:rsid w:val="5C7F2AAC"/>
    <w:rsid w:val="5C871960"/>
    <w:rsid w:val="5C8E13FD"/>
    <w:rsid w:val="5C91317D"/>
    <w:rsid w:val="5C9A1694"/>
    <w:rsid w:val="5C9B512C"/>
    <w:rsid w:val="5C9C18B0"/>
    <w:rsid w:val="5CBB46ED"/>
    <w:rsid w:val="5CBB785C"/>
    <w:rsid w:val="5CD46AF0"/>
    <w:rsid w:val="5CD66444"/>
    <w:rsid w:val="5CD71527"/>
    <w:rsid w:val="5D1115A1"/>
    <w:rsid w:val="5D156F6C"/>
    <w:rsid w:val="5D2D1BBA"/>
    <w:rsid w:val="5D305DF0"/>
    <w:rsid w:val="5D355860"/>
    <w:rsid w:val="5D3715D8"/>
    <w:rsid w:val="5D537A94"/>
    <w:rsid w:val="5D6879E4"/>
    <w:rsid w:val="5D69505C"/>
    <w:rsid w:val="5D6B07EC"/>
    <w:rsid w:val="5D7243BE"/>
    <w:rsid w:val="5D72616D"/>
    <w:rsid w:val="5D734E56"/>
    <w:rsid w:val="5D7B64BE"/>
    <w:rsid w:val="5D815591"/>
    <w:rsid w:val="5D83037A"/>
    <w:rsid w:val="5D891708"/>
    <w:rsid w:val="5D9134E5"/>
    <w:rsid w:val="5D995DEF"/>
    <w:rsid w:val="5DA52CD8"/>
    <w:rsid w:val="5DA86032"/>
    <w:rsid w:val="5DD72473"/>
    <w:rsid w:val="5DE03A1E"/>
    <w:rsid w:val="5DE11BB5"/>
    <w:rsid w:val="5DE352BC"/>
    <w:rsid w:val="5DF179D9"/>
    <w:rsid w:val="5DFB69DA"/>
    <w:rsid w:val="5E115985"/>
    <w:rsid w:val="5E1744D0"/>
    <w:rsid w:val="5E1831B8"/>
    <w:rsid w:val="5E197573"/>
    <w:rsid w:val="5E1C1435"/>
    <w:rsid w:val="5E1D07CE"/>
    <w:rsid w:val="5E1E4546"/>
    <w:rsid w:val="5E2002BE"/>
    <w:rsid w:val="5E22791D"/>
    <w:rsid w:val="5E284390"/>
    <w:rsid w:val="5E287173"/>
    <w:rsid w:val="5E2A6448"/>
    <w:rsid w:val="5E4F2952"/>
    <w:rsid w:val="5E5B4E53"/>
    <w:rsid w:val="5E710B1A"/>
    <w:rsid w:val="5E713415"/>
    <w:rsid w:val="5E7303EE"/>
    <w:rsid w:val="5E786A29"/>
    <w:rsid w:val="5E8425FB"/>
    <w:rsid w:val="5E8B6B8D"/>
    <w:rsid w:val="5E9717B4"/>
    <w:rsid w:val="5EA56CD0"/>
    <w:rsid w:val="5EA70098"/>
    <w:rsid w:val="5EAF519E"/>
    <w:rsid w:val="5EB731DD"/>
    <w:rsid w:val="5EB87E4D"/>
    <w:rsid w:val="5ED04208"/>
    <w:rsid w:val="5ED370DF"/>
    <w:rsid w:val="5ED74E21"/>
    <w:rsid w:val="5ED77613"/>
    <w:rsid w:val="5EDA221B"/>
    <w:rsid w:val="5EEE00D5"/>
    <w:rsid w:val="5EF57055"/>
    <w:rsid w:val="5EF76247"/>
    <w:rsid w:val="5EF84D97"/>
    <w:rsid w:val="5F090D52"/>
    <w:rsid w:val="5F183AB6"/>
    <w:rsid w:val="5F1D65AC"/>
    <w:rsid w:val="5F230066"/>
    <w:rsid w:val="5F2636B2"/>
    <w:rsid w:val="5F27742B"/>
    <w:rsid w:val="5F322057"/>
    <w:rsid w:val="5F335DCF"/>
    <w:rsid w:val="5F4973A1"/>
    <w:rsid w:val="5F612D81"/>
    <w:rsid w:val="5F6146EB"/>
    <w:rsid w:val="5F6219AC"/>
    <w:rsid w:val="5F661D01"/>
    <w:rsid w:val="5F6D12E1"/>
    <w:rsid w:val="5F830324"/>
    <w:rsid w:val="5F8605F5"/>
    <w:rsid w:val="5F8A1207"/>
    <w:rsid w:val="5F990328"/>
    <w:rsid w:val="5F9C3975"/>
    <w:rsid w:val="5FA12743"/>
    <w:rsid w:val="5FA665A1"/>
    <w:rsid w:val="5FAD3EA6"/>
    <w:rsid w:val="5FAF18FA"/>
    <w:rsid w:val="5FB07420"/>
    <w:rsid w:val="5FB17DDF"/>
    <w:rsid w:val="5FB85E71"/>
    <w:rsid w:val="5FBC7B73"/>
    <w:rsid w:val="5FBF1587"/>
    <w:rsid w:val="5FCB1BCC"/>
    <w:rsid w:val="5FCC24AC"/>
    <w:rsid w:val="5FE01AB3"/>
    <w:rsid w:val="5FE4753D"/>
    <w:rsid w:val="5FFE63DD"/>
    <w:rsid w:val="600475EE"/>
    <w:rsid w:val="600A62FA"/>
    <w:rsid w:val="602431AA"/>
    <w:rsid w:val="6025396A"/>
    <w:rsid w:val="6028345A"/>
    <w:rsid w:val="602C4CF9"/>
    <w:rsid w:val="60320168"/>
    <w:rsid w:val="603C03E7"/>
    <w:rsid w:val="603E2C7E"/>
    <w:rsid w:val="603F12DC"/>
    <w:rsid w:val="604A7D3E"/>
    <w:rsid w:val="604D6993"/>
    <w:rsid w:val="605204D7"/>
    <w:rsid w:val="60542E4C"/>
    <w:rsid w:val="605F4603"/>
    <w:rsid w:val="606C1599"/>
    <w:rsid w:val="60762418"/>
    <w:rsid w:val="60824919"/>
    <w:rsid w:val="6089214B"/>
    <w:rsid w:val="609346F9"/>
    <w:rsid w:val="6098366A"/>
    <w:rsid w:val="60AA20C1"/>
    <w:rsid w:val="60B1344C"/>
    <w:rsid w:val="60BC7A17"/>
    <w:rsid w:val="60C2740B"/>
    <w:rsid w:val="60CB2763"/>
    <w:rsid w:val="60CC028A"/>
    <w:rsid w:val="60CF3873"/>
    <w:rsid w:val="60D27DC3"/>
    <w:rsid w:val="60D809DC"/>
    <w:rsid w:val="60DD6AB1"/>
    <w:rsid w:val="60E17347"/>
    <w:rsid w:val="60E27AAD"/>
    <w:rsid w:val="610619ED"/>
    <w:rsid w:val="611512D6"/>
    <w:rsid w:val="611B16B9"/>
    <w:rsid w:val="613227E3"/>
    <w:rsid w:val="61403DE7"/>
    <w:rsid w:val="61461DEA"/>
    <w:rsid w:val="6155027F"/>
    <w:rsid w:val="61572249"/>
    <w:rsid w:val="616404C2"/>
    <w:rsid w:val="61671D60"/>
    <w:rsid w:val="616F73F2"/>
    <w:rsid w:val="617526CF"/>
    <w:rsid w:val="6175447D"/>
    <w:rsid w:val="617821BF"/>
    <w:rsid w:val="61860CBC"/>
    <w:rsid w:val="61880654"/>
    <w:rsid w:val="618B3CA1"/>
    <w:rsid w:val="6198016C"/>
    <w:rsid w:val="619E0326"/>
    <w:rsid w:val="619E0691"/>
    <w:rsid w:val="61AC4E41"/>
    <w:rsid w:val="61AD1E69"/>
    <w:rsid w:val="61BE6E88"/>
    <w:rsid w:val="61C251E9"/>
    <w:rsid w:val="61C55405"/>
    <w:rsid w:val="61C84EF5"/>
    <w:rsid w:val="61CE48E1"/>
    <w:rsid w:val="61DA0784"/>
    <w:rsid w:val="61DC62AA"/>
    <w:rsid w:val="61E969EE"/>
    <w:rsid w:val="61EA1CEC"/>
    <w:rsid w:val="61EB473F"/>
    <w:rsid w:val="61F41846"/>
    <w:rsid w:val="61F93300"/>
    <w:rsid w:val="61FA4982"/>
    <w:rsid w:val="62031A89"/>
    <w:rsid w:val="621912AD"/>
    <w:rsid w:val="621C6FEF"/>
    <w:rsid w:val="62205C3F"/>
    <w:rsid w:val="622B10BD"/>
    <w:rsid w:val="6239314F"/>
    <w:rsid w:val="62465E1A"/>
    <w:rsid w:val="624E387B"/>
    <w:rsid w:val="62594873"/>
    <w:rsid w:val="625C5983"/>
    <w:rsid w:val="626369CC"/>
    <w:rsid w:val="626C5880"/>
    <w:rsid w:val="627110E9"/>
    <w:rsid w:val="62736044"/>
    <w:rsid w:val="62775FD3"/>
    <w:rsid w:val="62850519"/>
    <w:rsid w:val="628B0322"/>
    <w:rsid w:val="628C0C5B"/>
    <w:rsid w:val="628F156F"/>
    <w:rsid w:val="628F3483"/>
    <w:rsid w:val="6294024D"/>
    <w:rsid w:val="62A3542F"/>
    <w:rsid w:val="62A414BE"/>
    <w:rsid w:val="62A96AD4"/>
    <w:rsid w:val="62AB6827"/>
    <w:rsid w:val="62B965EC"/>
    <w:rsid w:val="62BA1897"/>
    <w:rsid w:val="62C05BCC"/>
    <w:rsid w:val="62C45097"/>
    <w:rsid w:val="62C75DED"/>
    <w:rsid w:val="62DC0E02"/>
    <w:rsid w:val="62E95123"/>
    <w:rsid w:val="62E97BDC"/>
    <w:rsid w:val="62EF025F"/>
    <w:rsid w:val="62EF64B1"/>
    <w:rsid w:val="62F23F90"/>
    <w:rsid w:val="630D181D"/>
    <w:rsid w:val="631D78D5"/>
    <w:rsid w:val="632443AD"/>
    <w:rsid w:val="633A3BD0"/>
    <w:rsid w:val="633B5253"/>
    <w:rsid w:val="633C21FE"/>
    <w:rsid w:val="63517278"/>
    <w:rsid w:val="63520F1A"/>
    <w:rsid w:val="63534C92"/>
    <w:rsid w:val="63570A5E"/>
    <w:rsid w:val="635A0F20"/>
    <w:rsid w:val="636B5B1D"/>
    <w:rsid w:val="63754C08"/>
    <w:rsid w:val="637A715D"/>
    <w:rsid w:val="637D586B"/>
    <w:rsid w:val="63952BB5"/>
    <w:rsid w:val="63975AF4"/>
    <w:rsid w:val="639D3C37"/>
    <w:rsid w:val="63A23524"/>
    <w:rsid w:val="63AE4945"/>
    <w:rsid w:val="63BC6393"/>
    <w:rsid w:val="63D27965"/>
    <w:rsid w:val="63D80CF3"/>
    <w:rsid w:val="63E56CDC"/>
    <w:rsid w:val="63F36F9C"/>
    <w:rsid w:val="63F5376B"/>
    <w:rsid w:val="63F548F2"/>
    <w:rsid w:val="63F83890"/>
    <w:rsid w:val="63FC70D8"/>
    <w:rsid w:val="63FD6D10"/>
    <w:rsid w:val="63FE4BFE"/>
    <w:rsid w:val="64127D09"/>
    <w:rsid w:val="64147E4A"/>
    <w:rsid w:val="641927E9"/>
    <w:rsid w:val="64264155"/>
    <w:rsid w:val="642C1B08"/>
    <w:rsid w:val="64362A83"/>
    <w:rsid w:val="64364ED9"/>
    <w:rsid w:val="643C1282"/>
    <w:rsid w:val="644B5E42"/>
    <w:rsid w:val="644D1278"/>
    <w:rsid w:val="64501908"/>
    <w:rsid w:val="645B44A0"/>
    <w:rsid w:val="646317BA"/>
    <w:rsid w:val="646C6C8B"/>
    <w:rsid w:val="64773538"/>
    <w:rsid w:val="64A8658B"/>
    <w:rsid w:val="64B21544"/>
    <w:rsid w:val="64B90B25"/>
    <w:rsid w:val="64BE16A3"/>
    <w:rsid w:val="64CB72F5"/>
    <w:rsid w:val="64D05FCB"/>
    <w:rsid w:val="64D3633F"/>
    <w:rsid w:val="64E67ABA"/>
    <w:rsid w:val="64E738E4"/>
    <w:rsid w:val="64E77440"/>
    <w:rsid w:val="64F14763"/>
    <w:rsid w:val="64F810E3"/>
    <w:rsid w:val="64F953C5"/>
    <w:rsid w:val="6502071E"/>
    <w:rsid w:val="6502427A"/>
    <w:rsid w:val="65064BA1"/>
    <w:rsid w:val="650A312E"/>
    <w:rsid w:val="65196259"/>
    <w:rsid w:val="6521585D"/>
    <w:rsid w:val="65230A03"/>
    <w:rsid w:val="65230D6E"/>
    <w:rsid w:val="652C16E9"/>
    <w:rsid w:val="652F3201"/>
    <w:rsid w:val="65362175"/>
    <w:rsid w:val="65365D8A"/>
    <w:rsid w:val="653A158F"/>
    <w:rsid w:val="653F54CE"/>
    <w:rsid w:val="654455A4"/>
    <w:rsid w:val="654717E8"/>
    <w:rsid w:val="65521D19"/>
    <w:rsid w:val="655C5743"/>
    <w:rsid w:val="655C5D19"/>
    <w:rsid w:val="656211BC"/>
    <w:rsid w:val="65670581"/>
    <w:rsid w:val="656C3DE9"/>
    <w:rsid w:val="6589499B"/>
    <w:rsid w:val="658A349A"/>
    <w:rsid w:val="659539CA"/>
    <w:rsid w:val="659A0BDD"/>
    <w:rsid w:val="659B647C"/>
    <w:rsid w:val="65AB5063"/>
    <w:rsid w:val="65B57F02"/>
    <w:rsid w:val="65B901A7"/>
    <w:rsid w:val="65BB6A86"/>
    <w:rsid w:val="65BD2897"/>
    <w:rsid w:val="65C50B86"/>
    <w:rsid w:val="65C71020"/>
    <w:rsid w:val="65C80123"/>
    <w:rsid w:val="65C90717"/>
    <w:rsid w:val="65CE6852"/>
    <w:rsid w:val="65CF4C4B"/>
    <w:rsid w:val="65D26342"/>
    <w:rsid w:val="65D976D1"/>
    <w:rsid w:val="65DA0D53"/>
    <w:rsid w:val="65E137EA"/>
    <w:rsid w:val="660226AB"/>
    <w:rsid w:val="660327FF"/>
    <w:rsid w:val="660404C6"/>
    <w:rsid w:val="66065235"/>
    <w:rsid w:val="66094E80"/>
    <w:rsid w:val="660D1128"/>
    <w:rsid w:val="66157FDD"/>
    <w:rsid w:val="661F2427"/>
    <w:rsid w:val="661F672F"/>
    <w:rsid w:val="662B15AE"/>
    <w:rsid w:val="66310EEA"/>
    <w:rsid w:val="664C3447"/>
    <w:rsid w:val="666376F2"/>
    <w:rsid w:val="667048F7"/>
    <w:rsid w:val="667635FA"/>
    <w:rsid w:val="667E7FC4"/>
    <w:rsid w:val="668F5FE1"/>
    <w:rsid w:val="66903B07"/>
    <w:rsid w:val="6694184A"/>
    <w:rsid w:val="669929BC"/>
    <w:rsid w:val="669D73D7"/>
    <w:rsid w:val="66A650D9"/>
    <w:rsid w:val="66AA6710"/>
    <w:rsid w:val="66B009E6"/>
    <w:rsid w:val="66B91406"/>
    <w:rsid w:val="66C537B1"/>
    <w:rsid w:val="66CF4630"/>
    <w:rsid w:val="66D439F4"/>
    <w:rsid w:val="66DB1051"/>
    <w:rsid w:val="66DD4B51"/>
    <w:rsid w:val="66E217EC"/>
    <w:rsid w:val="66E62061"/>
    <w:rsid w:val="66F61C2B"/>
    <w:rsid w:val="67002A3B"/>
    <w:rsid w:val="671263A3"/>
    <w:rsid w:val="67136C12"/>
    <w:rsid w:val="671464E6"/>
    <w:rsid w:val="671E7365"/>
    <w:rsid w:val="672A1EA5"/>
    <w:rsid w:val="672A74CC"/>
    <w:rsid w:val="6730240A"/>
    <w:rsid w:val="6732696D"/>
    <w:rsid w:val="673426E5"/>
    <w:rsid w:val="67371FE2"/>
    <w:rsid w:val="67472418"/>
    <w:rsid w:val="674C7A2E"/>
    <w:rsid w:val="6753700F"/>
    <w:rsid w:val="67564590"/>
    <w:rsid w:val="675D60DF"/>
    <w:rsid w:val="676C00D0"/>
    <w:rsid w:val="676F7BC1"/>
    <w:rsid w:val="67717925"/>
    <w:rsid w:val="6772434D"/>
    <w:rsid w:val="67767967"/>
    <w:rsid w:val="677B47B7"/>
    <w:rsid w:val="678371C8"/>
    <w:rsid w:val="678E6299"/>
    <w:rsid w:val="67917600"/>
    <w:rsid w:val="67980EC5"/>
    <w:rsid w:val="67A23AF2"/>
    <w:rsid w:val="67A7318E"/>
    <w:rsid w:val="67A96C2F"/>
    <w:rsid w:val="67AC2BC3"/>
    <w:rsid w:val="67AE1C1C"/>
    <w:rsid w:val="67BA377B"/>
    <w:rsid w:val="67C1041C"/>
    <w:rsid w:val="67C41CBB"/>
    <w:rsid w:val="67D05918"/>
    <w:rsid w:val="67D619EE"/>
    <w:rsid w:val="67DC4CFB"/>
    <w:rsid w:val="67E934CF"/>
    <w:rsid w:val="67EA067D"/>
    <w:rsid w:val="67EC6609"/>
    <w:rsid w:val="67EE0AE5"/>
    <w:rsid w:val="6806241C"/>
    <w:rsid w:val="680F2057"/>
    <w:rsid w:val="68106CAE"/>
    <w:rsid w:val="68143268"/>
    <w:rsid w:val="681542C4"/>
    <w:rsid w:val="68256BDB"/>
    <w:rsid w:val="68273E3B"/>
    <w:rsid w:val="682D5247"/>
    <w:rsid w:val="68374B41"/>
    <w:rsid w:val="6839767B"/>
    <w:rsid w:val="683F7593"/>
    <w:rsid w:val="6841155D"/>
    <w:rsid w:val="68442DFB"/>
    <w:rsid w:val="684B5A83"/>
    <w:rsid w:val="684C6D1E"/>
    <w:rsid w:val="684F3176"/>
    <w:rsid w:val="68534DEC"/>
    <w:rsid w:val="68590208"/>
    <w:rsid w:val="687068E0"/>
    <w:rsid w:val="68736D02"/>
    <w:rsid w:val="687641CA"/>
    <w:rsid w:val="68777EAF"/>
    <w:rsid w:val="68812AA4"/>
    <w:rsid w:val="68A564EF"/>
    <w:rsid w:val="68A815DC"/>
    <w:rsid w:val="68A85138"/>
    <w:rsid w:val="68B47F81"/>
    <w:rsid w:val="68C11E75"/>
    <w:rsid w:val="68CC2DDB"/>
    <w:rsid w:val="68D75A50"/>
    <w:rsid w:val="68E7605B"/>
    <w:rsid w:val="68FB795E"/>
    <w:rsid w:val="690A7BA1"/>
    <w:rsid w:val="690C1B6B"/>
    <w:rsid w:val="69124CA8"/>
    <w:rsid w:val="69252075"/>
    <w:rsid w:val="692B0715"/>
    <w:rsid w:val="692B3394"/>
    <w:rsid w:val="692E7D33"/>
    <w:rsid w:val="6936584E"/>
    <w:rsid w:val="694035C3"/>
    <w:rsid w:val="6954706E"/>
    <w:rsid w:val="695D4175"/>
    <w:rsid w:val="69620B1A"/>
    <w:rsid w:val="6964008C"/>
    <w:rsid w:val="69643755"/>
    <w:rsid w:val="6974542A"/>
    <w:rsid w:val="697B0A9F"/>
    <w:rsid w:val="697F2DBD"/>
    <w:rsid w:val="6980050D"/>
    <w:rsid w:val="69815A80"/>
    <w:rsid w:val="69820E7A"/>
    <w:rsid w:val="698836FF"/>
    <w:rsid w:val="698B5AD6"/>
    <w:rsid w:val="698C4A5A"/>
    <w:rsid w:val="699176C1"/>
    <w:rsid w:val="6994390F"/>
    <w:rsid w:val="699619EE"/>
    <w:rsid w:val="699F478D"/>
    <w:rsid w:val="699F6144"/>
    <w:rsid w:val="69A144A2"/>
    <w:rsid w:val="69AA5856"/>
    <w:rsid w:val="69C24293"/>
    <w:rsid w:val="69C41894"/>
    <w:rsid w:val="69CB1370"/>
    <w:rsid w:val="69CB37D4"/>
    <w:rsid w:val="69CB5582"/>
    <w:rsid w:val="69D32689"/>
    <w:rsid w:val="69E95A08"/>
    <w:rsid w:val="69EF0ABC"/>
    <w:rsid w:val="69F76F9A"/>
    <w:rsid w:val="69FA0370"/>
    <w:rsid w:val="69FD7706"/>
    <w:rsid w:val="6A026A5C"/>
    <w:rsid w:val="6A072332"/>
    <w:rsid w:val="6A12254A"/>
    <w:rsid w:val="6A130FC8"/>
    <w:rsid w:val="6A1A3E14"/>
    <w:rsid w:val="6A1B7B8C"/>
    <w:rsid w:val="6A2133F4"/>
    <w:rsid w:val="6A3C4A04"/>
    <w:rsid w:val="6A576E16"/>
    <w:rsid w:val="6A611FA2"/>
    <w:rsid w:val="6A6B28C1"/>
    <w:rsid w:val="6A6D488B"/>
    <w:rsid w:val="6A6E5F0E"/>
    <w:rsid w:val="6A721EA2"/>
    <w:rsid w:val="6A840A9A"/>
    <w:rsid w:val="6A8B30C1"/>
    <w:rsid w:val="6A9A5AB8"/>
    <w:rsid w:val="6AA77654"/>
    <w:rsid w:val="6AA83AD2"/>
    <w:rsid w:val="6AA9176C"/>
    <w:rsid w:val="6AAB002C"/>
    <w:rsid w:val="6AB204F0"/>
    <w:rsid w:val="6AC634A7"/>
    <w:rsid w:val="6AC77CBF"/>
    <w:rsid w:val="6ACB7804"/>
    <w:rsid w:val="6ACF2E50"/>
    <w:rsid w:val="6AD7162E"/>
    <w:rsid w:val="6AE61F48"/>
    <w:rsid w:val="6AE86CE5"/>
    <w:rsid w:val="6AF24D91"/>
    <w:rsid w:val="6AF86AEC"/>
    <w:rsid w:val="6AFC5C0F"/>
    <w:rsid w:val="6AFF4EE9"/>
    <w:rsid w:val="6B012508"/>
    <w:rsid w:val="6B0E7776"/>
    <w:rsid w:val="6B0F76F1"/>
    <w:rsid w:val="6B193A43"/>
    <w:rsid w:val="6B2B3634"/>
    <w:rsid w:val="6B3C7DBA"/>
    <w:rsid w:val="6B4E1A45"/>
    <w:rsid w:val="6B543355"/>
    <w:rsid w:val="6B5B0141"/>
    <w:rsid w:val="6B6A7665"/>
    <w:rsid w:val="6B712159"/>
    <w:rsid w:val="6B815B91"/>
    <w:rsid w:val="6B855157"/>
    <w:rsid w:val="6B8E3C6D"/>
    <w:rsid w:val="6B9E442F"/>
    <w:rsid w:val="6BA51E03"/>
    <w:rsid w:val="6BAE515B"/>
    <w:rsid w:val="6BB32772"/>
    <w:rsid w:val="6BB94D8C"/>
    <w:rsid w:val="6BBA7E94"/>
    <w:rsid w:val="6BC02799"/>
    <w:rsid w:val="6BC26511"/>
    <w:rsid w:val="6BC73B27"/>
    <w:rsid w:val="6BCA046F"/>
    <w:rsid w:val="6BCD012A"/>
    <w:rsid w:val="6BD92DB2"/>
    <w:rsid w:val="6BDB3A77"/>
    <w:rsid w:val="6BDD7405"/>
    <w:rsid w:val="6BE26BB3"/>
    <w:rsid w:val="6BF06D56"/>
    <w:rsid w:val="6BF43529"/>
    <w:rsid w:val="6BF6265F"/>
    <w:rsid w:val="6BF9674E"/>
    <w:rsid w:val="6C0B5966"/>
    <w:rsid w:val="6C21592D"/>
    <w:rsid w:val="6C270A6A"/>
    <w:rsid w:val="6C2947E2"/>
    <w:rsid w:val="6C2C1B32"/>
    <w:rsid w:val="6C384A25"/>
    <w:rsid w:val="6C392DBE"/>
    <w:rsid w:val="6C3A69EF"/>
    <w:rsid w:val="6C3C4515"/>
    <w:rsid w:val="6C3D24CB"/>
    <w:rsid w:val="6C3F7B62"/>
    <w:rsid w:val="6C427D60"/>
    <w:rsid w:val="6C4B29AA"/>
    <w:rsid w:val="6C507FC1"/>
    <w:rsid w:val="6C6C46F9"/>
    <w:rsid w:val="6C6C4CB7"/>
    <w:rsid w:val="6C705F6D"/>
    <w:rsid w:val="6C7E6F35"/>
    <w:rsid w:val="6C823EF2"/>
    <w:rsid w:val="6C8D73F3"/>
    <w:rsid w:val="6C9A56E0"/>
    <w:rsid w:val="6C9F2CF6"/>
    <w:rsid w:val="6CA35BF5"/>
    <w:rsid w:val="6CAA5A1A"/>
    <w:rsid w:val="6CD16B0B"/>
    <w:rsid w:val="6CD679B0"/>
    <w:rsid w:val="6CDC3602"/>
    <w:rsid w:val="6CE04B52"/>
    <w:rsid w:val="6CE55E74"/>
    <w:rsid w:val="6CE60925"/>
    <w:rsid w:val="6CF90658"/>
    <w:rsid w:val="6CFB2A58"/>
    <w:rsid w:val="6CFC3CA5"/>
    <w:rsid w:val="6D110371"/>
    <w:rsid w:val="6D147240"/>
    <w:rsid w:val="6D1504AB"/>
    <w:rsid w:val="6D18386D"/>
    <w:rsid w:val="6D1D0CB3"/>
    <w:rsid w:val="6D1E3C1B"/>
    <w:rsid w:val="6D3562CF"/>
    <w:rsid w:val="6D3C7BB3"/>
    <w:rsid w:val="6D3E25DF"/>
    <w:rsid w:val="6D414E52"/>
    <w:rsid w:val="6D422099"/>
    <w:rsid w:val="6D441BB1"/>
    <w:rsid w:val="6D5C2995"/>
    <w:rsid w:val="6D5C347A"/>
    <w:rsid w:val="6D716441"/>
    <w:rsid w:val="6D7B72BF"/>
    <w:rsid w:val="6D7B7719"/>
    <w:rsid w:val="6D806684"/>
    <w:rsid w:val="6D8309BC"/>
    <w:rsid w:val="6D9739CD"/>
    <w:rsid w:val="6D974479"/>
    <w:rsid w:val="6DA505FF"/>
    <w:rsid w:val="6DB36A59"/>
    <w:rsid w:val="6DB56EC5"/>
    <w:rsid w:val="6DB86A97"/>
    <w:rsid w:val="6DC81DD9"/>
    <w:rsid w:val="6DCA3DA3"/>
    <w:rsid w:val="6DD8026E"/>
    <w:rsid w:val="6DDA2238"/>
    <w:rsid w:val="6DDB5FB0"/>
    <w:rsid w:val="6DE22E9A"/>
    <w:rsid w:val="6DE634C7"/>
    <w:rsid w:val="6DE80176"/>
    <w:rsid w:val="6DF75CDE"/>
    <w:rsid w:val="6E0252EB"/>
    <w:rsid w:val="6E0E3C8F"/>
    <w:rsid w:val="6E0F34F4"/>
    <w:rsid w:val="6E176374"/>
    <w:rsid w:val="6E270AAF"/>
    <w:rsid w:val="6E2B3016"/>
    <w:rsid w:val="6E3631E6"/>
    <w:rsid w:val="6E3659C8"/>
    <w:rsid w:val="6E3B3977"/>
    <w:rsid w:val="6E414065"/>
    <w:rsid w:val="6E5754A9"/>
    <w:rsid w:val="6E5A552D"/>
    <w:rsid w:val="6E61402D"/>
    <w:rsid w:val="6E8619B7"/>
    <w:rsid w:val="6E8B52E0"/>
    <w:rsid w:val="6E9248C1"/>
    <w:rsid w:val="6E95615F"/>
    <w:rsid w:val="6EB15012"/>
    <w:rsid w:val="6EC10D02"/>
    <w:rsid w:val="6EC46A44"/>
    <w:rsid w:val="6EC6456A"/>
    <w:rsid w:val="6ED37FBE"/>
    <w:rsid w:val="6ED924EF"/>
    <w:rsid w:val="6EDB4463"/>
    <w:rsid w:val="6EDB7151"/>
    <w:rsid w:val="6EE20EBC"/>
    <w:rsid w:val="6EF2710D"/>
    <w:rsid w:val="6EFC7F8C"/>
    <w:rsid w:val="6EFE06AA"/>
    <w:rsid w:val="6F194DD5"/>
    <w:rsid w:val="6F2311AD"/>
    <w:rsid w:val="6F2723AF"/>
    <w:rsid w:val="6F280D81"/>
    <w:rsid w:val="6F2B6AC3"/>
    <w:rsid w:val="6F382987"/>
    <w:rsid w:val="6F3E05A4"/>
    <w:rsid w:val="6F4B0F13"/>
    <w:rsid w:val="6F4E11B1"/>
    <w:rsid w:val="6F645D23"/>
    <w:rsid w:val="6F667AFB"/>
    <w:rsid w:val="6F6B4D79"/>
    <w:rsid w:val="6F6F0622"/>
    <w:rsid w:val="6F7D24E5"/>
    <w:rsid w:val="6F9603E0"/>
    <w:rsid w:val="6F9C0BD2"/>
    <w:rsid w:val="6FAB550E"/>
    <w:rsid w:val="6FB4551C"/>
    <w:rsid w:val="6FB92D17"/>
    <w:rsid w:val="6FBE4F58"/>
    <w:rsid w:val="6FC80F79"/>
    <w:rsid w:val="6FCE1C76"/>
    <w:rsid w:val="6FD42CB7"/>
    <w:rsid w:val="6FDF7997"/>
    <w:rsid w:val="6FFE1AE2"/>
    <w:rsid w:val="70115CB9"/>
    <w:rsid w:val="70201B65"/>
    <w:rsid w:val="702754DC"/>
    <w:rsid w:val="7027750B"/>
    <w:rsid w:val="70324099"/>
    <w:rsid w:val="7036571F"/>
    <w:rsid w:val="70390D6C"/>
    <w:rsid w:val="703E4D99"/>
    <w:rsid w:val="70497201"/>
    <w:rsid w:val="704C0A9F"/>
    <w:rsid w:val="705942F2"/>
    <w:rsid w:val="705B6F34"/>
    <w:rsid w:val="70622071"/>
    <w:rsid w:val="70651B61"/>
    <w:rsid w:val="706B361B"/>
    <w:rsid w:val="70726596"/>
    <w:rsid w:val="70765B1C"/>
    <w:rsid w:val="708C533F"/>
    <w:rsid w:val="709E6598"/>
    <w:rsid w:val="70BF74C3"/>
    <w:rsid w:val="70CA6C4F"/>
    <w:rsid w:val="70D6080A"/>
    <w:rsid w:val="70EC042A"/>
    <w:rsid w:val="70F353BF"/>
    <w:rsid w:val="70F6140D"/>
    <w:rsid w:val="70F8615D"/>
    <w:rsid w:val="70FB6A8F"/>
    <w:rsid w:val="70FB7200"/>
    <w:rsid w:val="7108284E"/>
    <w:rsid w:val="71095AF2"/>
    <w:rsid w:val="710C022E"/>
    <w:rsid w:val="71115527"/>
    <w:rsid w:val="71130376"/>
    <w:rsid w:val="711B3BC2"/>
    <w:rsid w:val="711E4D19"/>
    <w:rsid w:val="712612F0"/>
    <w:rsid w:val="713A123F"/>
    <w:rsid w:val="716025C6"/>
    <w:rsid w:val="71665B90"/>
    <w:rsid w:val="71693786"/>
    <w:rsid w:val="716A3C25"/>
    <w:rsid w:val="71724535"/>
    <w:rsid w:val="71A00ED1"/>
    <w:rsid w:val="71A1306D"/>
    <w:rsid w:val="71A845E4"/>
    <w:rsid w:val="71A86FC8"/>
    <w:rsid w:val="71B05419"/>
    <w:rsid w:val="71C56D5B"/>
    <w:rsid w:val="71C96D90"/>
    <w:rsid w:val="71CD7A9C"/>
    <w:rsid w:val="71CE611B"/>
    <w:rsid w:val="71D234CA"/>
    <w:rsid w:val="71E5753C"/>
    <w:rsid w:val="71F4319C"/>
    <w:rsid w:val="71F66F14"/>
    <w:rsid w:val="71FE04BF"/>
    <w:rsid w:val="72084E9A"/>
    <w:rsid w:val="72181581"/>
    <w:rsid w:val="721F290F"/>
    <w:rsid w:val="722331C9"/>
    <w:rsid w:val="72236A79"/>
    <w:rsid w:val="72264492"/>
    <w:rsid w:val="722B095D"/>
    <w:rsid w:val="723808EA"/>
    <w:rsid w:val="72383178"/>
    <w:rsid w:val="723914F7"/>
    <w:rsid w:val="723D2D95"/>
    <w:rsid w:val="723E2669"/>
    <w:rsid w:val="7249173A"/>
    <w:rsid w:val="724C2FD8"/>
    <w:rsid w:val="724D0AFE"/>
    <w:rsid w:val="7258197D"/>
    <w:rsid w:val="72681AAA"/>
    <w:rsid w:val="726944D8"/>
    <w:rsid w:val="72725A8D"/>
    <w:rsid w:val="727B566C"/>
    <w:rsid w:val="72823262"/>
    <w:rsid w:val="728A3B01"/>
    <w:rsid w:val="72903DE8"/>
    <w:rsid w:val="729C3F60"/>
    <w:rsid w:val="72A50E51"/>
    <w:rsid w:val="72A7258E"/>
    <w:rsid w:val="72AB7677"/>
    <w:rsid w:val="72AC1CC9"/>
    <w:rsid w:val="72B55050"/>
    <w:rsid w:val="72B666A4"/>
    <w:rsid w:val="72BB015E"/>
    <w:rsid w:val="72CC71A4"/>
    <w:rsid w:val="72D51220"/>
    <w:rsid w:val="72EE5E3E"/>
    <w:rsid w:val="73012015"/>
    <w:rsid w:val="73041B05"/>
    <w:rsid w:val="730E028E"/>
    <w:rsid w:val="730E1B0E"/>
    <w:rsid w:val="73267CCD"/>
    <w:rsid w:val="73351CBE"/>
    <w:rsid w:val="733777E5"/>
    <w:rsid w:val="733817AF"/>
    <w:rsid w:val="733C059F"/>
    <w:rsid w:val="733F35F9"/>
    <w:rsid w:val="734819F2"/>
    <w:rsid w:val="73497518"/>
    <w:rsid w:val="734C3D25"/>
    <w:rsid w:val="735008A6"/>
    <w:rsid w:val="73555EBD"/>
    <w:rsid w:val="73572D10"/>
    <w:rsid w:val="73580CE9"/>
    <w:rsid w:val="7358775B"/>
    <w:rsid w:val="73631921"/>
    <w:rsid w:val="736B09F9"/>
    <w:rsid w:val="7370719A"/>
    <w:rsid w:val="737A3ECB"/>
    <w:rsid w:val="73827BCF"/>
    <w:rsid w:val="738467A2"/>
    <w:rsid w:val="739E7864"/>
    <w:rsid w:val="73A429A0"/>
    <w:rsid w:val="73B057E9"/>
    <w:rsid w:val="73BB61C1"/>
    <w:rsid w:val="73C12307"/>
    <w:rsid w:val="73C57365"/>
    <w:rsid w:val="73CB5901"/>
    <w:rsid w:val="73F24EEE"/>
    <w:rsid w:val="73FC5591"/>
    <w:rsid w:val="741622D7"/>
    <w:rsid w:val="7416564C"/>
    <w:rsid w:val="742064CB"/>
    <w:rsid w:val="74326733"/>
    <w:rsid w:val="74487C30"/>
    <w:rsid w:val="74493C73"/>
    <w:rsid w:val="744C72C0"/>
    <w:rsid w:val="744F4A89"/>
    <w:rsid w:val="74597410"/>
    <w:rsid w:val="74683C8F"/>
    <w:rsid w:val="74786307"/>
    <w:rsid w:val="74833338"/>
    <w:rsid w:val="74847CA9"/>
    <w:rsid w:val="74940C67"/>
    <w:rsid w:val="74A74F34"/>
    <w:rsid w:val="74B4676E"/>
    <w:rsid w:val="74B530B7"/>
    <w:rsid w:val="74B60738"/>
    <w:rsid w:val="74BB3DF6"/>
    <w:rsid w:val="74C46742"/>
    <w:rsid w:val="74D15A17"/>
    <w:rsid w:val="74D27F2D"/>
    <w:rsid w:val="74D60C4B"/>
    <w:rsid w:val="74D9413E"/>
    <w:rsid w:val="74DD44A0"/>
    <w:rsid w:val="74E82953"/>
    <w:rsid w:val="74F040EF"/>
    <w:rsid w:val="74F97952"/>
    <w:rsid w:val="74FA31C0"/>
    <w:rsid w:val="74FA4F6E"/>
    <w:rsid w:val="74FD05BA"/>
    <w:rsid w:val="75093403"/>
    <w:rsid w:val="75097CEE"/>
    <w:rsid w:val="75215851"/>
    <w:rsid w:val="752263F0"/>
    <w:rsid w:val="752B58B2"/>
    <w:rsid w:val="753A04DC"/>
    <w:rsid w:val="753A180E"/>
    <w:rsid w:val="7546405B"/>
    <w:rsid w:val="754B57C9"/>
    <w:rsid w:val="75525022"/>
    <w:rsid w:val="75591972"/>
    <w:rsid w:val="75695C4F"/>
    <w:rsid w:val="756D3991"/>
    <w:rsid w:val="757765BE"/>
    <w:rsid w:val="757840E4"/>
    <w:rsid w:val="757C3BD5"/>
    <w:rsid w:val="75846F2D"/>
    <w:rsid w:val="75971E5D"/>
    <w:rsid w:val="759C4277"/>
    <w:rsid w:val="75AD0232"/>
    <w:rsid w:val="75AF3FAA"/>
    <w:rsid w:val="75C4732A"/>
    <w:rsid w:val="75C66E24"/>
    <w:rsid w:val="75D02172"/>
    <w:rsid w:val="75D03F20"/>
    <w:rsid w:val="75D4756D"/>
    <w:rsid w:val="75E4177A"/>
    <w:rsid w:val="75E4312D"/>
    <w:rsid w:val="75EF084A"/>
    <w:rsid w:val="75F5118C"/>
    <w:rsid w:val="7600778A"/>
    <w:rsid w:val="760360A4"/>
    <w:rsid w:val="761A519B"/>
    <w:rsid w:val="76230F22"/>
    <w:rsid w:val="762B73A9"/>
    <w:rsid w:val="76336F61"/>
    <w:rsid w:val="76397D18"/>
    <w:rsid w:val="763B75EC"/>
    <w:rsid w:val="763D0213"/>
    <w:rsid w:val="766308F1"/>
    <w:rsid w:val="766537ED"/>
    <w:rsid w:val="766F7295"/>
    <w:rsid w:val="767849AA"/>
    <w:rsid w:val="76793006"/>
    <w:rsid w:val="767E29CC"/>
    <w:rsid w:val="76952448"/>
    <w:rsid w:val="76953B71"/>
    <w:rsid w:val="76960CC6"/>
    <w:rsid w:val="769767EC"/>
    <w:rsid w:val="76AF3B36"/>
    <w:rsid w:val="76B24594"/>
    <w:rsid w:val="76B26B33"/>
    <w:rsid w:val="76C27A63"/>
    <w:rsid w:val="76C36F53"/>
    <w:rsid w:val="76C5123F"/>
    <w:rsid w:val="76C53359"/>
    <w:rsid w:val="76C8461F"/>
    <w:rsid w:val="76CB0134"/>
    <w:rsid w:val="76D161A2"/>
    <w:rsid w:val="76D417EE"/>
    <w:rsid w:val="76DB2B7D"/>
    <w:rsid w:val="76E71B10"/>
    <w:rsid w:val="76EB6545"/>
    <w:rsid w:val="76F3560D"/>
    <w:rsid w:val="770D7B77"/>
    <w:rsid w:val="772548DF"/>
    <w:rsid w:val="773A3D47"/>
    <w:rsid w:val="773B1232"/>
    <w:rsid w:val="773C7ABF"/>
    <w:rsid w:val="773D55E5"/>
    <w:rsid w:val="774150D6"/>
    <w:rsid w:val="77556562"/>
    <w:rsid w:val="775C1F10"/>
    <w:rsid w:val="775F1A19"/>
    <w:rsid w:val="776436AA"/>
    <w:rsid w:val="77685D30"/>
    <w:rsid w:val="777A05E8"/>
    <w:rsid w:val="777A78E6"/>
    <w:rsid w:val="778B6351"/>
    <w:rsid w:val="779C4104"/>
    <w:rsid w:val="779E1DF5"/>
    <w:rsid w:val="77A15B74"/>
    <w:rsid w:val="77A411C1"/>
    <w:rsid w:val="77B43AFA"/>
    <w:rsid w:val="77BA4E88"/>
    <w:rsid w:val="77BB21A7"/>
    <w:rsid w:val="77C55B1E"/>
    <w:rsid w:val="77DA2AD5"/>
    <w:rsid w:val="77E43CB3"/>
    <w:rsid w:val="77E51F05"/>
    <w:rsid w:val="77F85C38"/>
    <w:rsid w:val="77FF289B"/>
    <w:rsid w:val="77FF76BB"/>
    <w:rsid w:val="78054355"/>
    <w:rsid w:val="780A371A"/>
    <w:rsid w:val="780D6D66"/>
    <w:rsid w:val="780E2ADE"/>
    <w:rsid w:val="78113F48"/>
    <w:rsid w:val="78146346"/>
    <w:rsid w:val="781B021C"/>
    <w:rsid w:val="781E5814"/>
    <w:rsid w:val="782F4F2E"/>
    <w:rsid w:val="783F0EE9"/>
    <w:rsid w:val="7840538D"/>
    <w:rsid w:val="784917EA"/>
    <w:rsid w:val="785E5813"/>
    <w:rsid w:val="78656076"/>
    <w:rsid w:val="788259A6"/>
    <w:rsid w:val="788809AD"/>
    <w:rsid w:val="78977B88"/>
    <w:rsid w:val="78A13E89"/>
    <w:rsid w:val="78A82F32"/>
    <w:rsid w:val="78AD22F7"/>
    <w:rsid w:val="78B90C9C"/>
    <w:rsid w:val="78C11956"/>
    <w:rsid w:val="78C23FF4"/>
    <w:rsid w:val="78C935D5"/>
    <w:rsid w:val="78E95682"/>
    <w:rsid w:val="78EF46BD"/>
    <w:rsid w:val="78F30652"/>
    <w:rsid w:val="790719B3"/>
    <w:rsid w:val="790C1713"/>
    <w:rsid w:val="791B3704"/>
    <w:rsid w:val="791D7113"/>
    <w:rsid w:val="792410CB"/>
    <w:rsid w:val="79250F94"/>
    <w:rsid w:val="79254583"/>
    <w:rsid w:val="79366790"/>
    <w:rsid w:val="7940675C"/>
    <w:rsid w:val="794519BF"/>
    <w:rsid w:val="794762A8"/>
    <w:rsid w:val="794A5D98"/>
    <w:rsid w:val="795638BF"/>
    <w:rsid w:val="7956473D"/>
    <w:rsid w:val="795C38FA"/>
    <w:rsid w:val="79717606"/>
    <w:rsid w:val="79725A1A"/>
    <w:rsid w:val="797846B3"/>
    <w:rsid w:val="797F0137"/>
    <w:rsid w:val="79960FDD"/>
    <w:rsid w:val="79A260E7"/>
    <w:rsid w:val="79AB034E"/>
    <w:rsid w:val="79B5100C"/>
    <w:rsid w:val="79C36276"/>
    <w:rsid w:val="79E13D7A"/>
    <w:rsid w:val="79E41D48"/>
    <w:rsid w:val="79EF46E1"/>
    <w:rsid w:val="79F006ED"/>
    <w:rsid w:val="79F301DD"/>
    <w:rsid w:val="79F44681"/>
    <w:rsid w:val="7A016D9E"/>
    <w:rsid w:val="7A0233CC"/>
    <w:rsid w:val="7A044DC4"/>
    <w:rsid w:val="7A0559C3"/>
    <w:rsid w:val="7A0F749C"/>
    <w:rsid w:val="7A122D59"/>
    <w:rsid w:val="7A135816"/>
    <w:rsid w:val="7A187C44"/>
    <w:rsid w:val="7A1A22A5"/>
    <w:rsid w:val="7A1E16FE"/>
    <w:rsid w:val="7A3647F1"/>
    <w:rsid w:val="7A412120"/>
    <w:rsid w:val="7A521FBA"/>
    <w:rsid w:val="7A552C46"/>
    <w:rsid w:val="7A5944E4"/>
    <w:rsid w:val="7A5A7945"/>
    <w:rsid w:val="7A61185F"/>
    <w:rsid w:val="7A6A75D9"/>
    <w:rsid w:val="7A6C3F62"/>
    <w:rsid w:val="7A6F1F5A"/>
    <w:rsid w:val="7A725C87"/>
    <w:rsid w:val="7A7430CC"/>
    <w:rsid w:val="7A7C01D3"/>
    <w:rsid w:val="7A7C15F3"/>
    <w:rsid w:val="7A7C5C51"/>
    <w:rsid w:val="7A7E03EF"/>
    <w:rsid w:val="7A8076C1"/>
    <w:rsid w:val="7A886B78"/>
    <w:rsid w:val="7A92610D"/>
    <w:rsid w:val="7A9E283F"/>
    <w:rsid w:val="7AA53BCD"/>
    <w:rsid w:val="7AB12572"/>
    <w:rsid w:val="7AC83418"/>
    <w:rsid w:val="7AC929BC"/>
    <w:rsid w:val="7AD41DBD"/>
    <w:rsid w:val="7ADA4767"/>
    <w:rsid w:val="7AEC7106"/>
    <w:rsid w:val="7AF20495"/>
    <w:rsid w:val="7AF55308"/>
    <w:rsid w:val="7AF720FC"/>
    <w:rsid w:val="7B034450"/>
    <w:rsid w:val="7B064C48"/>
    <w:rsid w:val="7B087CB8"/>
    <w:rsid w:val="7B0A3A31"/>
    <w:rsid w:val="7B2F5245"/>
    <w:rsid w:val="7B31720F"/>
    <w:rsid w:val="7B332F87"/>
    <w:rsid w:val="7B3523B0"/>
    <w:rsid w:val="7B3665D4"/>
    <w:rsid w:val="7B391B36"/>
    <w:rsid w:val="7B466960"/>
    <w:rsid w:val="7B4909FD"/>
    <w:rsid w:val="7B66335D"/>
    <w:rsid w:val="7B6B5AAA"/>
    <w:rsid w:val="7B7B66DC"/>
    <w:rsid w:val="7B845591"/>
    <w:rsid w:val="7BB30003"/>
    <w:rsid w:val="7BB37C24"/>
    <w:rsid w:val="7BC84A63"/>
    <w:rsid w:val="7BE24019"/>
    <w:rsid w:val="7BE75B20"/>
    <w:rsid w:val="7BE81FC4"/>
    <w:rsid w:val="7BF070CA"/>
    <w:rsid w:val="7BF70459"/>
    <w:rsid w:val="7C0152F6"/>
    <w:rsid w:val="7C033160"/>
    <w:rsid w:val="7C077F70"/>
    <w:rsid w:val="7C084414"/>
    <w:rsid w:val="7C091F3A"/>
    <w:rsid w:val="7C0D093F"/>
    <w:rsid w:val="7C0F098D"/>
    <w:rsid w:val="7C142DB9"/>
    <w:rsid w:val="7C18382F"/>
    <w:rsid w:val="7C27445B"/>
    <w:rsid w:val="7C28575B"/>
    <w:rsid w:val="7C36570A"/>
    <w:rsid w:val="7C41457B"/>
    <w:rsid w:val="7C460A98"/>
    <w:rsid w:val="7C4D0079"/>
    <w:rsid w:val="7C5807CC"/>
    <w:rsid w:val="7C5B1067"/>
    <w:rsid w:val="7C630374"/>
    <w:rsid w:val="7C643219"/>
    <w:rsid w:val="7C6453C2"/>
    <w:rsid w:val="7C7E46D6"/>
    <w:rsid w:val="7C8021FC"/>
    <w:rsid w:val="7C8415C1"/>
    <w:rsid w:val="7C8429D6"/>
    <w:rsid w:val="7C945CA8"/>
    <w:rsid w:val="7C975798"/>
    <w:rsid w:val="7C9E6B26"/>
    <w:rsid w:val="7CA25995"/>
    <w:rsid w:val="7CA60D68"/>
    <w:rsid w:val="7CAF2AE1"/>
    <w:rsid w:val="7CAF4890"/>
    <w:rsid w:val="7CBA5CEB"/>
    <w:rsid w:val="7CD824D6"/>
    <w:rsid w:val="7CEA78D0"/>
    <w:rsid w:val="7CFD1A9F"/>
    <w:rsid w:val="7D034BDB"/>
    <w:rsid w:val="7D0746CC"/>
    <w:rsid w:val="7D1B2BCF"/>
    <w:rsid w:val="7D1C1160"/>
    <w:rsid w:val="7D2012E9"/>
    <w:rsid w:val="7D32604F"/>
    <w:rsid w:val="7D382AD7"/>
    <w:rsid w:val="7D3B2F9B"/>
    <w:rsid w:val="7D464AE5"/>
    <w:rsid w:val="7D4B440E"/>
    <w:rsid w:val="7D4E40A8"/>
    <w:rsid w:val="7D545437"/>
    <w:rsid w:val="7D560BE5"/>
    <w:rsid w:val="7D56779A"/>
    <w:rsid w:val="7D574D7D"/>
    <w:rsid w:val="7D5D44CB"/>
    <w:rsid w:val="7D697E7F"/>
    <w:rsid w:val="7D6A07B6"/>
    <w:rsid w:val="7D6E02A7"/>
    <w:rsid w:val="7D72619C"/>
    <w:rsid w:val="7D755AD9"/>
    <w:rsid w:val="7D9A5540"/>
    <w:rsid w:val="7DBE2549"/>
    <w:rsid w:val="7DCE6F97"/>
    <w:rsid w:val="7DD30A52"/>
    <w:rsid w:val="7DD722F0"/>
    <w:rsid w:val="7DDD367E"/>
    <w:rsid w:val="7DE71D15"/>
    <w:rsid w:val="7DEB41A6"/>
    <w:rsid w:val="7DF10ED8"/>
    <w:rsid w:val="7DF52776"/>
    <w:rsid w:val="7DFD787D"/>
    <w:rsid w:val="7E0B1F99"/>
    <w:rsid w:val="7E0E79B2"/>
    <w:rsid w:val="7E1213C5"/>
    <w:rsid w:val="7E1626EC"/>
    <w:rsid w:val="7E166671"/>
    <w:rsid w:val="7E257F27"/>
    <w:rsid w:val="7E2608D0"/>
    <w:rsid w:val="7E260B81"/>
    <w:rsid w:val="7E3B58DD"/>
    <w:rsid w:val="7E3E431A"/>
    <w:rsid w:val="7E3F60E7"/>
    <w:rsid w:val="7E411557"/>
    <w:rsid w:val="7E4159BB"/>
    <w:rsid w:val="7E5073C7"/>
    <w:rsid w:val="7E6478FC"/>
    <w:rsid w:val="7E6D68CE"/>
    <w:rsid w:val="7E747B3F"/>
    <w:rsid w:val="7E794B0E"/>
    <w:rsid w:val="7E865AC4"/>
    <w:rsid w:val="7E8A55B4"/>
    <w:rsid w:val="7E9052F2"/>
    <w:rsid w:val="7E975577"/>
    <w:rsid w:val="7E991353"/>
    <w:rsid w:val="7EA21013"/>
    <w:rsid w:val="7EA5787A"/>
    <w:rsid w:val="7EA85A3A"/>
    <w:rsid w:val="7EAC021B"/>
    <w:rsid w:val="7EBD6BC8"/>
    <w:rsid w:val="7EBE59BF"/>
    <w:rsid w:val="7ECA2F29"/>
    <w:rsid w:val="7ECF6194"/>
    <w:rsid w:val="7ED7408D"/>
    <w:rsid w:val="7EDE76AE"/>
    <w:rsid w:val="7EE34CC4"/>
    <w:rsid w:val="7EEC1DCB"/>
    <w:rsid w:val="7EFB4F6E"/>
    <w:rsid w:val="7F0709B3"/>
    <w:rsid w:val="7F121EC9"/>
    <w:rsid w:val="7F13078A"/>
    <w:rsid w:val="7F1906E6"/>
    <w:rsid w:val="7F1B7FBA"/>
    <w:rsid w:val="7F297A01"/>
    <w:rsid w:val="7F2C13EE"/>
    <w:rsid w:val="7F4514DB"/>
    <w:rsid w:val="7F49284B"/>
    <w:rsid w:val="7F50176F"/>
    <w:rsid w:val="7F536173"/>
    <w:rsid w:val="7F592778"/>
    <w:rsid w:val="7F637BB3"/>
    <w:rsid w:val="7F645E05"/>
    <w:rsid w:val="7F6851CA"/>
    <w:rsid w:val="7F6B0F97"/>
    <w:rsid w:val="7F6D458E"/>
    <w:rsid w:val="7F743B6E"/>
    <w:rsid w:val="7F777DF7"/>
    <w:rsid w:val="7F7D0C75"/>
    <w:rsid w:val="7F903EE6"/>
    <w:rsid w:val="7F930A2D"/>
    <w:rsid w:val="7F957AB9"/>
    <w:rsid w:val="7F9F0E2D"/>
    <w:rsid w:val="7FA16F1B"/>
    <w:rsid w:val="7FA411F7"/>
    <w:rsid w:val="7FA426A6"/>
    <w:rsid w:val="7FAC3308"/>
    <w:rsid w:val="7FC76394"/>
    <w:rsid w:val="7FCF0A6D"/>
    <w:rsid w:val="7FD34D39"/>
    <w:rsid w:val="7FD54E8C"/>
    <w:rsid w:val="7FD87637"/>
    <w:rsid w:val="7FE35C88"/>
    <w:rsid w:val="7FF16F6D"/>
    <w:rsid w:val="7FF94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qFormat/>
    <w:uiPriority w:val="9"/>
    <w:pPr>
      <w:keepNext/>
      <w:keepLines/>
      <w:spacing w:before="480" w:after="80"/>
      <w:outlineLvl w:val="0"/>
    </w:pPr>
    <w:rPr>
      <w:rFonts w:asciiTheme="majorHAnsi" w:hAnsiTheme="majorHAnsi" w:eastAsiaTheme="majorEastAsia" w:cstheme="majorBidi"/>
      <w:color w:val="2E54A1" w:themeColor="accent1" w:themeShade="BF"/>
      <w:sz w:val="48"/>
      <w:szCs w:val="48"/>
    </w:rPr>
  </w:style>
  <w:style w:type="paragraph" w:styleId="4">
    <w:name w:val="heading 2"/>
    <w:basedOn w:val="1"/>
    <w:next w:val="1"/>
    <w:unhideWhenUsed/>
    <w:qFormat/>
    <w:uiPriority w:val="9"/>
    <w:pPr>
      <w:keepNext/>
      <w:keepLines/>
      <w:spacing w:before="160" w:after="80"/>
      <w:outlineLvl w:val="1"/>
    </w:pPr>
    <w:rPr>
      <w:rFonts w:asciiTheme="majorHAnsi" w:hAnsiTheme="majorHAnsi" w:eastAsiaTheme="majorEastAsia" w:cstheme="majorBidi"/>
      <w:color w:val="2E54A1" w:themeColor="accent1" w:themeShade="BF"/>
      <w:sz w:val="40"/>
      <w:szCs w:val="40"/>
    </w:rPr>
  </w:style>
  <w:style w:type="character" w:default="1" w:styleId="12">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unhideWhenUsed/>
    <w:qFormat/>
    <w:uiPriority w:val="99"/>
    <w:pPr>
      <w:spacing w:after="120" w:line="480" w:lineRule="auto"/>
      <w:ind w:left="420" w:leftChars="200"/>
    </w:pPr>
  </w:style>
  <w:style w:type="paragraph" w:styleId="5">
    <w:name w:val="annotation text"/>
    <w:basedOn w:val="1"/>
    <w:qFormat/>
    <w:uiPriority w:val="0"/>
    <w:pPr>
      <w:jc w:val="left"/>
    </w:pPr>
  </w:style>
  <w:style w:type="paragraph" w:styleId="6">
    <w:name w:val="Body Text"/>
    <w:basedOn w:val="1"/>
    <w:next w:val="1"/>
    <w:qFormat/>
    <w:uiPriority w:val="0"/>
    <w:pPr>
      <w:spacing w:after="160" w:line="278" w:lineRule="auto"/>
    </w:pPr>
    <w:rPr>
      <w:rFonts w:eastAsia="仿宋_GB2312"/>
      <w:sz w:val="32"/>
      <w:szCs w:val="24"/>
    </w:rPr>
  </w:style>
  <w:style w:type="paragraph" w:styleId="7">
    <w:name w:val="footer"/>
    <w:basedOn w:val="1"/>
    <w:unhideWhenUsed/>
    <w:qFormat/>
    <w:uiPriority w:val="99"/>
    <w:pPr>
      <w:tabs>
        <w:tab w:val="center" w:pos="4153"/>
        <w:tab w:val="right" w:pos="8306"/>
      </w:tabs>
      <w:snapToGrid w:val="0"/>
      <w:jc w:val="left"/>
    </w:pPr>
    <w:rPr>
      <w:sz w:val="18"/>
      <w:szCs w:val="18"/>
    </w:rPr>
  </w:style>
  <w:style w:type="paragraph" w:styleId="8">
    <w:name w:val="header"/>
    <w:basedOn w:val="1"/>
    <w:unhideWhenUsed/>
    <w:qFormat/>
    <w:uiPriority w:val="99"/>
    <w:pP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toc 2"/>
    <w:basedOn w:val="1"/>
    <w:next w:val="1"/>
    <w:qFormat/>
    <w:uiPriority w:val="39"/>
    <w:pPr>
      <w:ind w:left="420" w:leftChars="200"/>
    </w:pPr>
  </w:style>
  <w:style w:type="character" w:styleId="13">
    <w:name w:val="Strong"/>
    <w:basedOn w:val="12"/>
    <w:qFormat/>
    <w:uiPriority w:val="0"/>
    <w:rPr>
      <w:b/>
    </w:rPr>
  </w:style>
  <w:style w:type="character" w:styleId="14">
    <w:name w:val="Hyperlink"/>
    <w:basedOn w:val="12"/>
    <w:qFormat/>
    <w:uiPriority w:val="99"/>
    <w:rPr>
      <w:color w:val="0026E5" w:themeColor="hyperlink"/>
      <w:u w:val="single"/>
      <w14:textFill>
        <w14:solidFill>
          <w14:schemeClr w14:val="hlink"/>
        </w14:solidFill>
      </w14:textFill>
    </w:rPr>
  </w:style>
  <w:style w:type="character" w:styleId="15">
    <w:name w:val="annotation reference"/>
    <w:basedOn w:val="12"/>
    <w:qFormat/>
    <w:uiPriority w:val="0"/>
    <w:rPr>
      <w:sz w:val="21"/>
      <w:szCs w:val="21"/>
    </w:rPr>
  </w:style>
  <w:style w:type="paragraph" w:customStyle="1" w:styleId="16">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26124</Words>
  <Characters>26315</Characters>
  <Lines>231</Lines>
  <Paragraphs>65</Paragraphs>
  <TotalTime>4</TotalTime>
  <ScaleCrop>false</ScaleCrop>
  <LinksUpToDate>false</LinksUpToDate>
  <CharactersWithSpaces>26687</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2026-03-26T03:46:00Z</dcterms:created>
  <dc:creator>Administrator</dc:creator>
  <cp:lastModifiedBy>李先军</cp:lastModifiedBy>
  <cp:lastPrinted>2026-05-12T00:53:00Z</cp:lastPrinted>
  <dcterms:modified xsi:type="dcterms:W3CDTF">2026-05-19T09:47:58Z</dcterms:modified>
  <cp:revision>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eyJoZGlkIjoiNTdkMmU1NWY2MmYxMDRmMGFlM2E1MWQ4YTc4NjBiYjUiLCJ1c2VySWQiOiI1MDc3MjQ3ODUifQ==</vt:lpwstr>
  </property>
  <property fmtid="{D5CDD505-2E9C-101B-9397-08002B2CF9AE}" pid="4" name="ICV">
    <vt:lpwstr>B538407B52E741389D6B88BD5D09F1DE_13</vt:lpwstr>
  </property>
</Properties>
</file>