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kinsoku w:val="0"/>
        <w:autoSpaceDE w:val="0"/>
        <w:autoSpaceDN w:val="0"/>
        <w:adjustRightInd w:val="0"/>
        <w:snapToGrid w:val="0"/>
        <w:spacing w:beforeAutospacing="1" w:after="0"/>
        <w:ind w:firstLine="0" w:firstLineChars="0"/>
        <w:jc w:val="both"/>
        <w:textAlignment w:val="baseline"/>
        <w:rPr>
          <w:rFonts w:hint="default" w:ascii="黑体" w:hAnsi="宋体" w:eastAsia="黑体" w:cs="黑体"/>
          <w:color w:val="000000" w:themeColor="text1"/>
          <w:sz w:val="32"/>
          <w:szCs w:val="32"/>
          <w14:textFill>
            <w14:solidFill>
              <w14:schemeClr w14:val="tx1"/>
            </w14:solidFill>
          </w14:textFill>
        </w:rPr>
      </w:pPr>
      <w:r>
        <w:rPr>
          <w:rFonts w:ascii="黑体" w:hAnsi="宋体" w:eastAsia="黑体" w:cs="黑体"/>
          <w:color w:val="000000" w:themeColor="text1"/>
          <w:sz w:val="32"/>
          <w:szCs w:val="32"/>
          <w14:textFill>
            <w14:solidFill>
              <w14:schemeClr w14:val="tx1"/>
            </w14:solidFill>
          </w14:textFill>
        </w:rPr>
        <w:t>附件1</w:t>
      </w:r>
    </w:p>
    <w:p>
      <w:pPr>
        <w:pStyle w:val="23"/>
        <w:widowControl/>
        <w:kinsoku w:val="0"/>
        <w:autoSpaceDE w:val="0"/>
        <w:autoSpaceDN w:val="0"/>
        <w:adjustRightInd w:val="0"/>
        <w:snapToGrid w:val="0"/>
        <w:spacing w:beforeAutospacing="1" w:after="0" w:line="480" w:lineRule="auto"/>
        <w:ind w:firstLine="0" w:firstLineChars="0"/>
        <w:textAlignment w:val="baseline"/>
        <w:rPr>
          <w:rFonts w:hint="default" w:ascii="微软雅黑" w:hAnsi="微软雅黑" w:eastAsia="微软雅黑" w:cs="微软雅黑"/>
          <w:color w:val="000000" w:themeColor="text1"/>
          <w:sz w:val="44"/>
          <w:szCs w:val="44"/>
          <w14:textFill>
            <w14:solidFill>
              <w14:schemeClr w14:val="tx1"/>
            </w14:solidFill>
          </w14:textFill>
        </w:rPr>
      </w:pPr>
    </w:p>
    <w:p>
      <w:pPr>
        <w:ind w:firstLine="0" w:firstLineChars="0"/>
        <w:rPr>
          <w:rFonts w:ascii="等线" w:hAnsi="等线" w:eastAsia="等线" w:cs="Times New Roman"/>
          <w:color w:val="000000" w:themeColor="text1"/>
          <w:sz w:val="21"/>
          <w:szCs w:val="21"/>
          <w14:textFill>
            <w14:solidFill>
              <w14:schemeClr w14:val="tx1"/>
            </w14:solidFill>
          </w14:textFill>
        </w:rPr>
      </w:pPr>
    </w:p>
    <w:p>
      <w:pPr>
        <w:pStyle w:val="23"/>
        <w:widowControl/>
        <w:kinsoku w:val="0"/>
        <w:autoSpaceDE w:val="0"/>
        <w:autoSpaceDN w:val="0"/>
        <w:adjustRightInd w:val="0"/>
        <w:snapToGrid w:val="0"/>
        <w:spacing w:beforeAutospacing="1" w:after="0"/>
        <w:ind w:firstLine="0" w:firstLineChars="0"/>
        <w:textAlignment w:val="baseline"/>
        <w:rPr>
          <w:rFonts w:hint="default" w:ascii="方正小标宋简体" w:hAnsi="方正小标宋简体" w:eastAsia="方正小标宋简体" w:cs="方正小标宋简体"/>
          <w:color w:val="000000" w:themeColor="text1"/>
          <w:sz w:val="44"/>
          <w:szCs w:val="44"/>
          <w14:textFill>
            <w14:solidFill>
              <w14:schemeClr w14:val="tx1"/>
            </w14:solidFill>
          </w14:textFill>
        </w:rPr>
      </w:pPr>
      <w:r>
        <w:rPr>
          <w:rFonts w:ascii="方正小标宋简体" w:hAnsi="方正小标宋简体" w:eastAsia="方正小标宋简体" w:cs="方正小标宋简体"/>
          <w:color w:val="000000" w:themeColor="text1"/>
          <w:sz w:val="44"/>
          <w:szCs w:val="44"/>
          <w14:textFill>
            <w14:solidFill>
              <w14:schemeClr w14:val="tx1"/>
            </w14:solidFill>
          </w14:textFill>
        </w:rPr>
        <w:t>北京城市副中心（通州区）“十五五”时期</w:t>
      </w:r>
    </w:p>
    <w:p>
      <w:pPr>
        <w:pStyle w:val="23"/>
        <w:widowControl/>
        <w:kinsoku w:val="0"/>
        <w:autoSpaceDE w:val="0"/>
        <w:autoSpaceDN w:val="0"/>
        <w:adjustRightInd w:val="0"/>
        <w:snapToGrid w:val="0"/>
        <w:spacing w:beforeAutospacing="1" w:after="0"/>
        <w:ind w:firstLine="0" w:firstLineChars="0"/>
        <w:textAlignment w:val="baseline"/>
        <w:rPr>
          <w:rFonts w:hint="default" w:ascii="方正小标宋简体" w:hAnsi="方正小标宋简体" w:eastAsia="方正小标宋简体" w:cs="方正小标宋简体"/>
          <w:color w:val="000000" w:themeColor="text1"/>
          <w:sz w:val="44"/>
          <w:szCs w:val="44"/>
          <w14:textFill>
            <w14:solidFill>
              <w14:schemeClr w14:val="tx1"/>
            </w14:solidFill>
          </w14:textFill>
        </w:rPr>
      </w:pPr>
      <w:r>
        <w:rPr>
          <w:rFonts w:ascii="方正小标宋简体" w:hAnsi="方正小标宋简体" w:eastAsia="方正小标宋简体" w:cs="方正小标宋简体"/>
          <w:color w:val="000000" w:themeColor="text1"/>
          <w:sz w:val="44"/>
          <w:szCs w:val="44"/>
          <w14:textFill>
            <w14:solidFill>
              <w14:schemeClr w14:val="tx1"/>
            </w14:solidFill>
          </w14:textFill>
        </w:rPr>
        <w:t>产业发展规划</w:t>
      </w:r>
    </w:p>
    <w:p>
      <w:pPr>
        <w:pStyle w:val="23"/>
        <w:widowControl/>
        <w:spacing w:beforeAutospacing="1" w:after="0"/>
        <w:ind w:firstLine="0" w:firstLineChars="0"/>
        <w:rPr>
          <w:rFonts w:hint="default" w:ascii="方正小标宋简体" w:hAnsi="方正小标宋简体" w:eastAsia="方正小标宋简体" w:cs="方正小标宋简体"/>
          <w:color w:val="000000" w:themeColor="text1"/>
          <w:sz w:val="44"/>
          <w:szCs w:val="44"/>
          <w14:textFill>
            <w14:solidFill>
              <w14:schemeClr w14:val="tx1"/>
            </w14:solidFill>
          </w14:textFill>
        </w:rPr>
      </w:pPr>
      <w:r>
        <w:rPr>
          <w:rFonts w:ascii="方正小标宋简体" w:hAnsi="方正小标宋简体" w:eastAsia="方正小标宋简体" w:cs="方正小标宋简体"/>
          <w:color w:val="000000" w:themeColor="text1"/>
          <w:sz w:val="44"/>
          <w:szCs w:val="44"/>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征求意见</w:t>
      </w:r>
      <w:r>
        <w:rPr>
          <w:rFonts w:ascii="方正小标宋简体" w:hAnsi="方正小标宋简体" w:eastAsia="方正小标宋简体" w:cs="方正小标宋简体"/>
          <w:color w:val="000000" w:themeColor="text1"/>
          <w:sz w:val="44"/>
          <w:szCs w:val="44"/>
          <w14:textFill>
            <w14:solidFill>
              <w14:schemeClr w14:val="tx1"/>
            </w14:solidFill>
          </w14:textFill>
        </w:rPr>
        <w:t>稿）</w:t>
      </w:r>
    </w:p>
    <w:p>
      <w:pPr>
        <w:pStyle w:val="23"/>
        <w:widowControl/>
        <w:spacing w:beforeAutospacing="1" w:after="0"/>
        <w:ind w:firstLine="0" w:firstLineChars="0"/>
        <w:rPr>
          <w:rFonts w:hint="default" w:ascii="方正小标宋简体" w:hAnsi="方正小标宋简体" w:eastAsia="方正小标宋简体" w:cs="方正小标宋简体"/>
          <w:color w:val="000000" w:themeColor="text1"/>
          <w:sz w:val="44"/>
          <w:szCs w:val="44"/>
          <w14:textFill>
            <w14:solidFill>
              <w14:schemeClr w14:val="tx1"/>
            </w14:solidFill>
          </w14:textFill>
        </w:rPr>
      </w:pPr>
    </w:p>
    <w:p>
      <w:pPr>
        <w:pStyle w:val="23"/>
        <w:widowControl/>
        <w:spacing w:beforeAutospacing="1" w:after="0"/>
        <w:ind w:firstLine="0" w:firstLineChars="0"/>
        <w:rPr>
          <w:rFonts w:hint="default" w:ascii="方正小标宋简体" w:hAnsi="方正小标宋简体" w:eastAsia="方正小标宋简体" w:cs="方正小标宋简体"/>
          <w:color w:val="000000" w:themeColor="text1"/>
          <w:sz w:val="44"/>
          <w:szCs w:val="44"/>
          <w14:textFill>
            <w14:solidFill>
              <w14:schemeClr w14:val="tx1"/>
            </w14:solidFill>
          </w14:textFill>
        </w:rPr>
      </w:pPr>
    </w:p>
    <w:p>
      <w:pPr>
        <w:pStyle w:val="23"/>
        <w:widowControl/>
        <w:spacing w:beforeAutospacing="1" w:after="0"/>
        <w:ind w:firstLine="0" w:firstLineChars="0"/>
        <w:rPr>
          <w:rFonts w:hint="default" w:ascii="方正小标宋简体" w:hAnsi="方正小标宋简体" w:eastAsia="方正小标宋简体" w:cs="方正小标宋简体"/>
          <w:color w:val="000000" w:themeColor="text1"/>
          <w:sz w:val="44"/>
          <w:szCs w:val="44"/>
          <w14:textFill>
            <w14:solidFill>
              <w14:schemeClr w14:val="tx1"/>
            </w14:solidFill>
          </w14:textFill>
        </w:rPr>
      </w:pPr>
    </w:p>
    <w:p>
      <w:pPr>
        <w:pStyle w:val="23"/>
        <w:widowControl/>
        <w:spacing w:beforeAutospacing="1" w:after="0"/>
        <w:ind w:firstLine="0" w:firstLineChars="0"/>
        <w:rPr>
          <w:rFonts w:hint="default" w:ascii="方正小标宋简体" w:hAnsi="方正小标宋简体" w:eastAsia="方正小标宋简体" w:cs="方正小标宋简体"/>
          <w:color w:val="000000" w:themeColor="text1"/>
          <w:sz w:val="44"/>
          <w:szCs w:val="44"/>
          <w14:textFill>
            <w14:solidFill>
              <w14:schemeClr w14:val="tx1"/>
            </w14:solidFill>
          </w14:textFill>
        </w:rPr>
      </w:pPr>
    </w:p>
    <w:p>
      <w:pPr>
        <w:pStyle w:val="23"/>
        <w:widowControl/>
        <w:spacing w:beforeAutospacing="1" w:after="0"/>
        <w:ind w:firstLine="0" w:firstLineChars="0"/>
        <w:rPr>
          <w:rFonts w:hint="default" w:ascii="方正小标宋简体" w:hAnsi="方正小标宋简体" w:eastAsia="方正小标宋简体" w:cs="方正小标宋简体"/>
          <w:color w:val="000000" w:themeColor="text1"/>
          <w:sz w:val="44"/>
          <w:szCs w:val="44"/>
          <w14:textFill>
            <w14:solidFill>
              <w14:schemeClr w14:val="tx1"/>
            </w14:solidFill>
          </w14:textFill>
        </w:rPr>
      </w:pPr>
    </w:p>
    <w:p>
      <w:pPr>
        <w:pStyle w:val="23"/>
        <w:widowControl/>
        <w:spacing w:beforeAutospacing="1" w:after="0"/>
        <w:ind w:firstLine="0" w:firstLineChars="0"/>
        <w:rPr>
          <w:rFonts w:hint="default" w:ascii="方正小标宋简体" w:hAnsi="方正小标宋简体" w:eastAsia="方正小标宋简体" w:cs="方正小标宋简体"/>
          <w:color w:val="000000" w:themeColor="text1"/>
          <w:sz w:val="44"/>
          <w:szCs w:val="44"/>
          <w14:textFill>
            <w14:solidFill>
              <w14:schemeClr w14:val="tx1"/>
            </w14:solidFill>
          </w14:textFill>
        </w:rPr>
      </w:pPr>
    </w:p>
    <w:p>
      <w:pPr>
        <w:pStyle w:val="23"/>
        <w:widowControl/>
        <w:spacing w:beforeAutospacing="1" w:after="0"/>
        <w:ind w:firstLine="0" w:firstLineChars="0"/>
        <w:rPr>
          <w:rFonts w:hint="default" w:ascii="方正小标宋简体" w:hAnsi="方正小标宋简体" w:eastAsia="方正小标宋简体" w:cs="方正小标宋简体"/>
          <w:color w:val="000000" w:themeColor="text1"/>
          <w:sz w:val="44"/>
          <w:szCs w:val="44"/>
          <w14:textFill>
            <w14:solidFill>
              <w14:schemeClr w14:val="tx1"/>
            </w14:solidFill>
          </w14:textFill>
        </w:rPr>
      </w:pPr>
    </w:p>
    <w:p>
      <w:pPr>
        <w:pStyle w:val="23"/>
        <w:widowControl/>
        <w:spacing w:beforeAutospacing="1" w:after="0"/>
        <w:ind w:firstLine="0" w:firstLineChars="0"/>
        <w:rPr>
          <w:rFonts w:hint="default" w:ascii="方正小标宋简体" w:hAnsi="方正小标宋简体" w:eastAsia="方正小标宋简体" w:cs="方正小标宋简体"/>
          <w:color w:val="000000" w:themeColor="text1"/>
          <w:sz w:val="44"/>
          <w:szCs w:val="44"/>
          <w14:textFill>
            <w14:solidFill>
              <w14:schemeClr w14:val="tx1"/>
            </w14:solidFill>
          </w14:textFill>
        </w:rPr>
      </w:pPr>
    </w:p>
    <w:p>
      <w:pPr>
        <w:pStyle w:val="23"/>
        <w:widowControl/>
        <w:spacing w:beforeAutospacing="1" w:after="0"/>
        <w:ind w:firstLine="0" w:firstLineChars="0"/>
        <w:rPr>
          <w:rFonts w:hint="default" w:ascii="方正小标宋简体" w:hAnsi="方正小标宋简体" w:eastAsia="方正小标宋简体" w:cs="方正小标宋简体"/>
          <w:color w:val="000000" w:themeColor="text1"/>
          <w:sz w:val="44"/>
          <w:szCs w:val="44"/>
          <w14:textFill>
            <w14:solidFill>
              <w14:schemeClr w14:val="tx1"/>
            </w14:solidFill>
          </w14:textFill>
        </w:rPr>
      </w:pPr>
    </w:p>
    <w:p>
      <w:pPr>
        <w:pStyle w:val="23"/>
        <w:widowControl/>
        <w:spacing w:beforeAutospacing="1" w:after="0" w:line="240" w:lineRule="auto"/>
        <w:ind w:firstLine="1500" w:firstLineChars="500"/>
        <w:jc w:val="both"/>
        <w:rPr>
          <w:rFonts w:hint="default" w:ascii="仿宋_GB2312" w:hAnsi="仿宋_GB2312" w:eastAsia="仿宋_GB2312" w:cs="仿宋_GB2312"/>
          <w:color w:val="000000" w:themeColor="text1"/>
          <w:sz w:val="32"/>
          <w:szCs w:val="32"/>
          <w:lang w:bidi="ar"/>
          <w14:textFill>
            <w14:solidFill>
              <w14:schemeClr w14:val="tx1"/>
            </w14:solidFill>
          </w14:textFill>
        </w:rPr>
      </w:pPr>
    </w:p>
    <w:p>
      <w:pPr>
        <w:pStyle w:val="23"/>
        <w:widowControl/>
        <w:spacing w:beforeAutospacing="1" w:after="0" w:line="240" w:lineRule="auto"/>
        <w:ind w:firstLine="1500" w:firstLineChars="500"/>
        <w:jc w:val="both"/>
        <w:rPr>
          <w:rFonts w:hint="default" w:ascii="仿宋_GB2312" w:hAnsi="仿宋_GB2312" w:eastAsia="仿宋_GB2312" w:cs="仿宋_GB2312"/>
          <w:color w:val="000000" w:themeColor="text1"/>
          <w:sz w:val="32"/>
          <w:szCs w:val="32"/>
          <w:lang w:bidi="ar"/>
          <w14:textFill>
            <w14:solidFill>
              <w14:schemeClr w14:val="tx1"/>
            </w14:solidFill>
          </w14:textFill>
        </w:rPr>
      </w:pPr>
    </w:p>
    <w:p>
      <w:pPr>
        <w:pStyle w:val="23"/>
        <w:widowControl/>
        <w:spacing w:beforeAutospacing="1" w:after="0" w:line="240" w:lineRule="auto"/>
        <w:ind w:firstLine="3013" w:firstLineChars="1000"/>
        <w:jc w:val="both"/>
        <w:rPr>
          <w:rFonts w:hint="default" w:ascii="仿宋_GB2312" w:hAnsi="仿宋_GB2312" w:eastAsia="仿宋_GB2312" w:cs="仿宋_GB2312"/>
          <w:b/>
          <w:bCs/>
          <w:color w:val="000000" w:themeColor="text1"/>
          <w:sz w:val="32"/>
          <w:szCs w:val="32"/>
          <w:lang w:bidi="ar"/>
          <w14:textFill>
            <w14:solidFill>
              <w14:schemeClr w14:val="tx1"/>
            </w14:solidFill>
          </w14:textFill>
        </w:rPr>
      </w:pPr>
    </w:p>
    <w:p>
      <w:pPr>
        <w:pStyle w:val="23"/>
        <w:widowControl/>
        <w:spacing w:beforeAutospacing="1" w:after="0" w:line="240" w:lineRule="auto"/>
        <w:ind w:firstLine="0" w:firstLineChars="0"/>
        <w:rPr>
          <w:rFonts w:hint="default" w:ascii="方正小标宋简体" w:hAnsi="方正小标宋简体" w:eastAsia="方正小标宋简体" w:cs="方正小标宋简体"/>
          <w:color w:val="000000" w:themeColor="text1"/>
          <w:sz w:val="40"/>
          <w:szCs w:val="40"/>
          <w:lang w:bidi="ar"/>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NumType w:fmt="numberInDash"/>
          <w:cols w:space="425" w:num="1"/>
          <w:docGrid w:type="lines" w:linePitch="312" w:charSpace="0"/>
        </w:sectPr>
      </w:pPr>
      <w:r>
        <w:rPr>
          <w:rFonts w:ascii="方正小标宋简体" w:hAnsi="方正小标宋简体" w:eastAsia="方正小标宋简体" w:cs="方正小标宋简体"/>
          <w:color w:val="000000" w:themeColor="text1"/>
          <w:sz w:val="40"/>
          <w:szCs w:val="40"/>
          <w:lang w:bidi="ar"/>
          <w14:textFill>
            <w14:solidFill>
              <w14:schemeClr w14:val="tx1"/>
            </w14:solidFill>
          </w14:textFill>
        </w:rPr>
        <w:t>2026年5月</w:t>
      </w:r>
    </w:p>
    <w:p>
      <w:pPr>
        <w:widowControl/>
        <w:ind w:firstLine="0" w:firstLineChars="0"/>
        <w:jc w:val="center"/>
        <w:rPr>
          <w:rFonts w:ascii="黑体" w:hAnsi="宋体" w:eastAsia="黑体" w:cs="仿宋_GB2312"/>
          <w:b/>
          <w:bCs/>
          <w:color w:val="000000" w:themeColor="text1"/>
          <w:sz w:val="36"/>
          <w:szCs w:val="36"/>
          <w14:textFill>
            <w14:solidFill>
              <w14:schemeClr w14:val="tx1"/>
            </w14:solidFill>
          </w14:textFill>
        </w:rPr>
      </w:pPr>
      <w:r>
        <w:rPr>
          <w:rFonts w:hint="eastAsia" w:ascii="黑体" w:hAnsi="宋体" w:eastAsia="黑体" w:cs="黑体"/>
          <w:b/>
          <w:bCs/>
          <w:color w:val="000000" w:themeColor="text1"/>
          <w:sz w:val="36"/>
          <w:szCs w:val="36"/>
          <w:lang w:bidi="ar"/>
          <w14:textFill>
            <w14:solidFill>
              <w14:schemeClr w14:val="tx1"/>
            </w14:solidFill>
          </w14:textFill>
        </w:rPr>
        <w:t>前  言</w:t>
      </w:r>
    </w:p>
    <w:p>
      <w:pPr>
        <w:widowControl/>
        <w:ind w:firstLine="640"/>
        <w:jc w:val="left"/>
        <w:rPr>
          <w:rFonts w:ascii="仿宋_GB2312" w:eastAsia="等线" w:cs="仿宋_GB2312"/>
          <w:b/>
          <w:bCs/>
          <w:color w:val="000000" w:themeColor="text1"/>
          <w:szCs w:val="32"/>
          <w14:textFill>
            <w14:solidFill>
              <w14:schemeClr w14:val="tx1"/>
            </w14:solidFill>
          </w14:textFill>
        </w:rPr>
      </w:pPr>
    </w:p>
    <w:p>
      <w:pPr>
        <w:widowControl/>
        <w:ind w:firstLine="640"/>
        <w:rPr>
          <w:rFonts w:ascii="仿宋_GB2312" w:hAnsi="等线" w:cs="仿宋_GB2312"/>
          <w:color w:val="000000" w:themeColor="text1"/>
          <w:szCs w:val="32"/>
          <w:lang w:bidi="ar"/>
          <w14:textFill>
            <w14:solidFill>
              <w14:schemeClr w14:val="tx1"/>
            </w14:solidFill>
          </w14:textFill>
        </w:rPr>
      </w:pPr>
      <w:r>
        <w:rPr>
          <w:rFonts w:hint="eastAsia" w:ascii="仿宋_GB2312" w:hAnsi="等线" w:cs="仿宋_GB2312"/>
          <w:color w:val="000000" w:themeColor="text1"/>
          <w:szCs w:val="32"/>
          <w:lang w:bidi="ar"/>
          <w14:textFill>
            <w14:solidFill>
              <w14:schemeClr w14:val="tx1"/>
            </w14:solidFill>
          </w14:textFill>
        </w:rPr>
        <w:t>“十五五”时期，是我国基本实现社会主义现代化筑牢根基、蓄势跃升的关键阶段，也是北京城市副中心加快构建现代化产业体系的重要窗口期。作为北京新两翼中的重要一翼，城市副中心既承载着疏解非首都功能的战略使命，也肩负着培育新质生产力、引领区域协同发展的时代重任。随着国家绿色发展示范区、北京国际科技创新中心等重大战略在城市副中心叠加布局，智能化、绿色化、融合化正成为产业转型升级的核心方向。立足新阶段，城市副中心将加快构建多业态、全链条的现代化产业体系，以产业能级跃升为首都高质量发展注入新动能，奋力打造中国式现代化进程中的城市发展样板。</w:t>
      </w:r>
    </w:p>
    <w:p>
      <w:pPr>
        <w:widowControl/>
        <w:ind w:firstLine="640"/>
        <w:rPr>
          <w:rFonts w:ascii="仿宋_GB2312" w:cs="仿宋_GB2312"/>
          <w:color w:val="000000" w:themeColor="text1"/>
          <w:szCs w:val="32"/>
          <w14:textFill>
            <w14:solidFill>
              <w14:schemeClr w14:val="tx1"/>
            </w14:solidFill>
          </w14:textFill>
        </w:rPr>
      </w:pPr>
      <w:r>
        <w:rPr>
          <w:rFonts w:hint="eastAsia" w:ascii="仿宋_GB2312" w:hAnsi="等线" w:cs="仿宋_GB2312"/>
          <w:color w:val="000000" w:themeColor="text1"/>
          <w:szCs w:val="32"/>
          <w:lang w:bidi="ar"/>
          <w14:textFill>
            <w14:solidFill>
              <w14:schemeClr w14:val="tx1"/>
            </w14:solidFill>
          </w14:textFill>
        </w:rPr>
        <w:t>本规划以习近平新时代中国特色社会主义思想和习近平总书记对北京及城市副中心系列重要讲话精神为根本遵循，依据《北京城市总体规划（2016年</w:t>
      </w:r>
      <w:r>
        <w:rPr>
          <w:rFonts w:hint="eastAsia" w:ascii="仿宋_GB2312" w:hAnsi="等线" w:cs="仿宋_GB2312"/>
          <w:color w:val="000000" w:themeColor="text1"/>
          <w:szCs w:val="32"/>
          <w:lang w:eastAsia="zh" w:bidi="ar"/>
          <w14:textFill>
            <w14:solidFill>
              <w14:schemeClr w14:val="tx1"/>
            </w14:solidFill>
          </w14:textFill>
        </w:rPr>
        <w:t>—</w:t>
      </w:r>
      <w:r>
        <w:rPr>
          <w:rFonts w:hint="eastAsia" w:ascii="仿宋_GB2312" w:hAnsi="等线" w:cs="仿宋_GB2312"/>
          <w:color w:val="000000" w:themeColor="text1"/>
          <w:szCs w:val="32"/>
          <w:lang w:bidi="ar"/>
          <w14:textFill>
            <w14:solidFill>
              <w14:schemeClr w14:val="tx1"/>
            </w14:solidFill>
          </w14:textFill>
        </w:rPr>
        <w:t>2035年）》《北京城市副中心控制性详细规划（街区层面）（2016年</w:t>
      </w:r>
      <w:r>
        <w:rPr>
          <w:rFonts w:hint="eastAsia" w:ascii="仿宋_GB2312" w:hAnsi="等线" w:cs="仿宋_GB2312"/>
          <w:color w:val="000000" w:themeColor="text1"/>
          <w:szCs w:val="32"/>
          <w:lang w:eastAsia="zh" w:bidi="ar"/>
          <w14:textFill>
            <w14:solidFill>
              <w14:schemeClr w14:val="tx1"/>
            </w14:solidFill>
          </w14:textFill>
        </w:rPr>
        <w:t>—</w:t>
      </w:r>
      <w:r>
        <w:rPr>
          <w:rFonts w:hint="eastAsia" w:ascii="仿宋_GB2312" w:hAnsi="等线" w:cs="仿宋_GB2312"/>
          <w:color w:val="000000" w:themeColor="text1"/>
          <w:szCs w:val="32"/>
          <w:lang w:bidi="ar"/>
          <w14:textFill>
            <w14:solidFill>
              <w14:schemeClr w14:val="tx1"/>
            </w14:solidFill>
          </w14:textFill>
        </w:rPr>
        <w:t>2035年）》《现代化首都都市圈空间协同规划（2023—2035年）》以及《国务院关于支持北京城市副中心高质量发展的意见》《北京城市副中心建设国家绿色发展示范区实施方案》《北京城市副中心要素市场化配置综合改革试点实施方案》《通州区与北三县一体化高质量发展示范区总体方案》等上位文件精神，有效衔接《北京城市副中心条例》产业发展方向，确保规划方向与国家战略、首都定位和城市副中心发展实际深度融合。</w:t>
      </w:r>
    </w:p>
    <w:p>
      <w:pPr>
        <w:widowControl/>
        <w:ind w:firstLine="640"/>
        <w:rPr>
          <w:rFonts w:ascii="仿宋_GB2312" w:cs="仿宋_GB2312"/>
          <w:color w:val="000000" w:themeColor="text1"/>
          <w:szCs w:val="32"/>
          <w14:textFill>
            <w14:solidFill>
              <w14:schemeClr w14:val="tx1"/>
            </w14:solidFill>
          </w14:textFill>
        </w:rPr>
      </w:pPr>
      <w:r>
        <w:rPr>
          <w:rFonts w:hint="eastAsia" w:ascii="仿宋_GB2312" w:hAnsi="等线" w:cs="仿宋_GB2312"/>
          <w:color w:val="000000" w:themeColor="text1"/>
          <w:szCs w:val="32"/>
          <w:lang w:bidi="ar"/>
          <w14:textFill>
            <w14:solidFill>
              <w14:schemeClr w14:val="tx1"/>
            </w14:solidFill>
          </w14:textFill>
        </w:rPr>
        <w:t>本规划明确了“十五五”时期城市副中心产业发展和空间优化的总体思路、具体目标、主要任务和重大举措，实施的空间范围为北京城市副中心（通州区）全域，统筹考量区域功能定位、资源禀赋、区域协同，全面发展先进制造、数字经济、现代金融、商务服务、文化旅游、现代农业以及未来产业，实施期限为2026年至2030年。</w:t>
      </w:r>
    </w:p>
    <w:p>
      <w:pPr>
        <w:ind w:firstLine="640"/>
        <w:rPr>
          <w:color w:val="000000" w:themeColor="text1"/>
          <w14:textFill>
            <w14:solidFill>
              <w14:schemeClr w14:val="tx1"/>
            </w14:solidFill>
          </w14:textFill>
        </w:rPr>
      </w:pPr>
    </w:p>
    <w:p>
      <w:pPr>
        <w:ind w:firstLine="640"/>
        <w:rPr>
          <w:color w:val="000000" w:themeColor="text1"/>
          <w14:textFill>
            <w14:solidFill>
              <w14:schemeClr w14:val="tx1"/>
            </w14:solidFill>
          </w14:textFill>
        </w:rPr>
      </w:pPr>
    </w:p>
    <w:p>
      <w:pPr>
        <w:ind w:firstLine="640"/>
        <w:rPr>
          <w:color w:val="000000" w:themeColor="text1"/>
          <w14:textFill>
            <w14:solidFill>
              <w14:schemeClr w14:val="tx1"/>
            </w14:solidFill>
          </w14:textFill>
        </w:rPr>
      </w:pPr>
    </w:p>
    <w:p>
      <w:pPr>
        <w:ind w:firstLine="640"/>
        <w:rPr>
          <w:color w:val="000000" w:themeColor="text1"/>
          <w14:textFill>
            <w14:solidFill>
              <w14:schemeClr w14:val="tx1"/>
            </w14:solidFill>
          </w14:textFill>
        </w:rPr>
      </w:pPr>
    </w:p>
    <w:p>
      <w:pPr>
        <w:ind w:firstLine="640"/>
        <w:rPr>
          <w:color w:val="000000" w:themeColor="text1"/>
          <w14:textFill>
            <w14:solidFill>
              <w14:schemeClr w14:val="tx1"/>
            </w14:solidFill>
          </w14:textFill>
        </w:rPr>
      </w:pPr>
    </w:p>
    <w:p>
      <w:pPr>
        <w:ind w:firstLine="640"/>
        <w:rPr>
          <w:color w:val="000000" w:themeColor="text1"/>
          <w14:textFill>
            <w14:solidFill>
              <w14:schemeClr w14:val="tx1"/>
            </w14:solidFill>
          </w14:textFill>
        </w:rPr>
      </w:pPr>
    </w:p>
    <w:p>
      <w:pPr>
        <w:ind w:firstLine="640"/>
        <w:rPr>
          <w:color w:val="000000" w:themeColor="text1"/>
          <w14:textFill>
            <w14:solidFill>
              <w14:schemeClr w14:val="tx1"/>
            </w14:solidFill>
          </w14:textFill>
        </w:rPr>
      </w:pPr>
    </w:p>
    <w:p>
      <w:pPr>
        <w:ind w:firstLine="640"/>
        <w:rPr>
          <w:color w:val="000000" w:themeColor="text1"/>
          <w14:textFill>
            <w14:solidFill>
              <w14:schemeClr w14:val="tx1"/>
            </w14:solidFill>
          </w14:textFill>
        </w:rPr>
      </w:pPr>
    </w:p>
    <w:p>
      <w:pPr>
        <w:ind w:firstLine="640"/>
        <w:rPr>
          <w:color w:val="000000" w:themeColor="text1"/>
          <w14:textFill>
            <w14:solidFill>
              <w14:schemeClr w14:val="tx1"/>
            </w14:solidFill>
          </w14:textFill>
        </w:rPr>
      </w:pPr>
    </w:p>
    <w:p>
      <w:pPr>
        <w:ind w:firstLine="640"/>
        <w:rPr>
          <w:color w:val="000000" w:themeColor="text1"/>
          <w14:textFill>
            <w14:solidFill>
              <w14:schemeClr w14:val="tx1"/>
            </w14:solidFill>
          </w14:textFill>
        </w:rPr>
      </w:pPr>
    </w:p>
    <w:p>
      <w:pPr>
        <w:ind w:firstLine="640"/>
        <w:rPr>
          <w:color w:val="000000" w:themeColor="text1"/>
          <w14:textFill>
            <w14:solidFill>
              <w14:schemeClr w14:val="tx1"/>
            </w14:solidFill>
          </w14:textFill>
        </w:rPr>
      </w:pPr>
    </w:p>
    <w:p>
      <w:pPr>
        <w:ind w:firstLine="640"/>
        <w:rPr>
          <w:color w:val="000000" w:themeColor="text1"/>
          <w14:textFill>
            <w14:solidFill>
              <w14:schemeClr w14:val="tx1"/>
            </w14:solidFill>
          </w14:textFill>
        </w:rPr>
      </w:pPr>
    </w:p>
    <w:p>
      <w:pPr>
        <w:ind w:firstLine="640"/>
        <w:rPr>
          <w:color w:val="000000" w:themeColor="text1"/>
          <w14:textFill>
            <w14:solidFill>
              <w14:schemeClr w14:val="tx1"/>
            </w14:solidFill>
          </w14:textFill>
        </w:rPr>
      </w:pPr>
    </w:p>
    <w:p>
      <w:pPr>
        <w:ind w:firstLine="640"/>
        <w:rPr>
          <w:color w:val="000000" w:themeColor="text1"/>
          <w14:textFill>
            <w14:solidFill>
              <w14:schemeClr w14:val="tx1"/>
            </w14:solidFill>
          </w14:textFill>
        </w:rPr>
      </w:pPr>
    </w:p>
    <w:p>
      <w:pPr>
        <w:ind w:firstLine="640"/>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color w:val="000000" w:themeColor="text1"/>
          <w:szCs w:val="32"/>
          <w14:textFill>
            <w14:solidFill>
              <w14:schemeClr w14:val="tx1"/>
            </w14:solidFill>
          </w14:textFill>
        </w:rPr>
        <w:id w:val="147463308"/>
        <w15:color w:val="DBDBDB"/>
        <w:docPartObj>
          <w:docPartGallery w:val="Table of Contents"/>
          <w:docPartUnique/>
        </w:docPartObj>
      </w:sdtPr>
      <w:sdtEndPr>
        <w:rPr>
          <w:rFonts w:hint="eastAsia" w:eastAsia="仿宋_GB2312" w:cs="黑体" w:asciiTheme="minorHAnsi" w:hAnsiTheme="minorHAnsi"/>
          <w:color w:val="000000" w:themeColor="text1"/>
          <w:sz w:val="28"/>
          <w:szCs w:val="28"/>
          <w14:textFill>
            <w14:solidFill>
              <w14:schemeClr w14:val="tx1"/>
            </w14:solidFill>
          </w14:textFill>
        </w:rPr>
      </w:sdtEndPr>
      <w:sdtContent>
        <w:p>
          <w:pPr>
            <w:ind w:firstLine="0" w:firstLineChars="0"/>
            <w:jc w:val="center"/>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目 录</w:t>
          </w:r>
        </w:p>
        <w:p>
          <w:pPr>
            <w:pStyle w:val="14"/>
            <w:tabs>
              <w:tab w:val="right" w:leader="dot" w:pos="8306"/>
            </w:tabs>
          </w:pPr>
          <w:r>
            <w:rPr>
              <w:rFonts w:hint="eastAsia" w:ascii="仿宋_GB2312" w:hAnsi="仿宋_GB2312" w:cs="仿宋_GB2312"/>
              <w:color w:val="000000" w:themeColor="text1"/>
              <w:szCs w:val="28"/>
              <w14:textFill>
                <w14:solidFill>
                  <w14:schemeClr w14:val="tx1"/>
                </w14:solidFill>
              </w14:textFill>
            </w:rPr>
            <w:fldChar w:fldCharType="begin"/>
          </w:r>
          <w:r>
            <w:rPr>
              <w:rFonts w:hint="eastAsia" w:ascii="仿宋_GB2312" w:hAnsi="仿宋_GB2312" w:cs="仿宋_GB2312"/>
              <w:color w:val="000000" w:themeColor="text1"/>
              <w:szCs w:val="28"/>
              <w14:textFill>
                <w14:solidFill>
                  <w14:schemeClr w14:val="tx1"/>
                </w14:solidFill>
              </w14:textFill>
            </w:rPr>
            <w:instrText xml:space="preserve">TOC \o "1-3" \h \u </w:instrText>
          </w:r>
          <w:r>
            <w:rPr>
              <w:rFonts w:hint="eastAsia" w:ascii="仿宋_GB2312" w:hAnsi="仿宋_GB2312" w:cs="仿宋_GB2312"/>
              <w:color w:val="000000" w:themeColor="text1"/>
              <w:szCs w:val="28"/>
              <w14:textFill>
                <w14:solidFill>
                  <w14:schemeClr w14:val="tx1"/>
                </w14:solidFill>
              </w14:textFill>
            </w:rPr>
            <w:fldChar w:fldCharType="separate"/>
          </w:r>
          <w:r>
            <w:rPr>
              <w:rFonts w:hint="eastAsia" w:ascii="仿宋_GB2312" w:hAnsi="仿宋_GB2312" w:cs="仿宋_GB2312"/>
              <w:color w:val="000000" w:themeColor="text1"/>
              <w:szCs w:val="28"/>
              <w14:textFill>
                <w14:solidFill>
                  <w14:schemeClr w14:val="tx1"/>
                </w14:solidFill>
              </w14:textFill>
            </w:rPr>
            <w:fldChar w:fldCharType="begin"/>
          </w:r>
          <w:r>
            <w:rPr>
              <w:rFonts w:hint="eastAsia" w:ascii="仿宋_GB2312" w:hAnsi="仿宋_GB2312" w:cs="仿宋_GB2312"/>
              <w:szCs w:val="28"/>
            </w:rPr>
            <w:instrText xml:space="preserve"> HYPERLINK \l _Toc10597 </w:instrText>
          </w:r>
          <w:r>
            <w:rPr>
              <w:rFonts w:hint="eastAsia" w:ascii="仿宋_GB2312" w:hAnsi="仿宋_GB2312" w:cs="仿宋_GB2312"/>
              <w:szCs w:val="28"/>
            </w:rPr>
            <w:fldChar w:fldCharType="separate"/>
          </w:r>
          <w:r>
            <w:rPr>
              <w:rFonts w:ascii="方正小标宋简体" w:hAnsi="方正小标宋简体" w:eastAsia="方正小标宋简体" w:cs="方正小标宋简体"/>
              <w:bCs w:val="0"/>
              <w:kern w:val="44"/>
              <w:szCs w:val="36"/>
            </w:rPr>
            <w:t>第一篇 承前启后谋发展 凝心聚力启新程</w:t>
          </w:r>
          <w:r>
            <w:tab/>
          </w:r>
          <w:r>
            <w:fldChar w:fldCharType="begin"/>
          </w:r>
          <w:r>
            <w:instrText xml:space="preserve"> PAGEREF _Toc10597 \h </w:instrText>
          </w:r>
          <w:r>
            <w:fldChar w:fldCharType="separate"/>
          </w:r>
          <w:r>
            <w:t>1</w:t>
          </w:r>
          <w:r>
            <w:fldChar w:fldCharType="end"/>
          </w:r>
          <w:r>
            <w:rPr>
              <w:rFonts w:hint="eastAsia" w:ascii="仿宋_GB2312" w:hAnsi="仿宋_GB2312" w:cs="仿宋_GB2312"/>
              <w:color w:val="000000" w:themeColor="text1"/>
              <w:szCs w:val="28"/>
              <w14:textFill>
                <w14:solidFill>
                  <w14:schemeClr w14:val="tx1"/>
                </w14:solidFill>
              </w14:textFill>
            </w:rPr>
            <w:fldChar w:fldCharType="end"/>
          </w:r>
        </w:p>
        <w:p>
          <w:pPr>
            <w:pStyle w:val="20"/>
            <w:tabs>
              <w:tab w:val="right" w:leader="dot" w:pos="8306"/>
            </w:tabs>
            <w:rPr>
              <w:rFonts w:hint="eastAsia" w:ascii="楷体_GB2312" w:hAnsi="楷体_GB2312" w:eastAsia="楷体_GB2312" w:cs="楷体_GB2312"/>
            </w:rPr>
          </w:pP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szCs w:val="28"/>
            </w:rPr>
            <w:instrText xml:space="preserve"> HYPERLINK \l _Toc31923 </w:instrText>
          </w:r>
          <w:r>
            <w:rPr>
              <w:rFonts w:hint="eastAsia" w:ascii="楷体_GB2312" w:hAnsi="楷体_GB2312" w:eastAsia="楷体_GB2312" w:cs="楷体_GB2312"/>
              <w:szCs w:val="28"/>
            </w:rPr>
            <w:fldChar w:fldCharType="separate"/>
          </w:r>
          <w:r>
            <w:rPr>
              <w:rFonts w:hint="eastAsia" w:ascii="楷体_GB2312" w:hAnsi="楷体_GB2312" w:eastAsia="楷体_GB2312" w:cs="楷体_GB2312"/>
              <w:bCs w:val="0"/>
              <w:szCs w:val="32"/>
            </w:rPr>
            <w:t>第一章 “十四五”时期产业发展基础与核心成效</w:t>
          </w:r>
          <w:r>
            <w:rPr>
              <w:rFonts w:hint="eastAsia" w:ascii="楷体_GB2312" w:hAnsi="楷体_GB2312" w:eastAsia="楷体_GB2312" w:cs="楷体_GB2312"/>
            </w:rPr>
            <w:tab/>
          </w: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PAGEREF _Toc31923 \h </w:instrText>
          </w:r>
          <w:r>
            <w:rPr>
              <w:rFonts w:hint="eastAsia" w:ascii="楷体_GB2312" w:hAnsi="楷体_GB2312" w:eastAsia="楷体_GB2312" w:cs="楷体_GB2312"/>
            </w:rPr>
            <w:fldChar w:fldCharType="separate"/>
          </w:r>
          <w:r>
            <w:rPr>
              <w:rFonts w:hint="eastAsia" w:ascii="楷体_GB2312" w:hAnsi="楷体_GB2312" w:eastAsia="楷体_GB2312" w:cs="楷体_GB2312"/>
            </w:rPr>
            <w:t>1</w:t>
          </w:r>
          <w:r>
            <w:rPr>
              <w:rFonts w:hint="eastAsia" w:ascii="楷体_GB2312" w:hAnsi="楷体_GB2312" w:eastAsia="楷体_GB2312" w:cs="楷体_GB2312"/>
            </w:rPr>
            <w:fldChar w:fldCharType="end"/>
          </w:r>
          <w:r>
            <w:rPr>
              <w:rFonts w:hint="eastAsia" w:ascii="楷体_GB2312" w:hAnsi="楷体_GB2312" w:eastAsia="楷体_GB2312" w:cs="楷体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szCs w:val="28"/>
            </w:rPr>
            <w:instrText xml:space="preserve"> HYPERLINK \l _Toc12577 </w:instrText>
          </w:r>
          <w:r>
            <w:rPr>
              <w:rFonts w:hint="eastAsia" w:ascii="仿宋_GB2312" w:hAnsi="仿宋_GB2312" w:eastAsia="仿宋_GB2312" w:cs="仿宋_GB2312"/>
              <w:szCs w:val="28"/>
            </w:rPr>
            <w:fldChar w:fldCharType="separate"/>
          </w:r>
          <w:r>
            <w:rPr>
              <w:rFonts w:hint="eastAsia" w:ascii="仿宋_GB2312" w:hAnsi="仿宋_GB2312" w:eastAsia="仿宋_GB2312" w:cs="仿宋_GB2312"/>
              <w:bCs w:val="0"/>
            </w:rPr>
            <w:t>一、经济发展质效双升，综合实力</w:t>
          </w:r>
          <w:r>
            <w:rPr>
              <w:rFonts w:hint="eastAsia" w:ascii="仿宋_GB2312" w:hAnsi="仿宋_GB2312" w:eastAsia="仿宋_GB2312" w:cs="仿宋_GB2312"/>
              <w:bCs w:val="0"/>
              <w:lang w:eastAsia="zh"/>
            </w:rPr>
            <w:t>再上新阶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_Toc12577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szCs w:val="28"/>
            </w:rPr>
            <w:instrText xml:space="preserve"> HYPERLINK \l _Toc10112 </w:instrText>
          </w:r>
          <w:r>
            <w:rPr>
              <w:rFonts w:hint="eastAsia" w:ascii="仿宋_GB2312" w:hAnsi="仿宋_GB2312" w:eastAsia="仿宋_GB2312" w:cs="仿宋_GB2312"/>
              <w:szCs w:val="28"/>
            </w:rPr>
            <w:fldChar w:fldCharType="separate"/>
          </w:r>
          <w:r>
            <w:rPr>
              <w:rFonts w:hint="eastAsia" w:ascii="仿宋_GB2312" w:hAnsi="仿宋_GB2312" w:eastAsia="仿宋_GB2312" w:cs="仿宋_GB2312"/>
              <w:bCs w:val="0"/>
            </w:rPr>
            <w:t>二、产业体系迭代升级，多元业态聚力成势</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_Toc10112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szCs w:val="28"/>
            </w:rPr>
            <w:instrText xml:space="preserve"> HYPERLINK \l _Toc27996 </w:instrText>
          </w:r>
          <w:r>
            <w:rPr>
              <w:rFonts w:hint="eastAsia" w:ascii="仿宋_GB2312" w:hAnsi="仿宋_GB2312" w:eastAsia="仿宋_GB2312" w:cs="仿宋_GB2312"/>
              <w:szCs w:val="28"/>
            </w:rPr>
            <w:fldChar w:fldCharType="separate"/>
          </w:r>
          <w:r>
            <w:rPr>
              <w:rFonts w:hint="eastAsia" w:ascii="仿宋_GB2312" w:hAnsi="仿宋_GB2312" w:eastAsia="仿宋_GB2312" w:cs="仿宋_GB2312"/>
              <w:bCs w:val="0"/>
            </w:rPr>
            <w:t>三、重大项目落地见效，城市功能全面提升</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_Toc27996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szCs w:val="28"/>
            </w:rPr>
            <w:instrText xml:space="preserve"> HYPERLINK \l _Toc13585 </w:instrText>
          </w:r>
          <w:r>
            <w:rPr>
              <w:rFonts w:hint="eastAsia" w:ascii="仿宋_GB2312" w:hAnsi="仿宋_GB2312" w:eastAsia="仿宋_GB2312" w:cs="仿宋_GB2312"/>
              <w:szCs w:val="28"/>
            </w:rPr>
            <w:fldChar w:fldCharType="separate"/>
          </w:r>
          <w:r>
            <w:rPr>
              <w:rFonts w:hint="eastAsia" w:ascii="仿宋_GB2312" w:hAnsi="仿宋_GB2312" w:eastAsia="仿宋_GB2312" w:cs="仿宋_GB2312"/>
              <w:bCs w:val="0"/>
            </w:rPr>
            <w:t>四、政策体系持续完善，改革创新赋能发展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_Toc13585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szCs w:val="28"/>
            </w:rPr>
            <w:instrText xml:space="preserve"> HYPERLINK \l _Toc5507 </w:instrText>
          </w:r>
          <w:r>
            <w:rPr>
              <w:rFonts w:hint="eastAsia" w:ascii="仿宋_GB2312" w:hAnsi="仿宋_GB2312" w:eastAsia="仿宋_GB2312" w:cs="仿宋_GB2312"/>
              <w:szCs w:val="28"/>
            </w:rPr>
            <w:fldChar w:fldCharType="separate"/>
          </w:r>
          <w:r>
            <w:rPr>
              <w:rFonts w:hint="eastAsia" w:ascii="仿宋_GB2312" w:hAnsi="仿宋_GB2312" w:eastAsia="仿宋_GB2312" w:cs="仿宋_GB2312"/>
              <w:bCs w:val="0"/>
            </w:rPr>
            <w:t>五、区域协同走深走实，融合发展成效显著</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_Toc5507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w:t>
          </w:r>
          <w:r>
            <w:rPr>
              <w:rFonts w:hint="eastAsia" w:ascii="仿宋_GB2312" w:hAnsi="仿宋_GB2312" w:eastAsia="仿宋_GB2312" w:cs="仿宋_GB2312"/>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20"/>
            <w:tabs>
              <w:tab w:val="right" w:leader="dot" w:pos="8306"/>
            </w:tabs>
            <w:rPr>
              <w:rFonts w:hint="eastAsia" w:ascii="楷体_GB2312" w:hAnsi="楷体_GB2312" w:eastAsia="楷体_GB2312" w:cs="楷体_GB2312"/>
              <w:color w:val="000000" w:themeColor="text1"/>
              <w:szCs w:val="28"/>
              <w14:textFill>
                <w14:solidFill>
                  <w14:schemeClr w14:val="tx1"/>
                </w14:solidFill>
              </w14:textFill>
            </w:rPr>
          </w:pP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HYPERLINK \l _Toc810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eastAsia" w:ascii="楷体_GB2312" w:hAnsi="楷体_GB2312" w:eastAsia="楷体_GB2312" w:cs="楷体_GB2312"/>
              <w:color w:val="000000" w:themeColor="text1"/>
              <w:szCs w:val="28"/>
              <w14:textFill>
                <w14:solidFill>
                  <w14:schemeClr w14:val="tx1"/>
                </w14:solidFill>
              </w14:textFill>
            </w:rPr>
            <w:t>第二章 “十五五”时期产业发展的战略机遇与挑战</w:t>
          </w:r>
          <w:r>
            <w:rPr>
              <w:rFonts w:hint="eastAsia" w:ascii="楷体_GB2312" w:hAnsi="楷体_GB2312" w:eastAsia="楷体_GB2312" w:cs="楷体_GB2312"/>
              <w:color w:val="000000" w:themeColor="text1"/>
              <w:szCs w:val="28"/>
              <w14:textFill>
                <w14:solidFill>
                  <w14:schemeClr w14:val="tx1"/>
                </w14:solidFill>
              </w14:textFill>
            </w:rPr>
            <w:tab/>
          </w: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PAGEREF _Toc810 \h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eastAsia" w:ascii="楷体_GB2312" w:hAnsi="楷体_GB2312" w:eastAsia="楷体_GB2312" w:cs="楷体_GB2312"/>
              <w:color w:val="000000" w:themeColor="text1"/>
              <w:szCs w:val="28"/>
              <w14:textFill>
                <w14:solidFill>
                  <w14:schemeClr w14:val="tx1"/>
                </w14:solidFill>
              </w14:textFill>
            </w:rPr>
            <w:t>4</w:t>
          </w:r>
          <w:r>
            <w:rPr>
              <w:rFonts w:hint="eastAsia" w:ascii="楷体_GB2312" w:hAnsi="楷体_GB2312" w:eastAsia="楷体_GB2312" w:cs="楷体_GB2312"/>
              <w:color w:val="000000" w:themeColor="text1"/>
              <w:szCs w:val="28"/>
              <w14:textFill>
                <w14:solidFill>
                  <w14:schemeClr w14:val="tx1"/>
                </w14:solidFill>
              </w14:textFill>
            </w:rPr>
            <w:fldChar w:fldCharType="end"/>
          </w:r>
          <w:r>
            <w:rPr>
              <w:rFonts w:hint="eastAsia" w:ascii="楷体_GB2312" w:hAnsi="楷体_GB2312" w:eastAsia="楷体_GB2312" w:cs="楷体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_Toc11315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一、发展的战略机遇</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_Toc11315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4</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_Toc15948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二、外部风险与内部挑战</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_Toc15948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5</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_Toc30424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三、瓶颈制约与问题剖析</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_Toc30424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6</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4"/>
            <w:tabs>
              <w:tab w:val="right" w:leader="dot" w:pos="8306"/>
            </w:tabs>
          </w:pPr>
          <w:r>
            <w:rPr>
              <w:rFonts w:hint="eastAsia" w:ascii="仿宋_GB2312" w:hAnsi="仿宋_GB2312" w:cs="仿宋_GB2312"/>
              <w:color w:val="000000" w:themeColor="text1"/>
              <w:szCs w:val="28"/>
              <w14:textFill>
                <w14:solidFill>
                  <w14:schemeClr w14:val="tx1"/>
                </w14:solidFill>
              </w14:textFill>
            </w:rPr>
            <w:fldChar w:fldCharType="begin"/>
          </w:r>
          <w:r>
            <w:rPr>
              <w:rFonts w:hint="eastAsia" w:ascii="仿宋_GB2312" w:hAnsi="仿宋_GB2312" w:cs="仿宋_GB2312"/>
              <w:szCs w:val="28"/>
            </w:rPr>
            <w:instrText xml:space="preserve"> HYPERLINK \l _Toc32093 </w:instrText>
          </w:r>
          <w:r>
            <w:rPr>
              <w:rFonts w:hint="eastAsia" w:ascii="仿宋_GB2312" w:hAnsi="仿宋_GB2312" w:cs="仿宋_GB2312"/>
              <w:szCs w:val="28"/>
            </w:rPr>
            <w:fldChar w:fldCharType="separate"/>
          </w:r>
          <w:r>
            <w:rPr>
              <w:rFonts w:ascii="方正小标宋简体" w:hAnsi="方正小标宋简体" w:eastAsia="方正小标宋简体" w:cs="方正小标宋简体"/>
              <w:bCs w:val="0"/>
              <w:kern w:val="44"/>
              <w:szCs w:val="36"/>
              <w:lang w:bidi="ar"/>
            </w:rPr>
            <w:t>第二篇</w:t>
          </w:r>
          <w:r>
            <w:rPr>
              <w:rFonts w:hint="default" w:ascii="方正小标宋简体" w:hAnsi="方正小标宋简体" w:eastAsia="方正小标宋简体" w:cs="方正小标宋简体"/>
              <w:bCs w:val="0"/>
              <w:kern w:val="44"/>
              <w:szCs w:val="36"/>
              <w:lang w:bidi="ar"/>
            </w:rPr>
            <w:t xml:space="preserve"> 绘就蓝图启新程 系统谋划促跃升</w:t>
          </w:r>
          <w:r>
            <w:tab/>
          </w:r>
          <w:r>
            <w:fldChar w:fldCharType="begin"/>
          </w:r>
          <w:r>
            <w:instrText xml:space="preserve"> PAGEREF _Toc32093 \h </w:instrText>
          </w:r>
          <w:r>
            <w:fldChar w:fldCharType="separate"/>
          </w:r>
          <w:r>
            <w:t>7</w:t>
          </w:r>
          <w:r>
            <w:fldChar w:fldCharType="end"/>
          </w:r>
          <w:r>
            <w:rPr>
              <w:rFonts w:hint="eastAsia" w:ascii="仿宋_GB2312" w:hAnsi="仿宋_GB2312" w:cs="仿宋_GB2312"/>
              <w:color w:val="000000" w:themeColor="text1"/>
              <w:szCs w:val="28"/>
              <w14:textFill>
                <w14:solidFill>
                  <w14:schemeClr w14:val="tx1"/>
                </w14:solidFill>
              </w14:textFill>
            </w:rPr>
            <w:fldChar w:fldCharType="end"/>
          </w:r>
        </w:p>
        <w:p>
          <w:pPr>
            <w:pStyle w:val="20"/>
            <w:tabs>
              <w:tab w:val="right" w:leader="dot" w:pos="8306"/>
            </w:tabs>
            <w:rPr>
              <w:rFonts w:hint="eastAsia" w:ascii="楷体_GB2312" w:hAnsi="楷体_GB2312" w:eastAsia="楷体_GB2312" w:cs="楷体_GB2312"/>
              <w:color w:val="000000" w:themeColor="text1"/>
              <w:szCs w:val="28"/>
              <w14:textFill>
                <w14:solidFill>
                  <w14:schemeClr w14:val="tx1"/>
                </w14:solidFill>
              </w14:textFill>
            </w:rPr>
          </w:pP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HYPERLINK \l _Toc9024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eastAsia" w:ascii="楷体_GB2312" w:hAnsi="楷体_GB2312" w:eastAsia="楷体_GB2312" w:cs="楷体_GB2312"/>
              <w:color w:val="000000" w:themeColor="text1"/>
              <w:szCs w:val="28"/>
              <w14:textFill>
                <w14:solidFill>
                  <w14:schemeClr w14:val="tx1"/>
                </w14:solidFill>
              </w14:textFill>
            </w:rPr>
            <w:t>第三章 产业发展思路</w:t>
          </w:r>
          <w:r>
            <w:rPr>
              <w:rFonts w:hint="eastAsia" w:ascii="楷体_GB2312" w:hAnsi="楷体_GB2312" w:eastAsia="楷体_GB2312" w:cs="楷体_GB2312"/>
              <w:color w:val="000000" w:themeColor="text1"/>
              <w:szCs w:val="28"/>
              <w14:textFill>
                <w14:solidFill>
                  <w14:schemeClr w14:val="tx1"/>
                </w14:solidFill>
              </w14:textFill>
            </w:rPr>
            <w:tab/>
          </w: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PAGEREF _Toc9024 \h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eastAsia" w:ascii="楷体_GB2312" w:hAnsi="楷体_GB2312" w:eastAsia="楷体_GB2312" w:cs="楷体_GB2312"/>
              <w:color w:val="000000" w:themeColor="text1"/>
              <w:szCs w:val="28"/>
              <w14:textFill>
                <w14:solidFill>
                  <w14:schemeClr w14:val="tx1"/>
                </w14:solidFill>
              </w14:textFill>
            </w:rPr>
            <w:t>7</w:t>
          </w:r>
          <w:r>
            <w:rPr>
              <w:rFonts w:hint="eastAsia" w:ascii="楷体_GB2312" w:hAnsi="楷体_GB2312" w:eastAsia="楷体_GB2312" w:cs="楷体_GB2312"/>
              <w:color w:val="000000" w:themeColor="text1"/>
              <w:szCs w:val="28"/>
              <w14:textFill>
                <w14:solidFill>
                  <w14:schemeClr w14:val="tx1"/>
                </w14:solidFill>
              </w14:textFill>
            </w:rPr>
            <w:fldChar w:fldCharType="end"/>
          </w:r>
          <w:r>
            <w:rPr>
              <w:rFonts w:hint="eastAsia" w:ascii="楷体_GB2312" w:hAnsi="楷体_GB2312" w:eastAsia="楷体_GB2312" w:cs="楷体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_Toc26479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一、指导思想</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_Toc26479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7</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_Toc4812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二、发展原则</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_Toc4812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7</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20"/>
            <w:tabs>
              <w:tab w:val="right" w:leader="dot" w:pos="8306"/>
            </w:tabs>
            <w:rPr>
              <w:rFonts w:hint="eastAsia" w:ascii="楷体_GB2312" w:hAnsi="楷体_GB2312" w:eastAsia="楷体_GB2312" w:cs="楷体_GB2312"/>
              <w:color w:val="000000" w:themeColor="text1"/>
              <w:szCs w:val="28"/>
              <w14:textFill>
                <w14:solidFill>
                  <w14:schemeClr w14:val="tx1"/>
                </w14:solidFill>
              </w14:textFill>
            </w:rPr>
          </w:pP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HYPERLINK \l _Toc7337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eastAsia" w:ascii="楷体_GB2312" w:hAnsi="楷体_GB2312" w:eastAsia="楷体_GB2312" w:cs="楷体_GB2312"/>
              <w:color w:val="000000" w:themeColor="text1"/>
              <w:szCs w:val="28"/>
              <w14:textFill>
                <w14:solidFill>
                  <w14:schemeClr w14:val="tx1"/>
                </w14:solidFill>
              </w14:textFill>
            </w:rPr>
            <w:t>第四章</w:t>
          </w:r>
          <w:r>
            <w:rPr>
              <w:rFonts w:hint="default" w:ascii="楷体_GB2312" w:hAnsi="楷体_GB2312" w:eastAsia="楷体_GB2312" w:cs="楷体_GB2312"/>
              <w:color w:val="000000" w:themeColor="text1"/>
              <w:szCs w:val="28"/>
              <w14:textFill>
                <w14:solidFill>
                  <w14:schemeClr w14:val="tx1"/>
                </w14:solidFill>
              </w14:textFill>
            </w:rPr>
            <w:t xml:space="preserve"> </w:t>
          </w:r>
          <w:r>
            <w:rPr>
              <w:rFonts w:hint="eastAsia" w:ascii="楷体_GB2312" w:hAnsi="楷体_GB2312" w:eastAsia="楷体_GB2312" w:cs="楷体_GB2312"/>
              <w:color w:val="000000" w:themeColor="text1"/>
              <w:szCs w:val="28"/>
              <w14:textFill>
                <w14:solidFill>
                  <w14:schemeClr w14:val="tx1"/>
                </w14:solidFill>
              </w14:textFill>
            </w:rPr>
            <w:t>产业发展目标</w:t>
          </w:r>
          <w:r>
            <w:rPr>
              <w:rFonts w:hint="eastAsia" w:ascii="楷体_GB2312" w:hAnsi="楷体_GB2312" w:eastAsia="楷体_GB2312" w:cs="楷体_GB2312"/>
              <w:color w:val="000000" w:themeColor="text1"/>
              <w:szCs w:val="28"/>
              <w14:textFill>
                <w14:solidFill>
                  <w14:schemeClr w14:val="tx1"/>
                </w14:solidFill>
              </w14:textFill>
            </w:rPr>
            <w:tab/>
          </w: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PAGEREF _Toc7337 \h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eastAsia" w:ascii="楷体_GB2312" w:hAnsi="楷体_GB2312" w:eastAsia="楷体_GB2312" w:cs="楷体_GB2312"/>
              <w:color w:val="000000" w:themeColor="text1"/>
              <w:szCs w:val="28"/>
              <w14:textFill>
                <w14:solidFill>
                  <w14:schemeClr w14:val="tx1"/>
                </w14:solidFill>
              </w14:textFill>
            </w:rPr>
            <w:t>8</w:t>
          </w:r>
          <w:r>
            <w:rPr>
              <w:rFonts w:hint="eastAsia" w:ascii="楷体_GB2312" w:hAnsi="楷体_GB2312" w:eastAsia="楷体_GB2312" w:cs="楷体_GB2312"/>
              <w:color w:val="000000" w:themeColor="text1"/>
              <w:szCs w:val="28"/>
              <w14:textFill>
                <w14:solidFill>
                  <w14:schemeClr w14:val="tx1"/>
                </w14:solidFill>
              </w14:textFill>
            </w:rPr>
            <w:fldChar w:fldCharType="end"/>
          </w:r>
          <w:r>
            <w:rPr>
              <w:rFonts w:hint="eastAsia" w:ascii="楷体_GB2312" w:hAnsi="楷体_GB2312" w:eastAsia="楷体_GB2312" w:cs="楷体_GB2312"/>
              <w:color w:val="000000" w:themeColor="text1"/>
              <w:szCs w:val="28"/>
              <w14:textFill>
                <w14:solidFill>
                  <w14:schemeClr w14:val="tx1"/>
                </w14:solidFill>
              </w14:textFill>
            </w:rPr>
            <w:fldChar w:fldCharType="end"/>
          </w:r>
        </w:p>
        <w:p>
          <w:pPr>
            <w:pStyle w:val="20"/>
            <w:tabs>
              <w:tab w:val="right" w:leader="dot" w:pos="8306"/>
            </w:tabs>
            <w:rPr>
              <w:rFonts w:hint="eastAsia" w:ascii="楷体_GB2312" w:hAnsi="楷体_GB2312" w:eastAsia="楷体_GB2312" w:cs="楷体_GB2312"/>
              <w:color w:val="000000" w:themeColor="text1"/>
              <w:szCs w:val="28"/>
              <w14:textFill>
                <w14:solidFill>
                  <w14:schemeClr w14:val="tx1"/>
                </w14:solidFill>
              </w14:textFill>
            </w:rPr>
          </w:pP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HYPERLINK \l _Toc16420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eastAsia" w:ascii="楷体_GB2312" w:hAnsi="楷体_GB2312" w:eastAsia="楷体_GB2312" w:cs="楷体_GB2312"/>
              <w:color w:val="000000" w:themeColor="text1"/>
              <w:szCs w:val="28"/>
              <w14:textFill>
                <w14:solidFill>
                  <w14:schemeClr w14:val="tx1"/>
                </w14:solidFill>
              </w14:textFill>
            </w:rPr>
            <w:t>第五章 产业空间布局</w:t>
          </w:r>
          <w:r>
            <w:rPr>
              <w:rFonts w:hint="eastAsia" w:ascii="楷体_GB2312" w:hAnsi="楷体_GB2312" w:eastAsia="楷体_GB2312" w:cs="楷体_GB2312"/>
              <w:color w:val="000000" w:themeColor="text1"/>
              <w:szCs w:val="28"/>
              <w14:textFill>
                <w14:solidFill>
                  <w14:schemeClr w14:val="tx1"/>
                </w14:solidFill>
              </w14:textFill>
            </w:rPr>
            <w:tab/>
          </w: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PAGEREF _Toc16420 \h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eastAsia" w:ascii="楷体_GB2312" w:hAnsi="楷体_GB2312" w:eastAsia="楷体_GB2312" w:cs="楷体_GB2312"/>
              <w:color w:val="000000" w:themeColor="text1"/>
              <w:szCs w:val="28"/>
              <w14:textFill>
                <w14:solidFill>
                  <w14:schemeClr w14:val="tx1"/>
                </w14:solidFill>
              </w14:textFill>
            </w:rPr>
            <w:t>9</w:t>
          </w:r>
          <w:r>
            <w:rPr>
              <w:rFonts w:hint="eastAsia" w:ascii="楷体_GB2312" w:hAnsi="楷体_GB2312" w:eastAsia="楷体_GB2312" w:cs="楷体_GB2312"/>
              <w:color w:val="000000" w:themeColor="text1"/>
              <w:szCs w:val="28"/>
              <w14:textFill>
                <w14:solidFill>
                  <w14:schemeClr w14:val="tx1"/>
                </w14:solidFill>
              </w14:textFill>
            </w:rPr>
            <w:fldChar w:fldCharType="end"/>
          </w:r>
          <w:r>
            <w:rPr>
              <w:rFonts w:hint="eastAsia" w:ascii="楷体_GB2312" w:hAnsi="楷体_GB2312" w:eastAsia="楷体_GB2312" w:cs="楷体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_Toc9131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一、构建“一核一带</w:t>
          </w:r>
          <w:r>
            <w:rPr>
              <w:rFonts w:hint="eastAsia" w:ascii="仿宋_GB2312" w:hAnsi="仿宋_GB2312" w:eastAsia="仿宋_GB2312" w:cs="仿宋_GB2312"/>
              <w:color w:val="000000" w:themeColor="text1"/>
              <w:szCs w:val="28"/>
              <w:lang w:eastAsia="zh"/>
              <w14:textFill>
                <w14:solidFill>
                  <w14:schemeClr w14:val="tx1"/>
                </w14:solidFill>
              </w14:textFill>
            </w:rPr>
            <w:t>、</w:t>
          </w:r>
          <w:r>
            <w:rPr>
              <w:rFonts w:hint="eastAsia" w:ascii="仿宋_GB2312" w:hAnsi="仿宋_GB2312" w:eastAsia="仿宋_GB2312" w:cs="仿宋_GB2312"/>
              <w:color w:val="000000" w:themeColor="text1"/>
              <w:szCs w:val="28"/>
              <w14:textFill>
                <w14:solidFill>
                  <w14:schemeClr w14:val="tx1"/>
                </w14:solidFill>
              </w14:textFill>
            </w:rPr>
            <w:t>一轴一廊</w:t>
          </w:r>
          <w:r>
            <w:rPr>
              <w:rFonts w:hint="eastAsia" w:ascii="仿宋_GB2312" w:hAnsi="仿宋_GB2312" w:eastAsia="仿宋_GB2312" w:cs="仿宋_GB2312"/>
              <w:color w:val="000000" w:themeColor="text1"/>
              <w:szCs w:val="28"/>
              <w:lang w:eastAsia="zh"/>
              <w14:textFill>
                <w14:solidFill>
                  <w14:schemeClr w14:val="tx1"/>
                </w14:solidFill>
              </w14:textFill>
            </w:rPr>
            <w:t>、</w:t>
          </w:r>
          <w:r>
            <w:rPr>
              <w:rFonts w:hint="eastAsia" w:ascii="仿宋_GB2312" w:hAnsi="仿宋_GB2312" w:eastAsia="仿宋_GB2312" w:cs="仿宋_GB2312"/>
              <w:color w:val="000000" w:themeColor="text1"/>
              <w:szCs w:val="28"/>
              <w14:textFill>
                <w14:solidFill>
                  <w14:schemeClr w14:val="tx1"/>
                </w14:solidFill>
              </w14:textFill>
            </w:rPr>
            <w:t>两区三镇</w:t>
          </w:r>
          <w:r>
            <w:rPr>
              <w:rFonts w:hint="eastAsia" w:ascii="仿宋_GB2312" w:hAnsi="仿宋_GB2312" w:eastAsia="仿宋_GB2312" w:cs="仿宋_GB2312"/>
              <w:color w:val="000000" w:themeColor="text1"/>
              <w:szCs w:val="28"/>
              <w:lang w:eastAsia="zh"/>
              <w14:textFill>
                <w14:solidFill>
                  <w14:schemeClr w14:val="tx1"/>
                </w14:solidFill>
              </w14:textFill>
            </w:rPr>
            <w:t>、</w:t>
          </w:r>
          <w:r>
            <w:rPr>
              <w:rFonts w:hint="eastAsia" w:ascii="仿宋_GB2312" w:hAnsi="仿宋_GB2312" w:eastAsia="仿宋_GB2312" w:cs="仿宋_GB2312"/>
              <w:color w:val="000000" w:themeColor="text1"/>
              <w:szCs w:val="28"/>
              <w14:textFill>
                <w14:solidFill>
                  <w14:schemeClr w14:val="tx1"/>
                </w14:solidFill>
              </w14:textFill>
            </w:rPr>
            <w:t>多园联动”的产业布局</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_Toc9131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9</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_Toc7069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二</w:t>
          </w:r>
          <w:r>
            <w:rPr>
              <w:rFonts w:hint="default" w:ascii="仿宋_GB2312" w:hAnsi="仿宋_GB2312" w:eastAsia="仿宋_GB2312" w:cs="仿宋_GB2312"/>
              <w:color w:val="000000" w:themeColor="text1"/>
              <w:szCs w:val="28"/>
              <w14:textFill>
                <w14:solidFill>
                  <w14:schemeClr w14:val="tx1"/>
                </w14:solidFill>
              </w14:textFill>
            </w:rPr>
            <w:t>、</w:t>
          </w:r>
          <w:r>
            <w:rPr>
              <w:rFonts w:hint="eastAsia" w:ascii="仿宋_GB2312" w:hAnsi="仿宋_GB2312" w:eastAsia="仿宋_GB2312" w:cs="仿宋_GB2312"/>
              <w:color w:val="000000" w:themeColor="text1"/>
              <w:szCs w:val="28"/>
              <w14:textFill>
                <w14:solidFill>
                  <w14:schemeClr w14:val="tx1"/>
                </w14:solidFill>
              </w14:textFill>
            </w:rPr>
            <w:t>优化产业空间供给，强化专业平台支撑</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_Toc7069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14</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_Toc26340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三</w:t>
          </w:r>
          <w:r>
            <w:rPr>
              <w:rFonts w:hint="default" w:ascii="仿宋_GB2312" w:hAnsi="仿宋_GB2312" w:eastAsia="仿宋_GB2312" w:cs="仿宋_GB2312"/>
              <w:color w:val="000000" w:themeColor="text1"/>
              <w:szCs w:val="28"/>
              <w14:textFill>
                <w14:solidFill>
                  <w14:schemeClr w14:val="tx1"/>
                </w14:solidFill>
              </w14:textFill>
            </w:rPr>
            <w:t>、</w:t>
          </w:r>
          <w:r>
            <w:rPr>
              <w:rFonts w:hint="eastAsia" w:ascii="仿宋_GB2312" w:hAnsi="仿宋_GB2312" w:eastAsia="仿宋_GB2312" w:cs="仿宋_GB2312"/>
              <w:color w:val="000000" w:themeColor="text1"/>
              <w:szCs w:val="28"/>
              <w14:textFill>
                <w14:solidFill>
                  <w14:schemeClr w14:val="tx1"/>
                </w14:solidFill>
              </w14:textFill>
            </w:rPr>
            <w:t>打造新型产业社区，产城人</w:t>
          </w:r>
          <w:r>
            <w:rPr>
              <w:rFonts w:hint="eastAsia" w:ascii="仿宋_GB2312" w:hAnsi="仿宋_GB2312" w:eastAsia="仿宋_GB2312" w:cs="仿宋_GB2312"/>
              <w:color w:val="000000" w:themeColor="text1"/>
              <w:szCs w:val="28"/>
              <w:lang w:eastAsia="zh"/>
              <w14:textFill>
                <w14:solidFill>
                  <w14:schemeClr w14:val="tx1"/>
                </w14:solidFill>
              </w14:textFill>
            </w:rPr>
            <w:t>一体化</w:t>
          </w:r>
          <w:r>
            <w:rPr>
              <w:rFonts w:hint="eastAsia" w:ascii="仿宋_GB2312" w:hAnsi="仿宋_GB2312" w:eastAsia="仿宋_GB2312" w:cs="仿宋_GB2312"/>
              <w:color w:val="000000" w:themeColor="text1"/>
              <w:szCs w:val="28"/>
              <w14:textFill>
                <w14:solidFill>
                  <w14:schemeClr w14:val="tx1"/>
                </w14:solidFill>
              </w14:textFill>
            </w:rPr>
            <w:t>发展</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_Toc26340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14</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4"/>
            <w:tabs>
              <w:tab w:val="right" w:leader="dot" w:pos="8306"/>
            </w:tabs>
          </w:pPr>
          <w:r>
            <w:rPr>
              <w:rFonts w:hint="eastAsia" w:ascii="仿宋_GB2312" w:hAnsi="仿宋_GB2312" w:cs="仿宋_GB2312"/>
              <w:color w:val="000000" w:themeColor="text1"/>
              <w:szCs w:val="28"/>
              <w14:textFill>
                <w14:solidFill>
                  <w14:schemeClr w14:val="tx1"/>
                </w14:solidFill>
              </w14:textFill>
            </w:rPr>
            <w:fldChar w:fldCharType="begin"/>
          </w:r>
          <w:r>
            <w:rPr>
              <w:rFonts w:hint="eastAsia" w:ascii="仿宋_GB2312" w:hAnsi="仿宋_GB2312" w:cs="仿宋_GB2312"/>
              <w:szCs w:val="28"/>
            </w:rPr>
            <w:instrText xml:space="preserve"> HYPERLINK \l _Toc23468 </w:instrText>
          </w:r>
          <w:r>
            <w:rPr>
              <w:rFonts w:hint="eastAsia" w:ascii="仿宋_GB2312" w:hAnsi="仿宋_GB2312" w:cs="仿宋_GB2312"/>
              <w:szCs w:val="28"/>
            </w:rPr>
            <w:fldChar w:fldCharType="separate"/>
          </w:r>
          <w:r>
            <w:rPr>
              <w:rFonts w:ascii="方正小标宋简体" w:hAnsi="方正小标宋简体" w:eastAsia="方正小标宋简体" w:cs="方正小标宋简体"/>
              <w:bCs w:val="0"/>
              <w:kern w:val="44"/>
              <w:szCs w:val="36"/>
            </w:rPr>
            <w:t>第三篇</w:t>
          </w:r>
          <w:r>
            <w:rPr>
              <w:rFonts w:hint="default" w:ascii="方正小标宋简体" w:hAnsi="方正小标宋简体" w:eastAsia="方正小标宋简体" w:cs="方正小标宋简体"/>
              <w:bCs w:val="0"/>
              <w:kern w:val="44"/>
              <w:szCs w:val="36"/>
            </w:rPr>
            <w:t xml:space="preserve"> </w:t>
          </w:r>
          <w:r>
            <w:rPr>
              <w:rFonts w:ascii="方正小标宋简体" w:hAnsi="方正小标宋简体" w:eastAsia="方正小标宋简体" w:cs="方正小标宋简体"/>
              <w:bCs w:val="0"/>
              <w:kern w:val="44"/>
              <w:szCs w:val="36"/>
            </w:rPr>
            <w:t>做强优势产业</w:t>
          </w:r>
          <w:r>
            <w:rPr>
              <w:rFonts w:hint="default" w:ascii="方正小标宋简体" w:hAnsi="方正小标宋简体" w:eastAsia="方正小标宋简体" w:cs="方正小标宋简体"/>
              <w:bCs w:val="0"/>
              <w:kern w:val="44"/>
              <w:szCs w:val="36"/>
            </w:rPr>
            <w:t xml:space="preserve"> </w:t>
          </w:r>
          <w:r>
            <w:rPr>
              <w:rFonts w:ascii="方正小标宋简体" w:hAnsi="方正小标宋简体" w:eastAsia="方正小标宋简体" w:cs="方正小标宋简体"/>
              <w:bCs w:val="0"/>
              <w:kern w:val="44"/>
              <w:szCs w:val="36"/>
            </w:rPr>
            <w:t>前瞻布局未来产业</w:t>
          </w:r>
          <w:r>
            <w:tab/>
          </w:r>
          <w:r>
            <w:fldChar w:fldCharType="begin"/>
          </w:r>
          <w:r>
            <w:instrText xml:space="preserve"> PAGEREF _Toc23468 \h </w:instrText>
          </w:r>
          <w:r>
            <w:fldChar w:fldCharType="separate"/>
          </w:r>
          <w:r>
            <w:t>15</w:t>
          </w:r>
          <w:r>
            <w:fldChar w:fldCharType="end"/>
          </w:r>
          <w:r>
            <w:rPr>
              <w:rFonts w:hint="eastAsia" w:ascii="仿宋_GB2312" w:hAnsi="仿宋_GB2312" w:cs="仿宋_GB2312"/>
              <w:color w:val="000000" w:themeColor="text1"/>
              <w:szCs w:val="28"/>
              <w14:textFill>
                <w14:solidFill>
                  <w14:schemeClr w14:val="tx1"/>
                </w14:solidFill>
              </w14:textFill>
            </w:rPr>
            <w:fldChar w:fldCharType="end"/>
          </w:r>
        </w:p>
        <w:p>
          <w:pPr>
            <w:pStyle w:val="20"/>
            <w:tabs>
              <w:tab w:val="right" w:leader="dot" w:pos="8306"/>
            </w:tabs>
            <w:rPr>
              <w:rFonts w:hint="eastAsia" w:ascii="楷体_GB2312" w:hAnsi="楷体_GB2312" w:eastAsia="楷体_GB2312" w:cs="楷体_GB2312"/>
              <w:color w:val="000000" w:themeColor="text1"/>
              <w:szCs w:val="28"/>
              <w14:textFill>
                <w14:solidFill>
                  <w14:schemeClr w14:val="tx1"/>
                </w14:solidFill>
              </w14:textFill>
            </w:rPr>
          </w:pP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HYPERLINK \l _Toc27050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default" w:ascii="楷体_GB2312" w:hAnsi="楷体_GB2312" w:eastAsia="楷体_GB2312" w:cs="楷体_GB2312"/>
              <w:color w:val="000000" w:themeColor="text1"/>
              <w:szCs w:val="28"/>
              <w14:textFill>
                <w14:solidFill>
                  <w14:schemeClr w14:val="tx1"/>
                </w14:solidFill>
              </w14:textFill>
            </w:rPr>
            <w:t>第</w:t>
          </w:r>
          <w:r>
            <w:rPr>
              <w:rFonts w:hint="eastAsia" w:ascii="楷体_GB2312" w:hAnsi="楷体_GB2312" w:eastAsia="楷体_GB2312" w:cs="楷体_GB2312"/>
              <w:color w:val="000000" w:themeColor="text1"/>
              <w:szCs w:val="28"/>
              <w14:textFill>
                <w14:solidFill>
                  <w14:schemeClr w14:val="tx1"/>
                </w14:solidFill>
              </w14:textFill>
            </w:rPr>
            <w:t>六</w:t>
          </w:r>
          <w:r>
            <w:rPr>
              <w:rFonts w:hint="default" w:ascii="楷体_GB2312" w:hAnsi="楷体_GB2312" w:eastAsia="楷体_GB2312" w:cs="楷体_GB2312"/>
              <w:color w:val="000000" w:themeColor="text1"/>
              <w:szCs w:val="28"/>
              <w14:textFill>
                <w14:solidFill>
                  <w14:schemeClr w14:val="tx1"/>
                </w14:solidFill>
              </w14:textFill>
            </w:rPr>
            <w:t>章</w:t>
          </w:r>
          <w:r>
            <w:rPr>
              <w:rFonts w:hint="eastAsia" w:ascii="楷体_GB2312" w:hAnsi="楷体_GB2312" w:eastAsia="楷体_GB2312" w:cs="楷体_GB2312"/>
              <w:color w:val="000000" w:themeColor="text1"/>
              <w:szCs w:val="28"/>
              <w14:textFill>
                <w14:solidFill>
                  <w14:schemeClr w14:val="tx1"/>
                </w14:solidFill>
              </w14:textFill>
            </w:rPr>
            <w:t xml:space="preserve"> 先进制造：构筑智造引领产链协同发展新生态</w:t>
          </w:r>
          <w:r>
            <w:rPr>
              <w:rFonts w:hint="eastAsia" w:ascii="楷体_GB2312" w:hAnsi="楷体_GB2312" w:eastAsia="楷体_GB2312" w:cs="楷体_GB2312"/>
              <w:color w:val="000000" w:themeColor="text1"/>
              <w:szCs w:val="28"/>
              <w14:textFill>
                <w14:solidFill>
                  <w14:schemeClr w14:val="tx1"/>
                </w14:solidFill>
              </w14:textFill>
            </w:rPr>
            <w:tab/>
          </w: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PAGEREF _Toc27050 \h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eastAsia" w:ascii="楷体_GB2312" w:hAnsi="楷体_GB2312" w:eastAsia="楷体_GB2312" w:cs="楷体_GB2312"/>
              <w:color w:val="000000" w:themeColor="text1"/>
              <w:szCs w:val="28"/>
              <w14:textFill>
                <w14:solidFill>
                  <w14:schemeClr w14:val="tx1"/>
                </w14:solidFill>
              </w14:textFill>
            </w:rPr>
            <w:t>15</w:t>
          </w:r>
          <w:r>
            <w:rPr>
              <w:rFonts w:hint="eastAsia" w:ascii="楷体_GB2312" w:hAnsi="楷体_GB2312" w:eastAsia="楷体_GB2312" w:cs="楷体_GB2312"/>
              <w:color w:val="000000" w:themeColor="text1"/>
              <w:szCs w:val="28"/>
              <w14:textFill>
                <w14:solidFill>
                  <w14:schemeClr w14:val="tx1"/>
                </w14:solidFill>
              </w14:textFill>
            </w:rPr>
            <w:fldChar w:fldCharType="end"/>
          </w:r>
          <w:r>
            <w:rPr>
              <w:rFonts w:hint="eastAsia" w:ascii="楷体_GB2312" w:hAnsi="楷体_GB2312" w:eastAsia="楷体_GB2312" w:cs="楷体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_Toc27167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一、聚力强链补链，打造智能网联新能源汽车核心引擎</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_Toc27167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15</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_Toc23327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二、深化医产协同，构筑医药健康全链条产业生态</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_Toc23327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16</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_Toc7157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lang w:val="en-US" w:eastAsia="zh-CN"/>
              <w14:textFill>
                <w14:solidFill>
                  <w14:schemeClr w14:val="tx1"/>
                </w14:solidFill>
              </w14:textFill>
            </w:rPr>
            <w:t>三</w:t>
          </w:r>
          <w:r>
            <w:rPr>
              <w:rFonts w:hint="eastAsia" w:ascii="仿宋_GB2312" w:hAnsi="仿宋_GB2312" w:eastAsia="仿宋_GB2312" w:cs="仿宋_GB2312"/>
              <w:color w:val="000000" w:themeColor="text1"/>
              <w:szCs w:val="28"/>
              <w14:textFill>
                <w14:solidFill>
                  <w14:schemeClr w14:val="tx1"/>
                </w14:solidFill>
              </w14:textFill>
            </w:rPr>
            <w:t>、攻坚高端</w:t>
          </w:r>
          <w:r>
            <w:rPr>
              <w:rFonts w:hint="eastAsia" w:ascii="仿宋_GB2312" w:hAnsi="仿宋_GB2312" w:eastAsia="仿宋_GB2312" w:cs="仿宋_GB2312"/>
              <w:color w:val="000000" w:themeColor="text1"/>
              <w:szCs w:val="28"/>
              <w:lang w:eastAsia="zh"/>
              <w14:textFill>
                <w14:solidFill>
                  <w14:schemeClr w14:val="tx1"/>
                </w14:solidFill>
              </w14:textFill>
            </w:rPr>
            <w:t>制造</w:t>
          </w:r>
          <w:r>
            <w:rPr>
              <w:rFonts w:hint="eastAsia" w:ascii="仿宋_GB2312" w:hAnsi="仿宋_GB2312" w:eastAsia="仿宋_GB2312" w:cs="仿宋_GB2312"/>
              <w:color w:val="000000" w:themeColor="text1"/>
              <w:szCs w:val="28"/>
              <w14:textFill>
                <w14:solidFill>
                  <w14:schemeClr w14:val="tx1"/>
                </w14:solidFill>
              </w14:textFill>
            </w:rPr>
            <w:t>，筑造智能装备产业新优势</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_Toc7157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17</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_Toc7457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lang w:val="en-US" w:eastAsia="zh-CN"/>
              <w14:textFill>
                <w14:solidFill>
                  <w14:schemeClr w14:val="tx1"/>
                </w14:solidFill>
              </w14:textFill>
            </w:rPr>
            <w:t>四</w:t>
          </w:r>
          <w:r>
            <w:rPr>
              <w:rFonts w:hint="eastAsia" w:ascii="仿宋_GB2312" w:hAnsi="仿宋_GB2312" w:eastAsia="仿宋_GB2312" w:cs="仿宋_GB2312"/>
              <w:color w:val="000000" w:themeColor="text1"/>
              <w:szCs w:val="28"/>
              <w14:textFill>
                <w14:solidFill>
                  <w14:schemeClr w14:val="tx1"/>
                </w14:solidFill>
              </w14:textFill>
            </w:rPr>
            <w:t>、服务城市高品质运行，发展绿色都市型产业</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_Toc7457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18</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20"/>
            <w:tabs>
              <w:tab w:val="right" w:leader="dot" w:pos="8306"/>
            </w:tabs>
            <w:rPr>
              <w:rFonts w:hint="eastAsia" w:ascii="楷体_GB2312" w:hAnsi="楷体_GB2312" w:eastAsia="楷体_GB2312" w:cs="楷体_GB2312"/>
              <w:color w:val="000000" w:themeColor="text1"/>
              <w:szCs w:val="28"/>
              <w14:textFill>
                <w14:solidFill>
                  <w14:schemeClr w14:val="tx1"/>
                </w14:solidFill>
              </w14:textFill>
            </w:rPr>
          </w:pP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HYPERLINK \l _Toc4356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default" w:ascii="楷体_GB2312" w:hAnsi="楷体_GB2312" w:eastAsia="楷体_GB2312" w:cs="楷体_GB2312"/>
              <w:color w:val="000000" w:themeColor="text1"/>
              <w:szCs w:val="28"/>
              <w14:textFill>
                <w14:solidFill>
                  <w14:schemeClr w14:val="tx1"/>
                </w14:solidFill>
              </w14:textFill>
            </w:rPr>
            <w:t>第七章 数字经济：打造首都东部数字经济发展高地</w:t>
          </w:r>
          <w:r>
            <w:rPr>
              <w:rFonts w:hint="eastAsia" w:ascii="楷体_GB2312" w:hAnsi="楷体_GB2312" w:eastAsia="楷体_GB2312" w:cs="楷体_GB2312"/>
              <w:color w:val="000000" w:themeColor="text1"/>
              <w:szCs w:val="28"/>
              <w14:textFill>
                <w14:solidFill>
                  <w14:schemeClr w14:val="tx1"/>
                </w14:solidFill>
              </w14:textFill>
            </w:rPr>
            <w:tab/>
          </w: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PAGEREF _Toc4356 \h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eastAsia" w:ascii="楷体_GB2312" w:hAnsi="楷体_GB2312" w:eastAsia="楷体_GB2312" w:cs="楷体_GB2312"/>
              <w:color w:val="000000" w:themeColor="text1"/>
              <w:szCs w:val="28"/>
              <w14:textFill>
                <w14:solidFill>
                  <w14:schemeClr w14:val="tx1"/>
                </w14:solidFill>
              </w14:textFill>
            </w:rPr>
            <w:t>19</w:t>
          </w:r>
          <w:r>
            <w:rPr>
              <w:rFonts w:hint="eastAsia" w:ascii="楷体_GB2312" w:hAnsi="楷体_GB2312" w:eastAsia="楷体_GB2312" w:cs="楷体_GB2312"/>
              <w:color w:val="000000" w:themeColor="text1"/>
              <w:szCs w:val="28"/>
              <w14:textFill>
                <w14:solidFill>
                  <w14:schemeClr w14:val="tx1"/>
                </w14:solidFill>
              </w14:textFill>
            </w:rPr>
            <w:fldChar w:fldCharType="end"/>
          </w:r>
          <w:r>
            <w:rPr>
              <w:rFonts w:hint="eastAsia" w:ascii="楷体_GB2312" w:hAnsi="楷体_GB2312" w:eastAsia="楷体_GB2312" w:cs="楷体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_Toc18392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一、聚力人工智能发展，做强赋能全局的核心引擎</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_Toc18392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19</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_Toc16852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二、</w:t>
          </w:r>
          <w:r>
            <w:rPr>
              <w:rFonts w:hint="eastAsia" w:ascii="仿宋_GB2312" w:hAnsi="仿宋_GB2312" w:eastAsia="仿宋_GB2312" w:cs="仿宋_GB2312"/>
              <w:color w:val="000000" w:themeColor="text1"/>
              <w:szCs w:val="28"/>
              <w:lang w:eastAsia="zh"/>
              <w14:textFill>
                <w14:solidFill>
                  <w14:schemeClr w14:val="tx1"/>
                </w14:solidFill>
              </w14:textFill>
            </w:rPr>
            <w:t>筑牢网络安全屏障</w:t>
          </w:r>
          <w:r>
            <w:rPr>
              <w:rFonts w:hint="eastAsia" w:ascii="仿宋_GB2312" w:hAnsi="仿宋_GB2312" w:eastAsia="仿宋_GB2312" w:cs="仿宋_GB2312"/>
              <w:color w:val="000000" w:themeColor="text1"/>
              <w:szCs w:val="28"/>
              <w14:textFill>
                <w14:solidFill>
                  <w14:schemeClr w14:val="tx1"/>
                </w14:solidFill>
              </w14:textFill>
            </w:rPr>
            <w:t>，</w:t>
          </w:r>
          <w:r>
            <w:rPr>
              <w:rFonts w:hint="eastAsia" w:ascii="仿宋_GB2312" w:hAnsi="仿宋_GB2312" w:eastAsia="仿宋_GB2312" w:cs="仿宋_GB2312"/>
              <w:color w:val="000000" w:themeColor="text1"/>
              <w:szCs w:val="28"/>
              <w:lang w:eastAsia="zh"/>
              <w14:textFill>
                <w14:solidFill>
                  <w14:schemeClr w14:val="tx1"/>
                </w14:solidFill>
              </w14:textFill>
            </w:rPr>
            <w:t>夯实数字经济根基</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_Toc16852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20</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_Toc13989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三</w:t>
          </w:r>
          <w:r>
            <w:rPr>
              <w:rFonts w:hint="default" w:ascii="仿宋_GB2312" w:hAnsi="仿宋_GB2312" w:eastAsia="仿宋_GB2312" w:cs="仿宋_GB2312"/>
              <w:color w:val="000000" w:themeColor="text1"/>
              <w:szCs w:val="28"/>
              <w14:textFill>
                <w14:solidFill>
                  <w14:schemeClr w14:val="tx1"/>
                </w14:solidFill>
              </w14:textFill>
            </w:rPr>
            <w:t>、做</w:t>
          </w:r>
          <w:r>
            <w:rPr>
              <w:rFonts w:hint="eastAsia" w:ascii="仿宋_GB2312" w:hAnsi="仿宋_GB2312" w:eastAsia="仿宋_GB2312" w:cs="仿宋_GB2312"/>
              <w:color w:val="000000" w:themeColor="text1"/>
              <w:szCs w:val="28"/>
              <w14:textFill>
                <w14:solidFill>
                  <w14:schemeClr w14:val="tx1"/>
                </w14:solidFill>
              </w14:textFill>
            </w:rPr>
            <w:t>优</w:t>
          </w:r>
          <w:r>
            <w:rPr>
              <w:rFonts w:hint="default" w:ascii="仿宋_GB2312" w:hAnsi="仿宋_GB2312" w:eastAsia="仿宋_GB2312" w:cs="仿宋_GB2312"/>
              <w:color w:val="000000" w:themeColor="text1"/>
              <w:szCs w:val="28"/>
              <w14:textFill>
                <w14:solidFill>
                  <w14:schemeClr w14:val="tx1"/>
                </w14:solidFill>
              </w14:textFill>
            </w:rPr>
            <w:t>数据产业，打造</w:t>
          </w:r>
          <w:r>
            <w:rPr>
              <w:rFonts w:hint="default" w:ascii="仿宋_GB2312" w:hAnsi="仿宋_GB2312" w:eastAsia="仿宋_GB2312" w:cs="仿宋_GB2312"/>
              <w:color w:val="000000" w:themeColor="text1"/>
              <w:szCs w:val="28"/>
              <w:lang w:eastAsia="zh"/>
              <w14:textFill>
                <w14:solidFill>
                  <w14:schemeClr w14:val="tx1"/>
                </w14:solidFill>
              </w14:textFill>
            </w:rPr>
            <w:t>首都</w:t>
          </w:r>
          <w:r>
            <w:rPr>
              <w:rFonts w:hint="default" w:ascii="仿宋_GB2312" w:hAnsi="仿宋_GB2312" w:eastAsia="仿宋_GB2312" w:cs="仿宋_GB2312"/>
              <w:color w:val="000000" w:themeColor="text1"/>
              <w:szCs w:val="28"/>
              <w14:textFill>
                <w14:solidFill>
                  <w14:schemeClr w14:val="tx1"/>
                </w14:solidFill>
              </w14:textFill>
            </w:rPr>
            <w:t>数据流通</w:t>
          </w:r>
          <w:r>
            <w:rPr>
              <w:rFonts w:hint="eastAsia" w:ascii="仿宋_GB2312" w:hAnsi="仿宋_GB2312" w:eastAsia="仿宋_GB2312" w:cs="仿宋_GB2312"/>
              <w:color w:val="000000" w:themeColor="text1"/>
              <w:szCs w:val="28"/>
              <w:lang w:eastAsia="zh"/>
              <w14:textFill>
                <w14:solidFill>
                  <w14:schemeClr w14:val="tx1"/>
                </w14:solidFill>
              </w14:textFill>
            </w:rPr>
            <w:t>枢纽</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_Toc13989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20</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20"/>
            <w:tabs>
              <w:tab w:val="right" w:leader="dot" w:pos="8306"/>
            </w:tabs>
            <w:rPr>
              <w:rFonts w:hint="eastAsia" w:ascii="楷体_GB2312" w:hAnsi="楷体_GB2312" w:eastAsia="楷体_GB2312" w:cs="楷体_GB2312"/>
              <w:color w:val="000000" w:themeColor="text1"/>
              <w:szCs w:val="28"/>
              <w14:textFill>
                <w14:solidFill>
                  <w14:schemeClr w14:val="tx1"/>
                </w14:solidFill>
              </w14:textFill>
            </w:rPr>
          </w:pP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HYPERLINK \l _Toc13658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default" w:ascii="楷体_GB2312" w:hAnsi="楷体_GB2312" w:eastAsia="楷体_GB2312" w:cs="楷体_GB2312"/>
              <w:color w:val="000000" w:themeColor="text1"/>
              <w:szCs w:val="28"/>
              <w14:textFill>
                <w14:solidFill>
                  <w14:schemeClr w14:val="tx1"/>
                </w14:solidFill>
              </w14:textFill>
            </w:rPr>
            <w:t xml:space="preserve">第八章 </w:t>
          </w:r>
          <w:r>
            <w:rPr>
              <w:rFonts w:hint="default" w:ascii="楷体_GB2312" w:hAnsi="楷体_GB2312" w:eastAsia="楷体_GB2312" w:cs="楷体_GB2312"/>
              <w:color w:val="000000" w:themeColor="text1"/>
              <w:szCs w:val="28"/>
              <w:lang w:eastAsia="zh"/>
              <w14:textFill>
                <w14:solidFill>
                  <w14:schemeClr w14:val="tx1"/>
                </w14:solidFill>
              </w14:textFill>
            </w:rPr>
            <w:t>现代金融：</w:t>
          </w:r>
          <w:r>
            <w:rPr>
              <w:rFonts w:hint="eastAsia" w:ascii="楷体_GB2312" w:hAnsi="楷体_GB2312" w:eastAsia="楷体_GB2312" w:cs="楷体_GB2312"/>
              <w:color w:val="000000" w:themeColor="text1"/>
              <w:szCs w:val="28"/>
              <w14:textFill>
                <w14:solidFill>
                  <w14:schemeClr w14:val="tx1"/>
                </w14:solidFill>
              </w14:textFill>
            </w:rPr>
            <w:t>建设</w:t>
          </w:r>
          <w:r>
            <w:rPr>
              <w:rFonts w:hint="default" w:ascii="楷体_GB2312" w:hAnsi="楷体_GB2312" w:eastAsia="楷体_GB2312" w:cs="楷体_GB2312"/>
              <w:color w:val="000000" w:themeColor="text1"/>
              <w:szCs w:val="28"/>
              <w:lang w:eastAsia="zh"/>
              <w14:textFill>
                <w14:solidFill>
                  <w14:schemeClr w14:val="tx1"/>
                </w14:solidFill>
              </w14:textFill>
            </w:rPr>
            <w:t>财富管理</w:t>
          </w:r>
          <w:r>
            <w:rPr>
              <w:rFonts w:hint="eastAsia" w:ascii="楷体_GB2312" w:hAnsi="楷体_GB2312" w:eastAsia="楷体_GB2312" w:cs="楷体_GB2312"/>
              <w:color w:val="000000" w:themeColor="text1"/>
              <w:szCs w:val="28"/>
              <w14:textFill>
                <w14:solidFill>
                  <w14:schemeClr w14:val="tx1"/>
                </w14:solidFill>
              </w14:textFill>
            </w:rPr>
            <w:t>与</w:t>
          </w:r>
          <w:r>
            <w:rPr>
              <w:rFonts w:hint="default" w:ascii="楷体_GB2312" w:hAnsi="楷体_GB2312" w:eastAsia="楷体_GB2312" w:cs="楷体_GB2312"/>
              <w:color w:val="000000" w:themeColor="text1"/>
              <w:szCs w:val="28"/>
              <w:lang w:eastAsia="zh"/>
              <w14:textFill>
                <w14:solidFill>
                  <w14:schemeClr w14:val="tx1"/>
                </w14:solidFill>
              </w14:textFill>
            </w:rPr>
            <w:t>绿色金融重要承载区</w:t>
          </w:r>
          <w:r>
            <w:rPr>
              <w:rFonts w:hint="eastAsia" w:ascii="楷体_GB2312" w:hAnsi="楷体_GB2312" w:eastAsia="楷体_GB2312" w:cs="楷体_GB2312"/>
              <w:color w:val="000000" w:themeColor="text1"/>
              <w:szCs w:val="28"/>
              <w14:textFill>
                <w14:solidFill>
                  <w14:schemeClr w14:val="tx1"/>
                </w14:solidFill>
              </w14:textFill>
            </w:rPr>
            <w:tab/>
          </w: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PAGEREF _Toc13658 \h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eastAsia" w:ascii="楷体_GB2312" w:hAnsi="楷体_GB2312" w:eastAsia="楷体_GB2312" w:cs="楷体_GB2312"/>
              <w:color w:val="000000" w:themeColor="text1"/>
              <w:szCs w:val="28"/>
              <w14:textFill>
                <w14:solidFill>
                  <w14:schemeClr w14:val="tx1"/>
                </w14:solidFill>
              </w14:textFill>
            </w:rPr>
            <w:t>21</w:t>
          </w:r>
          <w:r>
            <w:rPr>
              <w:rFonts w:hint="eastAsia" w:ascii="楷体_GB2312" w:hAnsi="楷体_GB2312" w:eastAsia="楷体_GB2312" w:cs="楷体_GB2312"/>
              <w:color w:val="000000" w:themeColor="text1"/>
              <w:szCs w:val="28"/>
              <w14:textFill>
                <w14:solidFill>
                  <w14:schemeClr w14:val="tx1"/>
                </w14:solidFill>
              </w14:textFill>
            </w:rPr>
            <w:fldChar w:fldCharType="end"/>
          </w:r>
          <w:r>
            <w:rPr>
              <w:rFonts w:hint="eastAsia" w:ascii="楷体_GB2312" w:hAnsi="楷体_GB2312" w:eastAsia="楷体_GB2312" w:cs="楷体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_Toc20850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一、</w:t>
          </w:r>
          <w:r>
            <w:rPr>
              <w:rFonts w:hint="default" w:ascii="仿宋_GB2312" w:hAnsi="仿宋_GB2312" w:eastAsia="仿宋_GB2312" w:cs="仿宋_GB2312"/>
              <w:color w:val="000000" w:themeColor="text1"/>
              <w:szCs w:val="28"/>
              <w14:textFill>
                <w14:solidFill>
                  <w14:schemeClr w14:val="tx1"/>
                </w14:solidFill>
              </w14:textFill>
            </w:rPr>
            <w:t>集聚一流优质金融机构，构建财富管理生态体系</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_Toc20850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21</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_Toc25972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二</w:t>
          </w:r>
          <w:r>
            <w:rPr>
              <w:rFonts w:hint="default" w:ascii="仿宋_GB2312" w:hAnsi="仿宋_GB2312" w:eastAsia="仿宋_GB2312" w:cs="仿宋_GB2312"/>
              <w:color w:val="000000" w:themeColor="text1"/>
              <w:szCs w:val="28"/>
              <w14:textFill>
                <w14:solidFill>
                  <w14:schemeClr w14:val="tx1"/>
                </w14:solidFill>
              </w14:textFill>
            </w:rPr>
            <w:t>、强化绿色金融创新功能，打造首都绿色金融高地</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_Toc25972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22</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_Toc7615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三、</w:t>
          </w:r>
          <w:r>
            <w:rPr>
              <w:rFonts w:hint="default" w:ascii="仿宋_GB2312" w:hAnsi="仿宋_GB2312" w:eastAsia="仿宋_GB2312" w:cs="仿宋_GB2312"/>
              <w:color w:val="000000" w:themeColor="text1"/>
              <w:szCs w:val="28"/>
              <w14:textFill>
                <w14:solidFill>
                  <w14:schemeClr w14:val="tx1"/>
                </w14:solidFill>
              </w14:textFill>
            </w:rPr>
            <w:t>完善金融科技生态体系，激发数字金融发展动能</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_Toc7615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22</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_Toc20565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四、提升金融服务实体能力，促进产业协同发展</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_Toc20565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23</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20"/>
            <w:tabs>
              <w:tab w:val="right" w:leader="dot" w:pos="8306"/>
            </w:tabs>
            <w:rPr>
              <w:rFonts w:hint="eastAsia" w:ascii="楷体_GB2312" w:hAnsi="楷体_GB2312" w:eastAsia="楷体_GB2312" w:cs="楷体_GB2312"/>
              <w:color w:val="000000" w:themeColor="text1"/>
              <w:szCs w:val="28"/>
              <w14:textFill>
                <w14:solidFill>
                  <w14:schemeClr w14:val="tx1"/>
                </w14:solidFill>
              </w14:textFill>
            </w:rPr>
          </w:pP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HYPERLINK \l _Toc15586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default" w:ascii="楷体_GB2312" w:hAnsi="楷体_GB2312" w:eastAsia="楷体_GB2312" w:cs="楷体_GB2312"/>
              <w:color w:val="000000" w:themeColor="text1"/>
              <w:szCs w:val="28"/>
              <w14:textFill>
                <w14:solidFill>
                  <w14:schemeClr w14:val="tx1"/>
                </w14:solidFill>
              </w14:textFill>
            </w:rPr>
            <w:t>第九章 商务服务：构建一流高端商务服务体系</w:t>
          </w:r>
          <w:r>
            <w:rPr>
              <w:rFonts w:hint="eastAsia" w:ascii="楷体_GB2312" w:hAnsi="楷体_GB2312" w:eastAsia="楷体_GB2312" w:cs="楷体_GB2312"/>
              <w:color w:val="000000" w:themeColor="text1"/>
              <w:szCs w:val="28"/>
              <w14:textFill>
                <w14:solidFill>
                  <w14:schemeClr w14:val="tx1"/>
                </w14:solidFill>
              </w14:textFill>
            </w:rPr>
            <w:tab/>
          </w: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PAGEREF _Toc15586 \h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eastAsia" w:ascii="楷体_GB2312" w:hAnsi="楷体_GB2312" w:eastAsia="楷体_GB2312" w:cs="楷体_GB2312"/>
              <w:color w:val="000000" w:themeColor="text1"/>
              <w:szCs w:val="28"/>
              <w14:textFill>
                <w14:solidFill>
                  <w14:schemeClr w14:val="tx1"/>
                </w14:solidFill>
              </w14:textFill>
            </w:rPr>
            <w:t>24</w:t>
          </w:r>
          <w:r>
            <w:rPr>
              <w:rFonts w:hint="eastAsia" w:ascii="楷体_GB2312" w:hAnsi="楷体_GB2312" w:eastAsia="楷体_GB2312" w:cs="楷体_GB2312"/>
              <w:color w:val="000000" w:themeColor="text1"/>
              <w:szCs w:val="28"/>
              <w14:textFill>
                <w14:solidFill>
                  <w14:schemeClr w14:val="tx1"/>
                </w14:solidFill>
              </w14:textFill>
            </w:rPr>
            <w:fldChar w:fldCharType="end"/>
          </w:r>
          <w:r>
            <w:rPr>
              <w:rFonts w:hint="eastAsia" w:ascii="楷体_GB2312" w:hAnsi="楷体_GB2312" w:eastAsia="楷体_GB2312" w:cs="楷体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_Toc26177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一、引培专业服务</w:t>
          </w:r>
          <w:r>
            <w:rPr>
              <w:rFonts w:hint="eastAsia" w:ascii="仿宋_GB2312" w:hAnsi="仿宋_GB2312" w:eastAsia="仿宋_GB2312" w:cs="仿宋_GB2312"/>
              <w:color w:val="000000" w:themeColor="text1"/>
              <w:szCs w:val="28"/>
              <w:lang w:eastAsia="zh"/>
              <w14:textFill>
                <w14:solidFill>
                  <w14:schemeClr w14:val="tx1"/>
                </w14:solidFill>
              </w14:textFill>
            </w:rPr>
            <w:t>业</w:t>
          </w:r>
          <w:r>
            <w:rPr>
              <w:rFonts w:hint="eastAsia" w:ascii="仿宋_GB2312" w:hAnsi="仿宋_GB2312" w:eastAsia="仿宋_GB2312" w:cs="仿宋_GB2312"/>
              <w:color w:val="000000" w:themeColor="text1"/>
              <w:szCs w:val="28"/>
              <w14:textFill>
                <w14:solidFill>
                  <w14:schemeClr w14:val="tx1"/>
                </w14:solidFill>
              </w14:textFill>
            </w:rPr>
            <w:t>，打造高质量服务集聚高地</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_Toc26177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24</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_Toc26946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二、集聚总部会展资源，增强区域开放带动能力</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_Toc26946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24</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_Toc15951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三、聚焦特色</w:t>
          </w:r>
          <w:r>
            <w:rPr>
              <w:rFonts w:hint="eastAsia" w:ascii="仿宋_GB2312" w:hAnsi="仿宋_GB2312" w:eastAsia="仿宋_GB2312" w:cs="仿宋_GB2312"/>
              <w:color w:val="000000" w:themeColor="text1"/>
              <w:szCs w:val="28"/>
              <w:lang w:eastAsia="zh"/>
              <w14:textFill>
                <w14:solidFill>
                  <w14:schemeClr w14:val="tx1"/>
                </w14:solidFill>
              </w14:textFill>
            </w:rPr>
            <w:t>商业</w:t>
          </w:r>
          <w:r>
            <w:rPr>
              <w:rFonts w:hint="eastAsia" w:ascii="仿宋_GB2312" w:hAnsi="仿宋_GB2312" w:eastAsia="仿宋_GB2312" w:cs="仿宋_GB2312"/>
              <w:color w:val="000000" w:themeColor="text1"/>
              <w:szCs w:val="28"/>
              <w14:textFill>
                <w14:solidFill>
                  <w14:schemeClr w14:val="tx1"/>
                </w14:solidFill>
              </w14:textFill>
            </w:rPr>
            <w:t>经济，提升区域</w:t>
          </w:r>
          <w:r>
            <w:rPr>
              <w:rFonts w:hint="eastAsia" w:ascii="仿宋_GB2312" w:hAnsi="仿宋_GB2312" w:eastAsia="仿宋_GB2312" w:cs="仿宋_GB2312"/>
              <w:color w:val="000000" w:themeColor="text1"/>
              <w:szCs w:val="28"/>
              <w:lang w:eastAsia="zh"/>
              <w14:textFill>
                <w14:solidFill>
                  <w14:schemeClr w14:val="tx1"/>
                </w14:solidFill>
              </w14:textFill>
            </w:rPr>
            <w:t>消费</w:t>
          </w:r>
          <w:r>
            <w:rPr>
              <w:rFonts w:hint="eastAsia" w:ascii="仿宋_GB2312" w:hAnsi="仿宋_GB2312" w:eastAsia="仿宋_GB2312" w:cs="仿宋_GB2312"/>
              <w:color w:val="000000" w:themeColor="text1"/>
              <w:szCs w:val="28"/>
              <w14:textFill>
                <w14:solidFill>
                  <w14:schemeClr w14:val="tx1"/>
                </w14:solidFill>
              </w14:textFill>
            </w:rPr>
            <w:t>服务能级</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_Toc15951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25</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20"/>
            <w:tabs>
              <w:tab w:val="right" w:leader="dot" w:pos="8306"/>
            </w:tabs>
            <w:rPr>
              <w:rFonts w:hint="eastAsia" w:ascii="楷体_GB2312" w:hAnsi="楷体_GB2312" w:eastAsia="楷体_GB2312" w:cs="楷体_GB2312"/>
              <w:color w:val="000000" w:themeColor="text1"/>
              <w:szCs w:val="28"/>
              <w14:textFill>
                <w14:solidFill>
                  <w14:schemeClr w14:val="tx1"/>
                </w14:solidFill>
              </w14:textFill>
            </w:rPr>
          </w:pP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HYPERLINK \l _Toc21162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default" w:ascii="楷体_GB2312" w:hAnsi="楷体_GB2312" w:eastAsia="楷体_GB2312" w:cs="楷体_GB2312"/>
              <w:color w:val="000000" w:themeColor="text1"/>
              <w:szCs w:val="28"/>
              <w14:textFill>
                <w14:solidFill>
                  <w14:schemeClr w14:val="tx1"/>
                </w14:solidFill>
              </w14:textFill>
            </w:rPr>
            <w:t>第十章 文化旅游：构筑文商旅体融合发展高地</w:t>
          </w:r>
          <w:r>
            <w:rPr>
              <w:rFonts w:hint="eastAsia" w:ascii="楷体_GB2312" w:hAnsi="楷体_GB2312" w:eastAsia="楷体_GB2312" w:cs="楷体_GB2312"/>
              <w:color w:val="000000" w:themeColor="text1"/>
              <w:szCs w:val="28"/>
              <w14:textFill>
                <w14:solidFill>
                  <w14:schemeClr w14:val="tx1"/>
                </w14:solidFill>
              </w14:textFill>
            </w:rPr>
            <w:tab/>
          </w: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PAGEREF _Toc21162 \h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eastAsia" w:ascii="楷体_GB2312" w:hAnsi="楷体_GB2312" w:eastAsia="楷体_GB2312" w:cs="楷体_GB2312"/>
              <w:color w:val="000000" w:themeColor="text1"/>
              <w:szCs w:val="28"/>
              <w14:textFill>
                <w14:solidFill>
                  <w14:schemeClr w14:val="tx1"/>
                </w14:solidFill>
              </w14:textFill>
            </w:rPr>
            <w:t>26</w:t>
          </w:r>
          <w:r>
            <w:rPr>
              <w:rFonts w:hint="eastAsia" w:ascii="楷体_GB2312" w:hAnsi="楷体_GB2312" w:eastAsia="楷体_GB2312" w:cs="楷体_GB2312"/>
              <w:color w:val="000000" w:themeColor="text1"/>
              <w:szCs w:val="28"/>
              <w14:textFill>
                <w14:solidFill>
                  <w14:schemeClr w14:val="tx1"/>
                </w14:solidFill>
              </w14:textFill>
            </w:rPr>
            <w:fldChar w:fldCharType="end"/>
          </w:r>
          <w:r>
            <w:rPr>
              <w:rFonts w:hint="eastAsia" w:ascii="楷体_GB2312" w:hAnsi="楷体_GB2312" w:eastAsia="楷体_GB2312" w:cs="楷体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_Toc4613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一、深挖文化内核，擦亮运河文化特色品牌</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_Toc4613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26</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_Toc31196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二、打造“环球+”文旅引擎，塑造首都消费新地标</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_Toc31196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26</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_Toc16141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三、</w:t>
          </w:r>
          <w:r>
            <w:rPr>
              <w:rFonts w:hint="eastAsia" w:ascii="仿宋_GB2312" w:hAnsi="仿宋_GB2312" w:eastAsia="仿宋_GB2312" w:cs="仿宋_GB2312"/>
              <w:color w:val="000000" w:themeColor="text1"/>
              <w:szCs w:val="28"/>
              <w:lang w:eastAsia="zh"/>
              <w14:textFill>
                <w14:solidFill>
                  <w14:schemeClr w14:val="tx1"/>
                </w14:solidFill>
              </w14:textFill>
            </w:rPr>
            <w:t>激活小镇发展动能，打造主题文化产业矩阵</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_Toc16141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27</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_Toc28171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四、布局数字文旅，构建网络视听产业发展高地</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_Toc28171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28</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_Toc18257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五、推动“赛事+”融合经济，培育文旅消费新增长极</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_Toc18257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29</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20"/>
            <w:tabs>
              <w:tab w:val="right" w:leader="dot" w:pos="8306"/>
            </w:tabs>
            <w:rPr>
              <w:rFonts w:hint="eastAsia" w:ascii="楷体_GB2312" w:hAnsi="楷体_GB2312" w:eastAsia="楷体_GB2312" w:cs="楷体_GB2312"/>
              <w:color w:val="000000" w:themeColor="text1"/>
              <w:szCs w:val="28"/>
              <w14:textFill>
                <w14:solidFill>
                  <w14:schemeClr w14:val="tx1"/>
                </w14:solidFill>
              </w14:textFill>
            </w:rPr>
          </w:pP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HYPERLINK \l _Toc8940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default" w:ascii="楷体_GB2312" w:hAnsi="楷体_GB2312" w:eastAsia="楷体_GB2312" w:cs="楷体_GB2312"/>
              <w:color w:val="000000" w:themeColor="text1"/>
              <w:szCs w:val="28"/>
              <w14:textFill>
                <w14:solidFill>
                  <w14:schemeClr w14:val="tx1"/>
                </w14:solidFill>
              </w14:textFill>
            </w:rPr>
            <w:t>第十一章 现代农业：打造都市型现代农业发展典范</w:t>
          </w:r>
          <w:r>
            <w:rPr>
              <w:rFonts w:hint="eastAsia" w:ascii="楷体_GB2312" w:hAnsi="楷体_GB2312" w:eastAsia="楷体_GB2312" w:cs="楷体_GB2312"/>
              <w:color w:val="000000" w:themeColor="text1"/>
              <w:szCs w:val="28"/>
              <w14:textFill>
                <w14:solidFill>
                  <w14:schemeClr w14:val="tx1"/>
                </w14:solidFill>
              </w14:textFill>
            </w:rPr>
            <w:tab/>
          </w: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PAGEREF _Toc8940 \h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eastAsia" w:ascii="楷体_GB2312" w:hAnsi="楷体_GB2312" w:eastAsia="楷体_GB2312" w:cs="楷体_GB2312"/>
              <w:color w:val="000000" w:themeColor="text1"/>
              <w:szCs w:val="28"/>
              <w14:textFill>
                <w14:solidFill>
                  <w14:schemeClr w14:val="tx1"/>
                </w14:solidFill>
              </w14:textFill>
            </w:rPr>
            <w:t>30</w:t>
          </w:r>
          <w:r>
            <w:rPr>
              <w:rFonts w:hint="eastAsia" w:ascii="楷体_GB2312" w:hAnsi="楷体_GB2312" w:eastAsia="楷体_GB2312" w:cs="楷体_GB2312"/>
              <w:color w:val="000000" w:themeColor="text1"/>
              <w:szCs w:val="28"/>
              <w14:textFill>
                <w14:solidFill>
                  <w14:schemeClr w14:val="tx1"/>
                </w14:solidFill>
              </w14:textFill>
            </w:rPr>
            <w:fldChar w:fldCharType="end"/>
          </w:r>
          <w:r>
            <w:rPr>
              <w:rFonts w:hint="eastAsia" w:ascii="楷体_GB2312" w:hAnsi="楷体_GB2312" w:eastAsia="楷体_GB2312" w:cs="楷体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_Toc19268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一、聚焦种业创新，建设现代种业创新示范区</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_Toc19268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30</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_Toc3190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lang w:val="en-US" w:eastAsia="zh-CN"/>
              <w14:textFill>
                <w14:solidFill>
                  <w14:schemeClr w14:val="tx1"/>
                </w14:solidFill>
              </w14:textFill>
            </w:rPr>
            <w:t>二</w:t>
          </w:r>
          <w:r>
            <w:rPr>
              <w:rFonts w:hint="eastAsia" w:ascii="仿宋_GB2312" w:hAnsi="仿宋_GB2312" w:eastAsia="仿宋_GB2312" w:cs="仿宋_GB2312"/>
              <w:color w:val="000000" w:themeColor="text1"/>
              <w:szCs w:val="28"/>
              <w14:textFill>
                <w14:solidFill>
                  <w14:schemeClr w14:val="tx1"/>
                </w14:solidFill>
              </w14:textFill>
            </w:rPr>
            <w:t>、深化三产融合，拓展农业多元价值与业态</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_Toc3190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31</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20"/>
            <w:tabs>
              <w:tab w:val="right" w:leader="dot" w:pos="8306"/>
            </w:tabs>
            <w:rPr>
              <w:rFonts w:hint="eastAsia" w:ascii="楷体_GB2312" w:hAnsi="楷体_GB2312" w:eastAsia="楷体_GB2312" w:cs="楷体_GB2312"/>
              <w:color w:val="000000" w:themeColor="text1"/>
              <w:szCs w:val="28"/>
              <w14:textFill>
                <w14:solidFill>
                  <w14:schemeClr w14:val="tx1"/>
                </w14:solidFill>
              </w14:textFill>
            </w:rPr>
          </w:pP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HYPERLINK \l _Toc5919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default" w:ascii="楷体_GB2312" w:hAnsi="楷体_GB2312" w:eastAsia="楷体_GB2312" w:cs="楷体_GB2312"/>
              <w:color w:val="000000" w:themeColor="text1"/>
              <w:szCs w:val="28"/>
              <w14:textFill>
                <w14:solidFill>
                  <w14:schemeClr w14:val="tx1"/>
                </w14:solidFill>
              </w14:textFill>
            </w:rPr>
            <w:t>第十二章 未来产业：抢占前沿赛道发展先机</w:t>
          </w:r>
          <w:r>
            <w:rPr>
              <w:rFonts w:hint="eastAsia" w:ascii="楷体_GB2312" w:hAnsi="楷体_GB2312" w:eastAsia="楷体_GB2312" w:cs="楷体_GB2312"/>
              <w:color w:val="000000" w:themeColor="text1"/>
              <w:szCs w:val="28"/>
              <w14:textFill>
                <w14:solidFill>
                  <w14:schemeClr w14:val="tx1"/>
                </w14:solidFill>
              </w14:textFill>
            </w:rPr>
            <w:tab/>
          </w: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PAGEREF _Toc5919 \h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eastAsia" w:ascii="楷体_GB2312" w:hAnsi="楷体_GB2312" w:eastAsia="楷体_GB2312" w:cs="楷体_GB2312"/>
              <w:color w:val="000000" w:themeColor="text1"/>
              <w:szCs w:val="28"/>
              <w14:textFill>
                <w14:solidFill>
                  <w14:schemeClr w14:val="tx1"/>
                </w14:solidFill>
              </w14:textFill>
            </w:rPr>
            <w:t>32</w:t>
          </w:r>
          <w:r>
            <w:rPr>
              <w:rFonts w:hint="eastAsia" w:ascii="楷体_GB2312" w:hAnsi="楷体_GB2312" w:eastAsia="楷体_GB2312" w:cs="楷体_GB2312"/>
              <w:color w:val="000000" w:themeColor="text1"/>
              <w:szCs w:val="28"/>
              <w14:textFill>
                <w14:solidFill>
                  <w14:schemeClr w14:val="tx1"/>
                </w14:solidFill>
              </w14:textFill>
            </w:rPr>
            <w:fldChar w:fldCharType="end"/>
          </w:r>
          <w:r>
            <w:rPr>
              <w:rFonts w:hint="eastAsia" w:ascii="楷体_GB2312" w:hAnsi="楷体_GB2312" w:eastAsia="楷体_GB2312" w:cs="楷体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_Toc21907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default" w:ascii="仿宋_GB2312" w:hAnsi="仿宋_GB2312" w:eastAsia="仿宋_GB2312" w:cs="仿宋_GB2312"/>
              <w:color w:val="000000" w:themeColor="text1"/>
              <w:szCs w:val="28"/>
              <w14:textFill>
                <w14:solidFill>
                  <w14:schemeClr w14:val="tx1"/>
                </w14:solidFill>
              </w14:textFill>
            </w:rPr>
            <w:t>一、抢抓未来信息发展先机，构筑数字技术前沿</w:t>
          </w:r>
          <w:r>
            <w:rPr>
              <w:rFonts w:hint="eastAsia" w:ascii="仿宋_GB2312" w:hAnsi="仿宋_GB2312" w:eastAsia="仿宋_GB2312" w:cs="仿宋_GB2312"/>
              <w:color w:val="000000" w:themeColor="text1"/>
              <w:szCs w:val="28"/>
              <w:lang w:eastAsia="zh"/>
              <w14:textFill>
                <w14:solidFill>
                  <w14:schemeClr w14:val="tx1"/>
                </w14:solidFill>
              </w14:textFill>
            </w:rPr>
            <w:t>引领</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_Toc21907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33</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_Toc25435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default" w:ascii="仿宋_GB2312" w:hAnsi="仿宋_GB2312" w:eastAsia="仿宋_GB2312" w:cs="仿宋_GB2312"/>
              <w:color w:val="000000" w:themeColor="text1"/>
              <w:szCs w:val="28"/>
              <w14:textFill>
                <w14:solidFill>
                  <w14:schemeClr w14:val="tx1"/>
                </w14:solidFill>
              </w14:textFill>
            </w:rPr>
            <w:t>二、打造未来健康前沿阵地，培育医工融合创新引擎</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_Toc25435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33</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_Toc28997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default" w:ascii="仿宋_GB2312" w:hAnsi="仿宋_GB2312" w:eastAsia="仿宋_GB2312" w:cs="仿宋_GB2312"/>
              <w:color w:val="000000" w:themeColor="text1"/>
              <w:szCs w:val="28"/>
              <w14:textFill>
                <w14:solidFill>
                  <w14:schemeClr w14:val="tx1"/>
                </w14:solidFill>
              </w14:textFill>
            </w:rPr>
            <w:t>三、培育壮大未来能源，建设低碳技术应用</w:t>
          </w:r>
          <w:r>
            <w:rPr>
              <w:rFonts w:hint="eastAsia" w:ascii="仿宋_GB2312" w:hAnsi="仿宋_GB2312" w:eastAsia="仿宋_GB2312" w:cs="仿宋_GB2312"/>
              <w:color w:val="000000" w:themeColor="text1"/>
              <w:szCs w:val="28"/>
              <w:lang w:eastAsia="zh"/>
              <w14:textFill>
                <w14:solidFill>
                  <w14:schemeClr w14:val="tx1"/>
                </w14:solidFill>
              </w14:textFill>
            </w:rPr>
            <w:t>新</w:t>
          </w:r>
          <w:r>
            <w:rPr>
              <w:rFonts w:hint="default" w:ascii="仿宋_GB2312" w:hAnsi="仿宋_GB2312" w:eastAsia="仿宋_GB2312" w:cs="仿宋_GB2312"/>
              <w:color w:val="000000" w:themeColor="text1"/>
              <w:szCs w:val="28"/>
              <w14:textFill>
                <w14:solidFill>
                  <w14:schemeClr w14:val="tx1"/>
                </w14:solidFill>
              </w14:textFill>
            </w:rPr>
            <w:t>高地</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_Toc28997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34</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_Toc10677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default" w:ascii="仿宋_GB2312" w:hAnsi="仿宋_GB2312" w:eastAsia="仿宋_GB2312" w:cs="仿宋_GB2312"/>
              <w:color w:val="000000" w:themeColor="text1"/>
              <w:szCs w:val="28"/>
              <w14:textFill>
                <w14:solidFill>
                  <w14:schemeClr w14:val="tx1"/>
                </w14:solidFill>
              </w14:textFill>
            </w:rPr>
            <w:t>四、前瞻布局潜力赛道，培育未来产业</w:t>
          </w:r>
          <w:r>
            <w:rPr>
              <w:rFonts w:hint="eastAsia" w:ascii="仿宋_GB2312" w:hAnsi="仿宋_GB2312" w:eastAsia="仿宋_GB2312" w:cs="仿宋_GB2312"/>
              <w:color w:val="000000" w:themeColor="text1"/>
              <w:szCs w:val="28"/>
              <w14:textFill>
                <w14:solidFill>
                  <w14:schemeClr w14:val="tx1"/>
                </w14:solidFill>
              </w14:textFill>
            </w:rPr>
            <w:t>发展</w:t>
          </w:r>
          <w:r>
            <w:rPr>
              <w:rFonts w:hint="default" w:ascii="仿宋_GB2312" w:hAnsi="仿宋_GB2312" w:eastAsia="仿宋_GB2312" w:cs="仿宋_GB2312"/>
              <w:color w:val="000000" w:themeColor="text1"/>
              <w:szCs w:val="28"/>
              <w14:textFill>
                <w14:solidFill>
                  <w14:schemeClr w14:val="tx1"/>
                </w14:solidFill>
              </w14:textFill>
            </w:rPr>
            <w:t>新动能</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_Toc10677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35</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4"/>
            <w:tabs>
              <w:tab w:val="right" w:leader="dot" w:pos="8306"/>
            </w:tabs>
          </w:pPr>
          <w:r>
            <w:rPr>
              <w:rFonts w:hint="eastAsia" w:ascii="仿宋_GB2312" w:hAnsi="仿宋_GB2312" w:cs="仿宋_GB2312"/>
              <w:color w:val="000000" w:themeColor="text1"/>
              <w:szCs w:val="28"/>
              <w14:textFill>
                <w14:solidFill>
                  <w14:schemeClr w14:val="tx1"/>
                </w14:solidFill>
              </w14:textFill>
            </w:rPr>
            <w:fldChar w:fldCharType="begin"/>
          </w:r>
          <w:r>
            <w:rPr>
              <w:rFonts w:hint="eastAsia" w:ascii="仿宋_GB2312" w:hAnsi="仿宋_GB2312" w:cs="仿宋_GB2312"/>
              <w:szCs w:val="28"/>
            </w:rPr>
            <w:instrText xml:space="preserve"> HYPERLINK \l _Toc526 </w:instrText>
          </w:r>
          <w:r>
            <w:rPr>
              <w:rFonts w:hint="eastAsia" w:ascii="仿宋_GB2312" w:hAnsi="仿宋_GB2312" w:cs="仿宋_GB2312"/>
              <w:szCs w:val="28"/>
            </w:rPr>
            <w:fldChar w:fldCharType="separate"/>
          </w:r>
          <w:r>
            <w:rPr>
              <w:rFonts w:ascii="方正小标宋简体" w:hAnsi="方正小标宋简体" w:eastAsia="方正小标宋简体" w:cs="方正小标宋简体"/>
              <w:bCs w:val="0"/>
              <w:kern w:val="44"/>
              <w:szCs w:val="36"/>
            </w:rPr>
            <w:t>第四篇 落实战略任务 构筑高质量发展强支撑</w:t>
          </w:r>
          <w:r>
            <w:tab/>
          </w:r>
          <w:r>
            <w:fldChar w:fldCharType="begin"/>
          </w:r>
          <w:r>
            <w:instrText xml:space="preserve"> PAGEREF _Toc526 \h </w:instrText>
          </w:r>
          <w:r>
            <w:fldChar w:fldCharType="separate"/>
          </w:r>
          <w:r>
            <w:t>37</w:t>
          </w:r>
          <w:r>
            <w:fldChar w:fldCharType="end"/>
          </w:r>
          <w:r>
            <w:rPr>
              <w:rFonts w:hint="eastAsia" w:ascii="仿宋_GB2312" w:hAnsi="仿宋_GB2312" w:cs="仿宋_GB2312"/>
              <w:color w:val="000000" w:themeColor="text1"/>
              <w:szCs w:val="28"/>
              <w14:textFill>
                <w14:solidFill>
                  <w14:schemeClr w14:val="tx1"/>
                </w14:solidFill>
              </w14:textFill>
            </w:rPr>
            <w:fldChar w:fldCharType="end"/>
          </w:r>
        </w:p>
        <w:p>
          <w:pPr>
            <w:pStyle w:val="20"/>
            <w:tabs>
              <w:tab w:val="right" w:leader="dot" w:pos="8306"/>
            </w:tabs>
            <w:rPr>
              <w:rFonts w:hint="eastAsia" w:ascii="楷体_GB2312" w:hAnsi="楷体_GB2312" w:eastAsia="楷体_GB2312" w:cs="楷体_GB2312"/>
              <w:color w:val="000000" w:themeColor="text1"/>
              <w:szCs w:val="28"/>
              <w14:textFill>
                <w14:solidFill>
                  <w14:schemeClr w14:val="tx1"/>
                </w14:solidFill>
              </w14:textFill>
            </w:rPr>
          </w:pP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HYPERLINK \l _Toc15219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default" w:ascii="楷体_GB2312" w:hAnsi="楷体_GB2312" w:eastAsia="楷体_GB2312" w:cs="楷体_GB2312"/>
              <w:color w:val="000000" w:themeColor="text1"/>
              <w:szCs w:val="28"/>
              <w14:textFill>
                <w14:solidFill>
                  <w14:schemeClr w14:val="tx1"/>
                </w14:solidFill>
              </w14:textFill>
            </w:rPr>
            <w:t>第</w:t>
          </w:r>
          <w:r>
            <w:rPr>
              <w:rFonts w:hint="eastAsia" w:ascii="楷体_GB2312" w:hAnsi="楷体_GB2312" w:eastAsia="楷体_GB2312" w:cs="楷体_GB2312"/>
              <w:color w:val="000000" w:themeColor="text1"/>
              <w:szCs w:val="28"/>
              <w14:textFill>
                <w14:solidFill>
                  <w14:schemeClr w14:val="tx1"/>
                </w14:solidFill>
              </w14:textFill>
            </w:rPr>
            <w:t>十三</w:t>
          </w:r>
          <w:r>
            <w:rPr>
              <w:rFonts w:hint="default" w:ascii="楷体_GB2312" w:hAnsi="楷体_GB2312" w:eastAsia="楷体_GB2312" w:cs="楷体_GB2312"/>
              <w:color w:val="000000" w:themeColor="text1"/>
              <w:szCs w:val="28"/>
              <w14:textFill>
                <w14:solidFill>
                  <w14:schemeClr w14:val="tx1"/>
                </w14:solidFill>
              </w14:textFill>
            </w:rPr>
            <w:t>章 深化要素市场</w:t>
          </w:r>
          <w:r>
            <w:rPr>
              <w:rFonts w:hint="eastAsia" w:ascii="楷体_GB2312" w:hAnsi="楷体_GB2312" w:eastAsia="楷体_GB2312" w:cs="楷体_GB2312"/>
              <w:color w:val="000000" w:themeColor="text1"/>
              <w:szCs w:val="28"/>
              <w14:textFill>
                <w14:solidFill>
                  <w14:schemeClr w14:val="tx1"/>
                </w14:solidFill>
              </w14:textFill>
            </w:rPr>
            <w:t>化</w:t>
          </w:r>
          <w:r>
            <w:rPr>
              <w:rFonts w:hint="default" w:ascii="楷体_GB2312" w:hAnsi="楷体_GB2312" w:eastAsia="楷体_GB2312" w:cs="楷体_GB2312"/>
              <w:color w:val="000000" w:themeColor="text1"/>
              <w:szCs w:val="28"/>
              <w14:textFill>
                <w14:solidFill>
                  <w14:schemeClr w14:val="tx1"/>
                </w14:solidFill>
              </w14:textFill>
            </w:rPr>
            <w:t>改革，强化新质生产力支撑</w:t>
          </w:r>
          <w:r>
            <w:rPr>
              <w:rFonts w:hint="eastAsia" w:ascii="楷体_GB2312" w:hAnsi="楷体_GB2312" w:eastAsia="楷体_GB2312" w:cs="楷体_GB2312"/>
              <w:color w:val="000000" w:themeColor="text1"/>
              <w:szCs w:val="28"/>
              <w14:textFill>
                <w14:solidFill>
                  <w14:schemeClr w14:val="tx1"/>
                </w14:solidFill>
              </w14:textFill>
            </w:rPr>
            <w:tab/>
          </w: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PAGEREF _Toc15219 \h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eastAsia" w:ascii="楷体_GB2312" w:hAnsi="楷体_GB2312" w:eastAsia="楷体_GB2312" w:cs="楷体_GB2312"/>
              <w:color w:val="000000" w:themeColor="text1"/>
              <w:szCs w:val="28"/>
              <w14:textFill>
                <w14:solidFill>
                  <w14:schemeClr w14:val="tx1"/>
                </w14:solidFill>
              </w14:textFill>
            </w:rPr>
            <w:t>37</w:t>
          </w:r>
          <w:r>
            <w:rPr>
              <w:rFonts w:hint="eastAsia" w:ascii="楷体_GB2312" w:hAnsi="楷体_GB2312" w:eastAsia="楷体_GB2312" w:cs="楷体_GB2312"/>
              <w:color w:val="000000" w:themeColor="text1"/>
              <w:szCs w:val="28"/>
              <w14:textFill>
                <w14:solidFill>
                  <w14:schemeClr w14:val="tx1"/>
                </w14:solidFill>
              </w14:textFill>
            </w:rPr>
            <w:fldChar w:fldCharType="end"/>
          </w:r>
          <w:r>
            <w:rPr>
              <w:rFonts w:hint="eastAsia" w:ascii="楷体_GB2312" w:hAnsi="楷体_GB2312" w:eastAsia="楷体_GB2312" w:cs="楷体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_Toc12712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一、强化科技要素支撑，提升创新转化能力</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_Toc12712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37</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_Toc27341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二、统筹土地要素配置，</w:t>
          </w:r>
          <w:r>
            <w:rPr>
              <w:rFonts w:hint="eastAsia" w:ascii="仿宋_GB2312" w:hAnsi="仿宋_GB2312" w:eastAsia="仿宋_GB2312" w:cs="仿宋_GB2312"/>
              <w:color w:val="000000" w:themeColor="text1"/>
              <w:szCs w:val="28"/>
              <w:lang w:eastAsia="zh"/>
              <w14:textFill>
                <w14:solidFill>
                  <w14:schemeClr w14:val="tx1"/>
                </w14:solidFill>
              </w14:textFill>
            </w:rPr>
            <w:t>优化</w:t>
          </w:r>
          <w:r>
            <w:rPr>
              <w:rFonts w:hint="eastAsia" w:ascii="仿宋_GB2312" w:hAnsi="仿宋_GB2312" w:eastAsia="仿宋_GB2312" w:cs="仿宋_GB2312"/>
              <w:color w:val="000000" w:themeColor="text1"/>
              <w:szCs w:val="28"/>
              <w14:textFill>
                <w14:solidFill>
                  <w14:schemeClr w14:val="tx1"/>
                </w14:solidFill>
              </w14:textFill>
            </w:rPr>
            <w:t>空间集约利用水平</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_Toc27341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38</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_Toc9027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三、优化人才要素供给，打造创新创业人才高地</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_Toc9027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39</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_Toc26789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lang w:eastAsia="zh"/>
              <w14:textFill>
                <w14:solidFill>
                  <w14:schemeClr w14:val="tx1"/>
                </w14:solidFill>
              </w14:textFill>
            </w:rPr>
            <w:t>四、</w:t>
          </w:r>
          <w:r>
            <w:rPr>
              <w:rFonts w:hint="eastAsia" w:ascii="仿宋_GB2312" w:hAnsi="仿宋_GB2312" w:eastAsia="仿宋_GB2312" w:cs="仿宋_GB2312"/>
              <w:color w:val="000000" w:themeColor="text1"/>
              <w:szCs w:val="28"/>
              <w14:textFill>
                <w14:solidFill>
                  <w14:schemeClr w14:val="tx1"/>
                </w14:solidFill>
              </w14:textFill>
            </w:rPr>
            <w:t>健全数据流通机制，构建高效安全数据要素体系</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_Toc26789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39</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_Toc16626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五、增强资本赋能支撑，促进金融服务实体经济质效</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_Toc16626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40</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20"/>
            <w:tabs>
              <w:tab w:val="right" w:leader="dot" w:pos="8306"/>
            </w:tabs>
            <w:rPr>
              <w:rFonts w:hint="eastAsia" w:ascii="楷体_GB2312" w:hAnsi="楷体_GB2312" w:eastAsia="楷体_GB2312" w:cs="楷体_GB2312"/>
              <w:color w:val="000000" w:themeColor="text1"/>
              <w:szCs w:val="28"/>
              <w14:textFill>
                <w14:solidFill>
                  <w14:schemeClr w14:val="tx1"/>
                </w14:solidFill>
              </w14:textFill>
            </w:rPr>
          </w:pP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HYPERLINK \l _Toc10393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default" w:ascii="楷体_GB2312" w:hAnsi="楷体_GB2312" w:eastAsia="楷体_GB2312" w:cs="楷体_GB2312"/>
              <w:color w:val="000000" w:themeColor="text1"/>
              <w:szCs w:val="28"/>
              <w14:textFill>
                <w14:solidFill>
                  <w14:schemeClr w14:val="tx1"/>
                </w14:solidFill>
              </w14:textFill>
            </w:rPr>
            <w:t>第</w:t>
          </w:r>
          <w:r>
            <w:rPr>
              <w:rFonts w:hint="eastAsia" w:ascii="楷体_GB2312" w:hAnsi="楷体_GB2312" w:eastAsia="楷体_GB2312" w:cs="楷体_GB2312"/>
              <w:color w:val="000000" w:themeColor="text1"/>
              <w:szCs w:val="28"/>
              <w14:textFill>
                <w14:solidFill>
                  <w14:schemeClr w14:val="tx1"/>
                </w14:solidFill>
              </w14:textFill>
            </w:rPr>
            <w:t>十四</w:t>
          </w:r>
          <w:r>
            <w:rPr>
              <w:rFonts w:hint="default" w:ascii="楷体_GB2312" w:hAnsi="楷体_GB2312" w:eastAsia="楷体_GB2312" w:cs="楷体_GB2312"/>
              <w:color w:val="000000" w:themeColor="text1"/>
              <w:szCs w:val="28"/>
              <w14:textFill>
                <w14:solidFill>
                  <w14:schemeClr w14:val="tx1"/>
                </w14:solidFill>
              </w14:textFill>
            </w:rPr>
            <w:t>章 促进绿色发展，高标准建设国家绿色发展示范区</w:t>
          </w:r>
          <w:r>
            <w:rPr>
              <w:rFonts w:hint="eastAsia" w:ascii="楷体_GB2312" w:hAnsi="楷体_GB2312" w:eastAsia="楷体_GB2312" w:cs="楷体_GB2312"/>
              <w:color w:val="000000" w:themeColor="text1"/>
              <w:szCs w:val="28"/>
              <w14:textFill>
                <w14:solidFill>
                  <w14:schemeClr w14:val="tx1"/>
                </w14:solidFill>
              </w14:textFill>
            </w:rPr>
            <w:tab/>
          </w: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PAGEREF _Toc10393 \h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eastAsia" w:ascii="楷体_GB2312" w:hAnsi="楷体_GB2312" w:eastAsia="楷体_GB2312" w:cs="楷体_GB2312"/>
              <w:color w:val="000000" w:themeColor="text1"/>
              <w:szCs w:val="28"/>
              <w14:textFill>
                <w14:solidFill>
                  <w14:schemeClr w14:val="tx1"/>
                </w14:solidFill>
              </w14:textFill>
            </w:rPr>
            <w:t>41</w:t>
          </w:r>
          <w:r>
            <w:rPr>
              <w:rFonts w:hint="eastAsia" w:ascii="楷体_GB2312" w:hAnsi="楷体_GB2312" w:eastAsia="楷体_GB2312" w:cs="楷体_GB2312"/>
              <w:color w:val="000000" w:themeColor="text1"/>
              <w:szCs w:val="28"/>
              <w14:textFill>
                <w14:solidFill>
                  <w14:schemeClr w14:val="tx1"/>
                </w14:solidFill>
              </w14:textFill>
            </w:rPr>
            <w:fldChar w:fldCharType="end"/>
          </w:r>
          <w:r>
            <w:rPr>
              <w:rFonts w:hint="eastAsia" w:ascii="楷体_GB2312" w:hAnsi="楷体_GB2312" w:eastAsia="楷体_GB2312" w:cs="楷体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_Toc29578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一、抢占绿色技术高地，增强创新引领能力</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_Toc29578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41</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_Toc13493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二、构建绿色产业生态，培育绿色发展新动能</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_Toc13493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42</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_Toc21549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三、推广绿色建筑模式，打造</w:t>
          </w:r>
          <w:r>
            <w:rPr>
              <w:rFonts w:hint="eastAsia" w:ascii="仿宋_GB2312" w:hAnsi="仿宋_GB2312" w:eastAsia="仿宋_GB2312" w:cs="仿宋_GB2312"/>
              <w:color w:val="000000" w:themeColor="text1"/>
              <w:szCs w:val="28"/>
              <w:lang w:eastAsia="zh"/>
              <w14:textFill>
                <w14:solidFill>
                  <w14:schemeClr w14:val="tx1"/>
                </w14:solidFill>
              </w14:textFill>
            </w:rPr>
            <w:t>零碳园区</w:t>
          </w:r>
          <w:r>
            <w:rPr>
              <w:rFonts w:hint="eastAsia" w:ascii="仿宋_GB2312" w:hAnsi="仿宋_GB2312" w:eastAsia="仿宋_GB2312" w:cs="仿宋_GB2312"/>
              <w:color w:val="000000" w:themeColor="text1"/>
              <w:szCs w:val="28"/>
              <w14:textFill>
                <w14:solidFill>
                  <w14:schemeClr w14:val="tx1"/>
                </w14:solidFill>
              </w14:textFill>
            </w:rPr>
            <w:t>示范</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_Toc21549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43</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20"/>
            <w:tabs>
              <w:tab w:val="right" w:leader="dot" w:pos="8306"/>
            </w:tabs>
            <w:rPr>
              <w:rFonts w:hint="eastAsia" w:ascii="楷体_GB2312" w:hAnsi="楷体_GB2312" w:eastAsia="楷体_GB2312" w:cs="楷体_GB2312"/>
              <w:color w:val="000000" w:themeColor="text1"/>
              <w:szCs w:val="28"/>
              <w14:textFill>
                <w14:solidFill>
                  <w14:schemeClr w14:val="tx1"/>
                </w14:solidFill>
              </w14:textFill>
            </w:rPr>
          </w:pP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HYPERLINK \l _Toc12813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default" w:ascii="楷体_GB2312" w:hAnsi="楷体_GB2312" w:eastAsia="楷体_GB2312" w:cs="楷体_GB2312"/>
              <w:color w:val="000000" w:themeColor="text1"/>
              <w:szCs w:val="28"/>
              <w14:textFill>
                <w14:solidFill>
                  <w14:schemeClr w14:val="tx1"/>
                </w14:solidFill>
              </w14:textFill>
            </w:rPr>
            <w:t>第</w:t>
          </w:r>
          <w:r>
            <w:rPr>
              <w:rFonts w:hint="eastAsia" w:ascii="楷体_GB2312" w:hAnsi="楷体_GB2312" w:eastAsia="楷体_GB2312" w:cs="楷体_GB2312"/>
              <w:color w:val="000000" w:themeColor="text1"/>
              <w:szCs w:val="28"/>
              <w14:textFill>
                <w14:solidFill>
                  <w14:schemeClr w14:val="tx1"/>
                </w14:solidFill>
              </w14:textFill>
            </w:rPr>
            <w:t>十五</w:t>
          </w:r>
          <w:r>
            <w:rPr>
              <w:rFonts w:hint="default" w:ascii="楷体_GB2312" w:hAnsi="楷体_GB2312" w:eastAsia="楷体_GB2312" w:cs="楷体_GB2312"/>
              <w:color w:val="000000" w:themeColor="text1"/>
              <w:szCs w:val="28"/>
              <w14:textFill>
                <w14:solidFill>
                  <w14:schemeClr w14:val="tx1"/>
                </w14:solidFill>
              </w14:textFill>
            </w:rPr>
            <w:t>章 深化协同，推动区域融合与功能提升</w:t>
          </w:r>
          <w:r>
            <w:rPr>
              <w:rFonts w:hint="eastAsia" w:ascii="楷体_GB2312" w:hAnsi="楷体_GB2312" w:eastAsia="楷体_GB2312" w:cs="楷体_GB2312"/>
              <w:color w:val="000000" w:themeColor="text1"/>
              <w:szCs w:val="28"/>
              <w14:textFill>
                <w14:solidFill>
                  <w14:schemeClr w14:val="tx1"/>
                </w14:solidFill>
              </w14:textFill>
            </w:rPr>
            <w:tab/>
          </w: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PAGEREF _Toc12813 \h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eastAsia" w:ascii="楷体_GB2312" w:hAnsi="楷体_GB2312" w:eastAsia="楷体_GB2312" w:cs="楷体_GB2312"/>
              <w:color w:val="000000" w:themeColor="text1"/>
              <w:szCs w:val="28"/>
              <w14:textFill>
                <w14:solidFill>
                  <w14:schemeClr w14:val="tx1"/>
                </w14:solidFill>
              </w14:textFill>
            </w:rPr>
            <w:t>43</w:t>
          </w:r>
          <w:r>
            <w:rPr>
              <w:rFonts w:hint="eastAsia" w:ascii="楷体_GB2312" w:hAnsi="楷体_GB2312" w:eastAsia="楷体_GB2312" w:cs="楷体_GB2312"/>
              <w:color w:val="000000" w:themeColor="text1"/>
              <w:szCs w:val="28"/>
              <w14:textFill>
                <w14:solidFill>
                  <w14:schemeClr w14:val="tx1"/>
                </w14:solidFill>
              </w14:textFill>
            </w:rPr>
            <w:fldChar w:fldCharType="end"/>
          </w:r>
          <w:r>
            <w:rPr>
              <w:rFonts w:hint="eastAsia" w:ascii="楷体_GB2312" w:hAnsi="楷体_GB2312" w:eastAsia="楷体_GB2312" w:cs="楷体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_Toc29697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一、强化京雄协同，助力创新共同体建设</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_Toc29697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43</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_Toc10778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二、加强京津冀协同，促进产业功能互补</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_Toc10778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44</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_Toc10209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三、推进区域协作，强化产业链共生发展</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_Toc10209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45</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4"/>
            <w:tabs>
              <w:tab w:val="right" w:leader="dot" w:pos="8306"/>
            </w:tabs>
          </w:pPr>
          <w:r>
            <w:rPr>
              <w:rFonts w:hint="eastAsia" w:ascii="仿宋_GB2312" w:hAnsi="仿宋_GB2312" w:cs="仿宋_GB2312"/>
              <w:color w:val="000000" w:themeColor="text1"/>
              <w:szCs w:val="28"/>
              <w14:textFill>
                <w14:solidFill>
                  <w14:schemeClr w14:val="tx1"/>
                </w14:solidFill>
              </w14:textFill>
            </w:rPr>
            <w:fldChar w:fldCharType="begin"/>
          </w:r>
          <w:r>
            <w:rPr>
              <w:rFonts w:hint="eastAsia" w:ascii="仿宋_GB2312" w:hAnsi="仿宋_GB2312" w:cs="仿宋_GB2312"/>
              <w:szCs w:val="28"/>
            </w:rPr>
            <w:instrText xml:space="preserve"> HYPERLINK \l _Toc21123 </w:instrText>
          </w:r>
          <w:r>
            <w:rPr>
              <w:rFonts w:hint="eastAsia" w:ascii="仿宋_GB2312" w:hAnsi="仿宋_GB2312" w:cs="仿宋_GB2312"/>
              <w:szCs w:val="28"/>
            </w:rPr>
            <w:fldChar w:fldCharType="separate"/>
          </w:r>
          <w:r>
            <w:rPr>
              <w:rFonts w:hint="eastAsia" w:ascii="方正小标宋简体" w:hAnsi="方正小标宋简体" w:eastAsia="方正小标宋简体" w:cs="方正小标宋简体"/>
              <w:bCs w:val="0"/>
              <w:kern w:val="44"/>
              <w:szCs w:val="36"/>
            </w:rPr>
            <w:t xml:space="preserve">第五篇 </w:t>
          </w:r>
          <w:r>
            <w:rPr>
              <w:rFonts w:hint="default" w:ascii="方正小标宋简体" w:hAnsi="方正小标宋简体" w:eastAsia="方正小标宋简体" w:cs="方正小标宋简体"/>
              <w:bCs w:val="0"/>
              <w:kern w:val="44"/>
              <w:szCs w:val="36"/>
            </w:rPr>
            <w:t xml:space="preserve">集聚发展动能 </w:t>
          </w:r>
          <w:r>
            <w:rPr>
              <w:rFonts w:ascii="方正小标宋简体" w:hAnsi="方正小标宋简体" w:eastAsia="方正小标宋简体" w:cs="方正小标宋简体"/>
              <w:bCs w:val="0"/>
              <w:kern w:val="44"/>
              <w:szCs w:val="36"/>
            </w:rPr>
            <w:t>构建产业发展</w:t>
          </w:r>
          <w:r>
            <w:rPr>
              <w:rFonts w:hint="default" w:ascii="方正小标宋简体" w:hAnsi="方正小标宋简体" w:eastAsia="方正小标宋简体" w:cs="方正小标宋简体"/>
              <w:bCs w:val="0"/>
              <w:kern w:val="44"/>
              <w:szCs w:val="36"/>
            </w:rPr>
            <w:t>创新生态</w:t>
          </w:r>
          <w:r>
            <w:tab/>
          </w:r>
          <w:r>
            <w:fldChar w:fldCharType="begin"/>
          </w:r>
          <w:r>
            <w:instrText xml:space="preserve"> PAGEREF _Toc21123 \h </w:instrText>
          </w:r>
          <w:r>
            <w:fldChar w:fldCharType="separate"/>
          </w:r>
          <w:r>
            <w:t>46</w:t>
          </w:r>
          <w:r>
            <w:fldChar w:fldCharType="end"/>
          </w:r>
          <w:r>
            <w:rPr>
              <w:rFonts w:hint="eastAsia" w:ascii="仿宋_GB2312" w:hAnsi="仿宋_GB2312" w:cs="仿宋_GB2312"/>
              <w:color w:val="000000" w:themeColor="text1"/>
              <w:szCs w:val="28"/>
              <w14:textFill>
                <w14:solidFill>
                  <w14:schemeClr w14:val="tx1"/>
                </w14:solidFill>
              </w14:textFill>
            </w:rPr>
            <w:fldChar w:fldCharType="end"/>
          </w:r>
        </w:p>
        <w:p>
          <w:pPr>
            <w:pStyle w:val="20"/>
            <w:tabs>
              <w:tab w:val="right" w:leader="dot" w:pos="8306"/>
            </w:tabs>
            <w:rPr>
              <w:rFonts w:hint="eastAsia" w:ascii="楷体_GB2312" w:hAnsi="楷体_GB2312" w:eastAsia="楷体_GB2312" w:cs="楷体_GB2312"/>
              <w:color w:val="000000" w:themeColor="text1"/>
              <w:szCs w:val="28"/>
              <w14:textFill>
                <w14:solidFill>
                  <w14:schemeClr w14:val="tx1"/>
                </w14:solidFill>
              </w14:textFill>
            </w:rPr>
          </w:pP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HYPERLINK \l _Toc6700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eastAsia" w:ascii="楷体_GB2312" w:hAnsi="楷体_GB2312" w:eastAsia="楷体_GB2312" w:cs="楷体_GB2312"/>
              <w:color w:val="000000" w:themeColor="text1"/>
              <w:szCs w:val="28"/>
              <w14:textFill>
                <w14:solidFill>
                  <w14:schemeClr w14:val="tx1"/>
                </w14:solidFill>
              </w14:textFill>
            </w:rPr>
            <w:t>第十六章 育链聚势，构建链群式产业生态圈</w:t>
          </w:r>
          <w:r>
            <w:rPr>
              <w:rFonts w:hint="eastAsia" w:ascii="楷体_GB2312" w:hAnsi="楷体_GB2312" w:eastAsia="楷体_GB2312" w:cs="楷体_GB2312"/>
              <w:color w:val="000000" w:themeColor="text1"/>
              <w:szCs w:val="28"/>
              <w14:textFill>
                <w14:solidFill>
                  <w14:schemeClr w14:val="tx1"/>
                </w14:solidFill>
              </w14:textFill>
            </w:rPr>
            <w:tab/>
          </w: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PAGEREF _Toc6700 \h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eastAsia" w:ascii="楷体_GB2312" w:hAnsi="楷体_GB2312" w:eastAsia="楷体_GB2312" w:cs="楷体_GB2312"/>
              <w:color w:val="000000" w:themeColor="text1"/>
              <w:szCs w:val="28"/>
              <w14:textFill>
                <w14:solidFill>
                  <w14:schemeClr w14:val="tx1"/>
                </w14:solidFill>
              </w14:textFill>
            </w:rPr>
            <w:t>46</w:t>
          </w:r>
          <w:r>
            <w:rPr>
              <w:rFonts w:hint="eastAsia" w:ascii="楷体_GB2312" w:hAnsi="楷体_GB2312" w:eastAsia="楷体_GB2312" w:cs="楷体_GB2312"/>
              <w:color w:val="000000" w:themeColor="text1"/>
              <w:szCs w:val="28"/>
              <w14:textFill>
                <w14:solidFill>
                  <w14:schemeClr w14:val="tx1"/>
                </w14:solidFill>
              </w14:textFill>
            </w:rPr>
            <w:fldChar w:fldCharType="end"/>
          </w:r>
          <w:r>
            <w:rPr>
              <w:rFonts w:hint="eastAsia" w:ascii="楷体_GB2312" w:hAnsi="楷体_GB2312" w:eastAsia="楷体_GB2312" w:cs="楷体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_Toc4662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一、强链补链延链，提升产业链协同韧性</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_Toc4662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46</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_Toc3060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二、深化融通发展，促进跨产业融合升级</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_Toc3060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47</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_Toc19545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三、强化校城融合，产教协同促进产业跃升</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_Toc19545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47</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20"/>
            <w:tabs>
              <w:tab w:val="right" w:leader="dot" w:pos="8306"/>
            </w:tabs>
            <w:rPr>
              <w:rFonts w:hint="eastAsia" w:ascii="楷体_GB2312" w:hAnsi="楷体_GB2312" w:eastAsia="楷体_GB2312" w:cs="楷体_GB2312"/>
              <w:color w:val="000000" w:themeColor="text1"/>
              <w:szCs w:val="28"/>
              <w14:textFill>
                <w14:solidFill>
                  <w14:schemeClr w14:val="tx1"/>
                </w14:solidFill>
              </w14:textFill>
            </w:rPr>
          </w:pP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HYPERLINK \l _Toc18620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default" w:ascii="楷体_GB2312" w:hAnsi="楷体_GB2312" w:eastAsia="楷体_GB2312" w:cs="楷体_GB2312"/>
              <w:color w:val="000000" w:themeColor="text1"/>
              <w:szCs w:val="28"/>
              <w14:textFill>
                <w14:solidFill>
                  <w14:schemeClr w14:val="tx1"/>
                </w14:solidFill>
              </w14:textFill>
            </w:rPr>
            <w:t>第</w:t>
          </w:r>
          <w:r>
            <w:rPr>
              <w:rFonts w:hint="eastAsia" w:ascii="楷体_GB2312" w:hAnsi="楷体_GB2312" w:eastAsia="楷体_GB2312" w:cs="楷体_GB2312"/>
              <w:color w:val="000000" w:themeColor="text1"/>
              <w:szCs w:val="28"/>
              <w14:textFill>
                <w14:solidFill>
                  <w14:schemeClr w14:val="tx1"/>
                </w14:solidFill>
              </w14:textFill>
            </w:rPr>
            <w:t>十七</w:t>
          </w:r>
          <w:r>
            <w:rPr>
              <w:rFonts w:hint="default" w:ascii="楷体_GB2312" w:hAnsi="楷体_GB2312" w:eastAsia="楷体_GB2312" w:cs="楷体_GB2312"/>
              <w:color w:val="000000" w:themeColor="text1"/>
              <w:szCs w:val="28"/>
              <w14:textFill>
                <w14:solidFill>
                  <w14:schemeClr w14:val="tx1"/>
                </w14:solidFill>
              </w14:textFill>
            </w:rPr>
            <w:t>章 场景牵引，赋能创新成果转化</w:t>
          </w:r>
          <w:r>
            <w:rPr>
              <w:rFonts w:hint="eastAsia" w:ascii="楷体_GB2312" w:hAnsi="楷体_GB2312" w:eastAsia="楷体_GB2312" w:cs="楷体_GB2312"/>
              <w:color w:val="000000" w:themeColor="text1"/>
              <w:szCs w:val="28"/>
              <w14:textFill>
                <w14:solidFill>
                  <w14:schemeClr w14:val="tx1"/>
                </w14:solidFill>
              </w14:textFill>
            </w:rPr>
            <w:tab/>
          </w: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PAGEREF _Toc18620 \h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eastAsia" w:ascii="楷体_GB2312" w:hAnsi="楷体_GB2312" w:eastAsia="楷体_GB2312" w:cs="楷体_GB2312"/>
              <w:color w:val="000000" w:themeColor="text1"/>
              <w:szCs w:val="28"/>
              <w14:textFill>
                <w14:solidFill>
                  <w14:schemeClr w14:val="tx1"/>
                </w14:solidFill>
              </w14:textFill>
            </w:rPr>
            <w:t>49</w:t>
          </w:r>
          <w:r>
            <w:rPr>
              <w:rFonts w:hint="eastAsia" w:ascii="楷体_GB2312" w:hAnsi="楷体_GB2312" w:eastAsia="楷体_GB2312" w:cs="楷体_GB2312"/>
              <w:color w:val="000000" w:themeColor="text1"/>
              <w:szCs w:val="28"/>
              <w14:textFill>
                <w14:solidFill>
                  <w14:schemeClr w14:val="tx1"/>
                </w14:solidFill>
              </w14:textFill>
            </w:rPr>
            <w:fldChar w:fldCharType="end"/>
          </w:r>
          <w:r>
            <w:rPr>
              <w:rFonts w:hint="eastAsia" w:ascii="楷体_GB2312" w:hAnsi="楷体_GB2312" w:eastAsia="楷体_GB2312" w:cs="楷体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_Toc1930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一、锚定重点方向，打造多元融合特色场景</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_Toc1930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49</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_Toc10543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二、打通供需链路，构建场景成果转化机制</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_Toc10543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49</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_Toc31810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三、完善支撑体系，培育场景协同发展生态</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_Toc31810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50</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20"/>
            <w:tabs>
              <w:tab w:val="right" w:leader="dot" w:pos="8306"/>
            </w:tabs>
            <w:rPr>
              <w:rFonts w:hint="eastAsia" w:ascii="楷体_GB2312" w:hAnsi="楷体_GB2312" w:eastAsia="楷体_GB2312" w:cs="楷体_GB2312"/>
              <w:color w:val="000000" w:themeColor="text1"/>
              <w:szCs w:val="28"/>
              <w14:textFill>
                <w14:solidFill>
                  <w14:schemeClr w14:val="tx1"/>
                </w14:solidFill>
              </w14:textFill>
            </w:rPr>
          </w:pP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HYPERLINK \l _Toc9327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eastAsia" w:ascii="楷体_GB2312" w:hAnsi="楷体_GB2312" w:eastAsia="楷体_GB2312" w:cs="楷体_GB2312"/>
              <w:color w:val="000000" w:themeColor="text1"/>
              <w:szCs w:val="28"/>
              <w14:textFill>
                <w14:solidFill>
                  <w14:schemeClr w14:val="tx1"/>
                </w14:solidFill>
              </w14:textFill>
            </w:rPr>
            <w:t>第十八章 深化服务</w:t>
          </w:r>
          <w:r>
            <w:rPr>
              <w:rFonts w:hint="eastAsia" w:ascii="楷体_GB2312" w:hAnsi="楷体_GB2312" w:eastAsia="楷体_GB2312" w:cs="楷体_GB2312"/>
              <w:color w:val="000000" w:themeColor="text1"/>
              <w:szCs w:val="28"/>
              <w:lang w:val="en-US" w:eastAsia="zh-CN"/>
              <w14:textFill>
                <w14:solidFill>
                  <w14:schemeClr w14:val="tx1"/>
                </w14:solidFill>
              </w14:textFill>
            </w:rPr>
            <w:t>，</w:t>
          </w:r>
          <w:r>
            <w:rPr>
              <w:rFonts w:hint="eastAsia" w:ascii="楷体_GB2312" w:hAnsi="楷体_GB2312" w:eastAsia="楷体_GB2312" w:cs="楷体_GB2312"/>
              <w:color w:val="000000" w:themeColor="text1"/>
              <w:szCs w:val="28"/>
              <w14:textFill>
                <w14:solidFill>
                  <w14:schemeClr w14:val="tx1"/>
                </w14:solidFill>
              </w14:textFill>
            </w:rPr>
            <w:t>精准靶向促增量</w:t>
          </w:r>
          <w:r>
            <w:rPr>
              <w:rFonts w:hint="eastAsia" w:ascii="楷体_GB2312" w:hAnsi="楷体_GB2312" w:eastAsia="楷体_GB2312" w:cs="楷体_GB2312"/>
              <w:color w:val="000000" w:themeColor="text1"/>
              <w:szCs w:val="28"/>
              <w14:textFill>
                <w14:solidFill>
                  <w14:schemeClr w14:val="tx1"/>
                </w14:solidFill>
              </w14:textFill>
            </w:rPr>
            <w:tab/>
          </w: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PAGEREF _Toc9327 \h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eastAsia" w:ascii="楷体_GB2312" w:hAnsi="楷体_GB2312" w:eastAsia="楷体_GB2312" w:cs="楷体_GB2312"/>
              <w:color w:val="000000" w:themeColor="text1"/>
              <w:szCs w:val="28"/>
              <w14:textFill>
                <w14:solidFill>
                  <w14:schemeClr w14:val="tx1"/>
                </w14:solidFill>
              </w14:textFill>
            </w:rPr>
            <w:t>50</w:t>
          </w:r>
          <w:r>
            <w:rPr>
              <w:rFonts w:hint="eastAsia" w:ascii="楷体_GB2312" w:hAnsi="楷体_GB2312" w:eastAsia="楷体_GB2312" w:cs="楷体_GB2312"/>
              <w:color w:val="000000" w:themeColor="text1"/>
              <w:szCs w:val="28"/>
              <w14:textFill>
                <w14:solidFill>
                  <w14:schemeClr w14:val="tx1"/>
                </w14:solidFill>
              </w14:textFill>
            </w:rPr>
            <w:fldChar w:fldCharType="end"/>
          </w:r>
          <w:r>
            <w:rPr>
              <w:rFonts w:hint="eastAsia" w:ascii="楷体_GB2312" w:hAnsi="楷体_GB2312" w:eastAsia="楷体_GB2312" w:cs="楷体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_Toc11114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lang w:val="en-US" w:eastAsia="zh-CN"/>
              <w14:textFill>
                <w14:solidFill>
                  <w14:schemeClr w14:val="tx1"/>
                </w14:solidFill>
              </w14:textFill>
            </w:rPr>
            <w:t>一</w:t>
          </w:r>
          <w:r>
            <w:rPr>
              <w:rFonts w:hint="eastAsia" w:ascii="仿宋_GB2312" w:hAnsi="仿宋_GB2312" w:eastAsia="仿宋_GB2312" w:cs="仿宋_GB2312"/>
              <w:color w:val="000000" w:themeColor="text1"/>
              <w:szCs w:val="28"/>
              <w14:textFill>
                <w14:solidFill>
                  <w14:schemeClr w14:val="tx1"/>
                </w14:solidFill>
              </w14:textFill>
            </w:rPr>
            <w:t>、聚焦</w:t>
          </w:r>
          <w:r>
            <w:rPr>
              <w:rFonts w:hint="eastAsia" w:ascii="仿宋_GB2312" w:hAnsi="仿宋_GB2312" w:eastAsia="仿宋_GB2312" w:cs="仿宋_GB2312"/>
              <w:color w:val="000000" w:themeColor="text1"/>
              <w:szCs w:val="28"/>
              <w:lang w:val="en-US" w:eastAsia="zh-CN"/>
              <w14:textFill>
                <w14:solidFill>
                  <w14:schemeClr w14:val="tx1"/>
                </w14:solidFill>
              </w14:textFill>
            </w:rPr>
            <w:t>关键节点</w:t>
          </w:r>
          <w:r>
            <w:rPr>
              <w:rFonts w:hint="eastAsia" w:ascii="仿宋_GB2312" w:hAnsi="仿宋_GB2312" w:eastAsia="仿宋_GB2312" w:cs="仿宋_GB2312"/>
              <w:color w:val="000000" w:themeColor="text1"/>
              <w:szCs w:val="28"/>
              <w14:textFill>
                <w14:solidFill>
                  <w14:schemeClr w14:val="tx1"/>
                </w14:solidFill>
              </w14:textFill>
            </w:rPr>
            <w:t>，提升招商专业化水平</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_Toc11114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50</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_Toc11496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lang w:val="en-US" w:eastAsia="zh-CN"/>
              <w14:textFill>
                <w14:solidFill>
                  <w14:schemeClr w14:val="tx1"/>
                </w14:solidFill>
              </w14:textFill>
            </w:rPr>
            <w:t>二</w:t>
          </w:r>
          <w:r>
            <w:rPr>
              <w:rFonts w:hint="eastAsia" w:ascii="仿宋_GB2312" w:hAnsi="仿宋_GB2312" w:eastAsia="仿宋_GB2312" w:cs="仿宋_GB2312"/>
              <w:color w:val="000000" w:themeColor="text1"/>
              <w:szCs w:val="28"/>
              <w14:textFill>
                <w14:solidFill>
                  <w14:schemeClr w14:val="tx1"/>
                </w14:solidFill>
              </w14:textFill>
            </w:rPr>
            <w:t>、统筹资源配置，增强服务保障能力</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_Toc11496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51</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20"/>
            <w:tabs>
              <w:tab w:val="right" w:leader="dot" w:pos="8306"/>
            </w:tabs>
            <w:rPr>
              <w:rFonts w:hint="eastAsia" w:ascii="楷体_GB2312" w:hAnsi="楷体_GB2312" w:eastAsia="楷体_GB2312" w:cs="楷体_GB2312"/>
              <w:color w:val="000000" w:themeColor="text1"/>
              <w:szCs w:val="28"/>
              <w14:textFill>
                <w14:solidFill>
                  <w14:schemeClr w14:val="tx1"/>
                </w14:solidFill>
              </w14:textFill>
            </w:rPr>
          </w:pP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HYPERLINK \l _Toc26194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default" w:ascii="楷体_GB2312" w:hAnsi="楷体_GB2312" w:eastAsia="楷体_GB2312" w:cs="楷体_GB2312"/>
              <w:color w:val="000000" w:themeColor="text1"/>
              <w:szCs w:val="28"/>
              <w14:textFill>
                <w14:solidFill>
                  <w14:schemeClr w14:val="tx1"/>
                </w14:solidFill>
              </w14:textFill>
            </w:rPr>
            <w:t>第</w:t>
          </w:r>
          <w:r>
            <w:rPr>
              <w:rFonts w:hint="eastAsia" w:ascii="楷体_GB2312" w:hAnsi="楷体_GB2312" w:eastAsia="楷体_GB2312" w:cs="楷体_GB2312"/>
              <w:color w:val="000000" w:themeColor="text1"/>
              <w:szCs w:val="28"/>
              <w14:textFill>
                <w14:solidFill>
                  <w14:schemeClr w14:val="tx1"/>
                </w14:solidFill>
              </w14:textFill>
            </w:rPr>
            <w:t>十</w:t>
          </w:r>
          <w:r>
            <w:rPr>
              <w:rFonts w:hint="eastAsia" w:ascii="楷体_GB2312" w:hAnsi="楷体_GB2312" w:eastAsia="楷体_GB2312" w:cs="楷体_GB2312"/>
              <w:color w:val="000000" w:themeColor="text1"/>
              <w:szCs w:val="28"/>
              <w:lang w:eastAsia="zh-CN"/>
              <w14:textFill>
                <w14:solidFill>
                  <w14:schemeClr w14:val="tx1"/>
                </w14:solidFill>
              </w14:textFill>
            </w:rPr>
            <w:t>九</w:t>
          </w:r>
          <w:r>
            <w:rPr>
              <w:rFonts w:hint="default" w:ascii="楷体_GB2312" w:hAnsi="楷体_GB2312" w:eastAsia="楷体_GB2312" w:cs="楷体_GB2312"/>
              <w:color w:val="000000" w:themeColor="text1"/>
              <w:szCs w:val="28"/>
              <w14:textFill>
                <w14:solidFill>
                  <w14:schemeClr w14:val="tx1"/>
                </w14:solidFill>
              </w14:textFill>
            </w:rPr>
            <w:t xml:space="preserve">章 </w:t>
          </w:r>
          <w:r>
            <w:rPr>
              <w:rFonts w:hint="eastAsia" w:ascii="楷体_GB2312" w:hAnsi="楷体_GB2312" w:eastAsia="楷体_GB2312" w:cs="楷体_GB2312"/>
              <w:color w:val="000000" w:themeColor="text1"/>
              <w:szCs w:val="28"/>
              <w14:textFill>
                <w14:solidFill>
                  <w14:schemeClr w14:val="tx1"/>
                </w14:solidFill>
              </w14:textFill>
            </w:rPr>
            <w:t>优化营商环境</w:t>
          </w:r>
          <w:r>
            <w:rPr>
              <w:rFonts w:hint="default" w:ascii="楷体_GB2312" w:hAnsi="楷体_GB2312" w:eastAsia="楷体_GB2312" w:cs="楷体_GB2312"/>
              <w:color w:val="000000" w:themeColor="text1"/>
              <w:szCs w:val="28"/>
              <w14:textFill>
                <w14:solidFill>
                  <w14:schemeClr w14:val="tx1"/>
                </w14:solidFill>
              </w14:textFill>
            </w:rPr>
            <w:t>，厚植企业发展沃土</w:t>
          </w:r>
          <w:r>
            <w:rPr>
              <w:rFonts w:hint="eastAsia" w:ascii="楷体_GB2312" w:hAnsi="楷体_GB2312" w:eastAsia="楷体_GB2312" w:cs="楷体_GB2312"/>
              <w:color w:val="000000" w:themeColor="text1"/>
              <w:szCs w:val="28"/>
              <w14:textFill>
                <w14:solidFill>
                  <w14:schemeClr w14:val="tx1"/>
                </w14:solidFill>
              </w14:textFill>
            </w:rPr>
            <w:tab/>
          </w: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PAGEREF _Toc26194 \h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eastAsia" w:ascii="楷体_GB2312" w:hAnsi="楷体_GB2312" w:eastAsia="楷体_GB2312" w:cs="楷体_GB2312"/>
              <w:color w:val="000000" w:themeColor="text1"/>
              <w:szCs w:val="28"/>
              <w14:textFill>
                <w14:solidFill>
                  <w14:schemeClr w14:val="tx1"/>
                </w14:solidFill>
              </w14:textFill>
            </w:rPr>
            <w:t>52</w:t>
          </w:r>
          <w:r>
            <w:rPr>
              <w:rFonts w:hint="eastAsia" w:ascii="楷体_GB2312" w:hAnsi="楷体_GB2312" w:eastAsia="楷体_GB2312" w:cs="楷体_GB2312"/>
              <w:color w:val="000000" w:themeColor="text1"/>
              <w:szCs w:val="28"/>
              <w14:textFill>
                <w14:solidFill>
                  <w14:schemeClr w14:val="tx1"/>
                </w14:solidFill>
              </w14:textFill>
            </w:rPr>
            <w:fldChar w:fldCharType="end"/>
          </w:r>
          <w:r>
            <w:rPr>
              <w:rFonts w:hint="eastAsia" w:ascii="楷体_GB2312" w:hAnsi="楷体_GB2312" w:eastAsia="楷体_GB2312" w:cs="楷体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_Toc15574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一、完善服务机制，构建全周期“服务包”制度</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_Toc15574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52</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_Toc15280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二、构建创新生态，</w:t>
          </w:r>
          <w:r>
            <w:rPr>
              <w:rFonts w:hint="eastAsia" w:ascii="仿宋_GB2312" w:hAnsi="仿宋_GB2312" w:eastAsia="仿宋_GB2312" w:cs="仿宋_GB2312"/>
              <w:color w:val="000000" w:themeColor="text1"/>
              <w:szCs w:val="28"/>
              <w:lang w:eastAsia="zh"/>
              <w14:textFill>
                <w14:solidFill>
                  <w14:schemeClr w14:val="tx1"/>
                </w14:solidFill>
              </w14:textFill>
            </w:rPr>
            <w:t>培育壮大新质生产力</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_Toc15280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52</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_Toc22494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三、多点发力提质效，打造一流营商环境标杆</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_Toc22494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53</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4"/>
            <w:tabs>
              <w:tab w:val="right" w:leader="dot" w:pos="8306"/>
            </w:tabs>
          </w:pPr>
          <w:r>
            <w:rPr>
              <w:rFonts w:hint="eastAsia" w:ascii="仿宋_GB2312" w:hAnsi="仿宋_GB2312" w:cs="仿宋_GB2312"/>
              <w:color w:val="000000" w:themeColor="text1"/>
              <w:szCs w:val="28"/>
              <w14:textFill>
                <w14:solidFill>
                  <w14:schemeClr w14:val="tx1"/>
                </w14:solidFill>
              </w14:textFill>
            </w:rPr>
            <w:fldChar w:fldCharType="begin"/>
          </w:r>
          <w:r>
            <w:rPr>
              <w:rFonts w:hint="eastAsia" w:ascii="仿宋_GB2312" w:hAnsi="仿宋_GB2312" w:cs="仿宋_GB2312"/>
              <w:szCs w:val="28"/>
            </w:rPr>
            <w:instrText xml:space="preserve"> HYPERLINK \l _Toc6485 </w:instrText>
          </w:r>
          <w:r>
            <w:rPr>
              <w:rFonts w:hint="eastAsia" w:ascii="仿宋_GB2312" w:hAnsi="仿宋_GB2312" w:cs="仿宋_GB2312"/>
              <w:szCs w:val="28"/>
            </w:rPr>
            <w:fldChar w:fldCharType="separate"/>
          </w:r>
          <w:r>
            <w:rPr>
              <w:rFonts w:hint="default" w:ascii="方正小标宋简体" w:hAnsi="方正小标宋简体" w:eastAsia="方正小标宋简体" w:cs="方正小标宋简体"/>
              <w:bCs w:val="0"/>
              <w:kern w:val="44"/>
              <w:szCs w:val="36"/>
            </w:rPr>
            <w:t>第</w:t>
          </w:r>
          <w:r>
            <w:rPr>
              <w:rFonts w:ascii="方正小标宋简体" w:hAnsi="方正小标宋简体" w:eastAsia="方正小标宋简体" w:cs="方正小标宋简体"/>
              <w:bCs w:val="0"/>
              <w:kern w:val="44"/>
              <w:szCs w:val="36"/>
            </w:rPr>
            <w:t>六</w:t>
          </w:r>
          <w:r>
            <w:rPr>
              <w:rFonts w:hint="default" w:ascii="方正小标宋简体" w:hAnsi="方正小标宋简体" w:eastAsia="方正小标宋简体" w:cs="方正小标宋简体"/>
              <w:bCs w:val="0"/>
              <w:kern w:val="44"/>
              <w:szCs w:val="36"/>
            </w:rPr>
            <w:t>篇 健全保障体系 确保规划落地见效</w:t>
          </w:r>
          <w:r>
            <w:tab/>
          </w:r>
          <w:r>
            <w:fldChar w:fldCharType="begin"/>
          </w:r>
          <w:r>
            <w:instrText xml:space="preserve"> PAGEREF _Toc6485 \h </w:instrText>
          </w:r>
          <w:r>
            <w:fldChar w:fldCharType="separate"/>
          </w:r>
          <w:r>
            <w:t>55</w:t>
          </w:r>
          <w:r>
            <w:fldChar w:fldCharType="end"/>
          </w:r>
          <w:r>
            <w:rPr>
              <w:rFonts w:hint="eastAsia" w:ascii="仿宋_GB2312" w:hAnsi="仿宋_GB2312" w:cs="仿宋_GB2312"/>
              <w:color w:val="000000" w:themeColor="text1"/>
              <w:szCs w:val="28"/>
              <w14:textFill>
                <w14:solidFill>
                  <w14:schemeClr w14:val="tx1"/>
                </w14:solidFill>
              </w14:textFill>
            </w:rPr>
            <w:fldChar w:fldCharType="end"/>
          </w:r>
        </w:p>
        <w:p>
          <w:pPr>
            <w:pStyle w:val="20"/>
            <w:tabs>
              <w:tab w:val="right" w:leader="dot" w:pos="8306"/>
            </w:tabs>
            <w:rPr>
              <w:rFonts w:hint="eastAsia" w:ascii="楷体_GB2312" w:hAnsi="楷体_GB2312" w:eastAsia="楷体_GB2312" w:cs="楷体_GB2312"/>
              <w:color w:val="000000" w:themeColor="text1"/>
              <w:szCs w:val="28"/>
              <w14:textFill>
                <w14:solidFill>
                  <w14:schemeClr w14:val="tx1"/>
                </w14:solidFill>
              </w14:textFill>
            </w:rPr>
          </w:pP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HYPERLINK \l _Toc12892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default" w:ascii="楷体_GB2312" w:hAnsi="楷体_GB2312" w:eastAsia="楷体_GB2312" w:cs="楷体_GB2312"/>
              <w:color w:val="000000" w:themeColor="text1"/>
              <w:szCs w:val="28"/>
              <w14:textFill>
                <w14:solidFill>
                  <w14:schemeClr w14:val="tx1"/>
                </w14:solidFill>
              </w14:textFill>
            </w:rPr>
            <w:t>第</w:t>
          </w:r>
          <w:r>
            <w:rPr>
              <w:rFonts w:hint="eastAsia" w:ascii="楷体_GB2312" w:hAnsi="楷体_GB2312" w:eastAsia="楷体_GB2312" w:cs="楷体_GB2312"/>
              <w:color w:val="000000" w:themeColor="text1"/>
              <w:szCs w:val="28"/>
              <w:lang w:eastAsia="zh-CN"/>
              <w14:textFill>
                <w14:solidFill>
                  <w14:schemeClr w14:val="tx1"/>
                </w14:solidFill>
              </w14:textFill>
            </w:rPr>
            <w:t>二十</w:t>
          </w:r>
          <w:r>
            <w:rPr>
              <w:rFonts w:hint="default" w:ascii="楷体_GB2312" w:hAnsi="楷体_GB2312" w:eastAsia="楷体_GB2312" w:cs="楷体_GB2312"/>
              <w:color w:val="000000" w:themeColor="text1"/>
              <w:szCs w:val="28"/>
              <w14:textFill>
                <w14:solidFill>
                  <w14:schemeClr w14:val="tx1"/>
                </w14:solidFill>
              </w14:textFill>
            </w:rPr>
            <w:t>章 党建引领健全协同推进机制</w:t>
          </w:r>
          <w:r>
            <w:rPr>
              <w:rFonts w:hint="eastAsia" w:ascii="楷体_GB2312" w:hAnsi="楷体_GB2312" w:eastAsia="楷体_GB2312" w:cs="楷体_GB2312"/>
              <w:color w:val="000000" w:themeColor="text1"/>
              <w:szCs w:val="28"/>
              <w14:textFill>
                <w14:solidFill>
                  <w14:schemeClr w14:val="tx1"/>
                </w14:solidFill>
              </w14:textFill>
            </w:rPr>
            <w:tab/>
          </w: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PAGEREF _Toc12892 \h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eastAsia" w:ascii="楷体_GB2312" w:hAnsi="楷体_GB2312" w:eastAsia="楷体_GB2312" w:cs="楷体_GB2312"/>
              <w:color w:val="000000" w:themeColor="text1"/>
              <w:szCs w:val="28"/>
              <w14:textFill>
                <w14:solidFill>
                  <w14:schemeClr w14:val="tx1"/>
                </w14:solidFill>
              </w14:textFill>
            </w:rPr>
            <w:t>55</w:t>
          </w:r>
          <w:r>
            <w:rPr>
              <w:rFonts w:hint="eastAsia" w:ascii="楷体_GB2312" w:hAnsi="楷体_GB2312" w:eastAsia="楷体_GB2312" w:cs="楷体_GB2312"/>
              <w:color w:val="000000" w:themeColor="text1"/>
              <w:szCs w:val="28"/>
              <w14:textFill>
                <w14:solidFill>
                  <w14:schemeClr w14:val="tx1"/>
                </w14:solidFill>
              </w14:textFill>
            </w:rPr>
            <w:fldChar w:fldCharType="end"/>
          </w:r>
          <w:r>
            <w:rPr>
              <w:rFonts w:hint="eastAsia" w:ascii="楷体_GB2312" w:hAnsi="楷体_GB2312" w:eastAsia="楷体_GB2312" w:cs="楷体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_Toc12465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一、强化党建引领，促进规划实施“一盘棋”</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_Toc12465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55</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_Toc29796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二、强化协同联动，提升规划实施效能</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_Toc29796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55</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_Toc23653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三、强化园镇协同，打通落地“最后一公里”</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_Toc23653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55</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20"/>
            <w:tabs>
              <w:tab w:val="right" w:leader="dot" w:pos="8306"/>
            </w:tabs>
            <w:rPr>
              <w:rFonts w:hint="eastAsia" w:ascii="楷体_GB2312" w:hAnsi="楷体_GB2312" w:eastAsia="楷体_GB2312" w:cs="楷体_GB2312"/>
              <w:color w:val="000000" w:themeColor="text1"/>
              <w:szCs w:val="28"/>
              <w14:textFill>
                <w14:solidFill>
                  <w14:schemeClr w14:val="tx1"/>
                </w14:solidFill>
              </w14:textFill>
            </w:rPr>
          </w:pP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HYPERLINK \l _Toc32132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default" w:ascii="楷体_GB2312" w:hAnsi="楷体_GB2312" w:eastAsia="楷体_GB2312" w:cs="楷体_GB2312"/>
              <w:color w:val="000000" w:themeColor="text1"/>
              <w:szCs w:val="28"/>
              <w14:textFill>
                <w14:solidFill>
                  <w14:schemeClr w14:val="tx1"/>
                </w14:solidFill>
              </w14:textFill>
            </w:rPr>
            <w:t>第</w:t>
          </w:r>
          <w:r>
            <w:rPr>
              <w:rFonts w:hint="eastAsia" w:ascii="楷体_GB2312" w:hAnsi="楷体_GB2312" w:eastAsia="楷体_GB2312" w:cs="楷体_GB2312"/>
              <w:color w:val="000000" w:themeColor="text1"/>
              <w:szCs w:val="28"/>
              <w14:textFill>
                <w14:solidFill>
                  <w14:schemeClr w14:val="tx1"/>
                </w14:solidFill>
              </w14:textFill>
            </w:rPr>
            <w:t>二十</w:t>
          </w:r>
          <w:r>
            <w:rPr>
              <w:rFonts w:hint="eastAsia" w:ascii="楷体_GB2312" w:hAnsi="楷体_GB2312" w:eastAsia="楷体_GB2312" w:cs="楷体_GB2312"/>
              <w:color w:val="000000" w:themeColor="text1"/>
              <w:szCs w:val="28"/>
              <w:lang w:eastAsia="zh-CN"/>
              <w14:textFill>
                <w14:solidFill>
                  <w14:schemeClr w14:val="tx1"/>
                </w14:solidFill>
              </w14:textFill>
            </w:rPr>
            <w:t>一</w:t>
          </w:r>
          <w:r>
            <w:rPr>
              <w:rFonts w:hint="default" w:ascii="楷体_GB2312" w:hAnsi="楷体_GB2312" w:eastAsia="楷体_GB2312" w:cs="楷体_GB2312"/>
              <w:color w:val="000000" w:themeColor="text1"/>
              <w:szCs w:val="28"/>
              <w14:textFill>
                <w14:solidFill>
                  <w14:schemeClr w14:val="tx1"/>
                </w14:solidFill>
              </w14:textFill>
            </w:rPr>
            <w:t>章 完善政策集成</w:t>
          </w:r>
          <w:r>
            <w:rPr>
              <w:rFonts w:hint="eastAsia" w:ascii="楷体_GB2312" w:hAnsi="楷体_GB2312" w:eastAsia="楷体_GB2312" w:cs="楷体_GB2312"/>
              <w:color w:val="000000" w:themeColor="text1"/>
              <w:szCs w:val="28"/>
              <w14:textFill>
                <w14:solidFill>
                  <w14:schemeClr w14:val="tx1"/>
                </w14:solidFill>
              </w14:textFill>
            </w:rPr>
            <w:t>强化</w:t>
          </w:r>
          <w:r>
            <w:rPr>
              <w:rFonts w:hint="default" w:ascii="楷体_GB2312" w:hAnsi="楷体_GB2312" w:eastAsia="楷体_GB2312" w:cs="楷体_GB2312"/>
              <w:color w:val="000000" w:themeColor="text1"/>
              <w:szCs w:val="28"/>
              <w14:textFill>
                <w14:solidFill>
                  <w14:schemeClr w14:val="tx1"/>
                </w14:solidFill>
              </w14:textFill>
            </w:rPr>
            <w:t>项目保障</w:t>
          </w:r>
          <w:r>
            <w:rPr>
              <w:rFonts w:hint="eastAsia" w:ascii="楷体_GB2312" w:hAnsi="楷体_GB2312" w:eastAsia="楷体_GB2312" w:cs="楷体_GB2312"/>
              <w:color w:val="000000" w:themeColor="text1"/>
              <w:szCs w:val="28"/>
              <w14:textFill>
                <w14:solidFill>
                  <w14:schemeClr w14:val="tx1"/>
                </w14:solidFill>
              </w14:textFill>
            </w:rPr>
            <w:tab/>
          </w: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PAGEREF _Toc32132 \h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eastAsia" w:ascii="楷体_GB2312" w:hAnsi="楷体_GB2312" w:eastAsia="楷体_GB2312" w:cs="楷体_GB2312"/>
              <w:color w:val="000000" w:themeColor="text1"/>
              <w:szCs w:val="28"/>
              <w14:textFill>
                <w14:solidFill>
                  <w14:schemeClr w14:val="tx1"/>
                </w14:solidFill>
              </w14:textFill>
            </w:rPr>
            <w:t>55</w:t>
          </w:r>
          <w:r>
            <w:rPr>
              <w:rFonts w:hint="eastAsia" w:ascii="楷体_GB2312" w:hAnsi="楷体_GB2312" w:eastAsia="楷体_GB2312" w:cs="楷体_GB2312"/>
              <w:color w:val="000000" w:themeColor="text1"/>
              <w:szCs w:val="28"/>
              <w14:textFill>
                <w14:solidFill>
                  <w14:schemeClr w14:val="tx1"/>
                </w14:solidFill>
              </w14:textFill>
            </w:rPr>
            <w:fldChar w:fldCharType="end"/>
          </w:r>
          <w:r>
            <w:rPr>
              <w:rFonts w:hint="eastAsia" w:ascii="楷体_GB2312" w:hAnsi="楷体_GB2312" w:eastAsia="楷体_GB2312" w:cs="楷体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_Toc30576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一、强化政策创新，提升产业发展制度供给能力</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_Toc30576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55</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_Toc30658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二、突出项目牵引，增强产业规划落地实体支撑</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_Toc30658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56</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_Toc23228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三、优化资源配置，强化产业发展要素保障</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_Toc23228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56</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20"/>
            <w:tabs>
              <w:tab w:val="right" w:leader="dot" w:pos="8306"/>
            </w:tabs>
            <w:rPr>
              <w:rFonts w:hint="eastAsia" w:ascii="楷体_GB2312" w:hAnsi="楷体_GB2312" w:eastAsia="楷体_GB2312" w:cs="楷体_GB2312"/>
              <w:color w:val="000000" w:themeColor="text1"/>
              <w:szCs w:val="28"/>
              <w14:textFill>
                <w14:solidFill>
                  <w14:schemeClr w14:val="tx1"/>
                </w14:solidFill>
              </w14:textFill>
            </w:rPr>
          </w:pP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HYPERLINK \l _Toc15218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default" w:ascii="楷体_GB2312" w:hAnsi="楷体_GB2312" w:eastAsia="楷体_GB2312" w:cs="楷体_GB2312"/>
              <w:color w:val="000000" w:themeColor="text1"/>
              <w:szCs w:val="28"/>
              <w14:textFill>
                <w14:solidFill>
                  <w14:schemeClr w14:val="tx1"/>
                </w14:solidFill>
              </w14:textFill>
            </w:rPr>
            <w:t>第</w:t>
          </w:r>
          <w:r>
            <w:rPr>
              <w:rFonts w:hint="eastAsia" w:ascii="楷体_GB2312" w:hAnsi="楷体_GB2312" w:eastAsia="楷体_GB2312" w:cs="楷体_GB2312"/>
              <w:color w:val="000000" w:themeColor="text1"/>
              <w:szCs w:val="28"/>
              <w14:textFill>
                <w14:solidFill>
                  <w14:schemeClr w14:val="tx1"/>
                </w14:solidFill>
              </w14:textFill>
            </w:rPr>
            <w:t>二十</w:t>
          </w:r>
          <w:r>
            <w:rPr>
              <w:rFonts w:hint="eastAsia" w:ascii="楷体_GB2312" w:hAnsi="楷体_GB2312" w:eastAsia="楷体_GB2312" w:cs="楷体_GB2312"/>
              <w:color w:val="000000" w:themeColor="text1"/>
              <w:szCs w:val="28"/>
              <w:lang w:eastAsia="zh-CN"/>
              <w14:textFill>
                <w14:solidFill>
                  <w14:schemeClr w14:val="tx1"/>
                </w14:solidFill>
              </w14:textFill>
            </w:rPr>
            <w:t>二</w:t>
          </w:r>
          <w:r>
            <w:rPr>
              <w:rFonts w:hint="default" w:ascii="楷体_GB2312" w:hAnsi="楷体_GB2312" w:eastAsia="楷体_GB2312" w:cs="楷体_GB2312"/>
              <w:color w:val="000000" w:themeColor="text1"/>
              <w:szCs w:val="28"/>
              <w14:textFill>
                <w14:solidFill>
                  <w14:schemeClr w14:val="tx1"/>
                </w14:solidFill>
              </w14:textFill>
            </w:rPr>
            <w:t>章 强化监测评估与要素支撑</w:t>
          </w:r>
          <w:r>
            <w:rPr>
              <w:rFonts w:hint="eastAsia" w:ascii="楷体_GB2312" w:hAnsi="楷体_GB2312" w:eastAsia="楷体_GB2312" w:cs="楷体_GB2312"/>
              <w:color w:val="000000" w:themeColor="text1"/>
              <w:szCs w:val="28"/>
              <w14:textFill>
                <w14:solidFill>
                  <w14:schemeClr w14:val="tx1"/>
                </w14:solidFill>
              </w14:textFill>
            </w:rPr>
            <w:tab/>
          </w:r>
          <w:r>
            <w:rPr>
              <w:rFonts w:hint="eastAsia" w:ascii="楷体_GB2312" w:hAnsi="楷体_GB2312" w:eastAsia="楷体_GB2312" w:cs="楷体_GB2312"/>
              <w:color w:val="000000" w:themeColor="text1"/>
              <w:szCs w:val="28"/>
              <w14:textFill>
                <w14:solidFill>
                  <w14:schemeClr w14:val="tx1"/>
                </w14:solidFill>
              </w14:textFill>
            </w:rPr>
            <w:fldChar w:fldCharType="begin"/>
          </w:r>
          <w:r>
            <w:rPr>
              <w:rFonts w:hint="eastAsia" w:ascii="楷体_GB2312" w:hAnsi="楷体_GB2312" w:eastAsia="楷体_GB2312" w:cs="楷体_GB2312"/>
              <w:color w:val="000000" w:themeColor="text1"/>
              <w:szCs w:val="28"/>
              <w14:textFill>
                <w14:solidFill>
                  <w14:schemeClr w14:val="tx1"/>
                </w14:solidFill>
              </w14:textFill>
            </w:rPr>
            <w:instrText xml:space="preserve"> PAGEREF _Toc15218 \h </w:instrText>
          </w:r>
          <w:r>
            <w:rPr>
              <w:rFonts w:hint="eastAsia" w:ascii="楷体_GB2312" w:hAnsi="楷体_GB2312" w:eastAsia="楷体_GB2312" w:cs="楷体_GB2312"/>
              <w:color w:val="000000" w:themeColor="text1"/>
              <w:szCs w:val="28"/>
              <w14:textFill>
                <w14:solidFill>
                  <w14:schemeClr w14:val="tx1"/>
                </w14:solidFill>
              </w14:textFill>
            </w:rPr>
            <w:fldChar w:fldCharType="separate"/>
          </w:r>
          <w:r>
            <w:rPr>
              <w:rFonts w:hint="eastAsia" w:ascii="楷体_GB2312" w:hAnsi="楷体_GB2312" w:eastAsia="楷体_GB2312" w:cs="楷体_GB2312"/>
              <w:color w:val="000000" w:themeColor="text1"/>
              <w:szCs w:val="28"/>
              <w14:textFill>
                <w14:solidFill>
                  <w14:schemeClr w14:val="tx1"/>
                </w14:solidFill>
              </w14:textFill>
            </w:rPr>
            <w:t>56</w:t>
          </w:r>
          <w:r>
            <w:rPr>
              <w:rFonts w:hint="eastAsia" w:ascii="楷体_GB2312" w:hAnsi="楷体_GB2312" w:eastAsia="楷体_GB2312" w:cs="楷体_GB2312"/>
              <w:color w:val="000000" w:themeColor="text1"/>
              <w:szCs w:val="28"/>
              <w14:textFill>
                <w14:solidFill>
                  <w14:schemeClr w14:val="tx1"/>
                </w14:solidFill>
              </w14:textFill>
            </w:rPr>
            <w:fldChar w:fldCharType="end"/>
          </w:r>
          <w:r>
            <w:rPr>
              <w:rFonts w:hint="eastAsia" w:ascii="楷体_GB2312" w:hAnsi="楷体_GB2312" w:eastAsia="楷体_GB2312" w:cs="楷体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_Toc7186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一、强化全过程监测，确保规划的科学性</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_Toc7186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56</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_Toc21208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二、强化动态调整机制，提升规划实施成效</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_Toc21208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57</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pStyle w:val="10"/>
            <w:tabs>
              <w:tab w:val="right" w:leader="dot" w:pos="8306"/>
            </w:tabs>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HYPERLINK \l _Toc16838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三、强化资源精准供给，夯实产业发展支撑</w:t>
          </w:r>
          <w:r>
            <w:rPr>
              <w:rFonts w:hint="eastAsia" w:ascii="仿宋_GB2312" w:hAnsi="仿宋_GB2312" w:eastAsia="仿宋_GB2312" w:cs="仿宋_GB2312"/>
              <w:color w:val="000000" w:themeColor="text1"/>
              <w:szCs w:val="28"/>
              <w14:textFill>
                <w14:solidFill>
                  <w14:schemeClr w14:val="tx1"/>
                </w14:solidFill>
              </w14:textFill>
            </w:rPr>
            <w:tab/>
          </w:r>
          <w:r>
            <w:rPr>
              <w:rFonts w:hint="eastAsia" w:ascii="仿宋_GB2312" w:hAnsi="仿宋_GB2312" w:eastAsia="仿宋_GB2312" w:cs="仿宋_GB2312"/>
              <w:color w:val="000000" w:themeColor="text1"/>
              <w:szCs w:val="28"/>
              <w14:textFill>
                <w14:solidFill>
                  <w14:schemeClr w14:val="tx1"/>
                </w14:solidFill>
              </w14:textFill>
            </w:rPr>
            <w:fldChar w:fldCharType="begin"/>
          </w:r>
          <w:r>
            <w:rPr>
              <w:rFonts w:hint="eastAsia" w:ascii="仿宋_GB2312" w:hAnsi="仿宋_GB2312" w:eastAsia="仿宋_GB2312" w:cs="仿宋_GB2312"/>
              <w:color w:val="000000" w:themeColor="text1"/>
              <w:szCs w:val="28"/>
              <w14:textFill>
                <w14:solidFill>
                  <w14:schemeClr w14:val="tx1"/>
                </w14:solidFill>
              </w14:textFill>
            </w:rPr>
            <w:instrText xml:space="preserve"> PAGEREF _Toc16838 \h </w:instrText>
          </w:r>
          <w:r>
            <w:rPr>
              <w:rFonts w:hint="eastAsia" w:ascii="仿宋_GB2312" w:hAnsi="仿宋_GB2312" w:eastAsia="仿宋_GB2312" w:cs="仿宋_GB2312"/>
              <w:color w:val="000000" w:themeColor="text1"/>
              <w:szCs w:val="28"/>
              <w14:textFill>
                <w14:solidFill>
                  <w14:schemeClr w14:val="tx1"/>
                </w14:solidFill>
              </w14:textFill>
            </w:rPr>
            <w:fldChar w:fldCharType="separate"/>
          </w:r>
          <w:r>
            <w:rPr>
              <w:rFonts w:hint="eastAsia" w:ascii="仿宋_GB2312" w:hAnsi="仿宋_GB2312" w:eastAsia="仿宋_GB2312" w:cs="仿宋_GB2312"/>
              <w:color w:val="000000" w:themeColor="text1"/>
              <w:szCs w:val="28"/>
              <w14:textFill>
                <w14:solidFill>
                  <w14:schemeClr w14:val="tx1"/>
                </w14:solidFill>
              </w14:textFill>
            </w:rPr>
            <w:t>57</w:t>
          </w:r>
          <w:r>
            <w:rPr>
              <w:rFonts w:hint="eastAsia" w:ascii="仿宋_GB2312" w:hAnsi="仿宋_GB2312" w:eastAsia="仿宋_GB2312" w:cs="仿宋_GB2312"/>
              <w:color w:val="000000" w:themeColor="text1"/>
              <w:szCs w:val="28"/>
              <w14:textFill>
                <w14:solidFill>
                  <w14:schemeClr w14:val="tx1"/>
                </w14:solidFill>
              </w14:textFill>
            </w:rPr>
            <w:fldChar w:fldCharType="end"/>
          </w:r>
          <w:r>
            <w:rPr>
              <w:rFonts w:hint="eastAsia" w:ascii="仿宋_GB2312" w:hAnsi="仿宋_GB2312" w:eastAsia="仿宋_GB2312" w:cs="仿宋_GB2312"/>
              <w:color w:val="000000" w:themeColor="text1"/>
              <w:szCs w:val="28"/>
              <w14:textFill>
                <w14:solidFill>
                  <w14:schemeClr w14:val="tx1"/>
                </w14:solidFill>
              </w14:textFill>
            </w:rPr>
            <w:fldChar w:fldCharType="end"/>
          </w:r>
        </w:p>
        <w:p>
          <w:pPr>
            <w:tabs>
              <w:tab w:val="left" w:pos="3649"/>
            </w:tabs>
            <w:ind w:firstLine="640"/>
            <w:jc w:val="left"/>
            <w:sectPr>
              <w:headerReference r:id="rId11" w:type="default"/>
              <w:footerReference r:id="rId12" w:type="default"/>
              <w:pgSz w:w="11906" w:h="16838"/>
              <w:pgMar w:top="1440" w:right="1800" w:bottom="1440" w:left="1800" w:header="851" w:footer="992" w:gutter="0"/>
              <w:pgNumType w:fmt="upperRoman" w:start="1"/>
              <w:cols w:space="425" w:num="1"/>
              <w:docGrid w:type="lines" w:linePitch="312" w:charSpace="0"/>
            </w:sectPr>
          </w:pPr>
          <w:r>
            <w:rPr>
              <w:rFonts w:hint="eastAsia" w:ascii="仿宋_GB2312" w:hAnsi="仿宋_GB2312" w:cs="仿宋_GB2312"/>
              <w:color w:val="000000" w:themeColor="text1"/>
              <w:szCs w:val="28"/>
              <w14:textFill>
                <w14:solidFill>
                  <w14:schemeClr w14:val="tx1"/>
                </w14:solidFill>
              </w14:textFill>
            </w:rPr>
            <w:fldChar w:fldCharType="end"/>
          </w:r>
        </w:p>
      </w:sdtContent>
    </w:sdt>
    <w:p>
      <w:pPr>
        <w:pStyle w:val="2"/>
        <w:keepNext w:val="0"/>
        <w:keepLines w:val="0"/>
        <w:ind w:firstLine="0" w:firstLineChars="0"/>
        <w:jc w:val="center"/>
        <w:rPr>
          <w:rFonts w:hint="default" w:ascii="方正小标宋简体" w:hAnsi="方正小标宋简体" w:eastAsia="方正小标宋简体" w:cs="方正小标宋简体"/>
          <w:bCs w:val="0"/>
          <w:kern w:val="44"/>
          <w:sz w:val="36"/>
          <w:szCs w:val="36"/>
        </w:rPr>
      </w:pPr>
      <w:bookmarkStart w:id="0" w:name="_Toc228193681"/>
      <w:bookmarkStart w:id="1" w:name="_Toc32762"/>
      <w:bookmarkStart w:id="2" w:name="_Toc10597"/>
      <w:r>
        <w:rPr>
          <w:rFonts w:ascii="方正小标宋简体" w:hAnsi="方正小标宋简体" w:eastAsia="方正小标宋简体" w:cs="方正小标宋简体"/>
          <w:bCs w:val="0"/>
          <w:kern w:val="44"/>
          <w:sz w:val="36"/>
          <w:szCs w:val="36"/>
        </w:rPr>
        <w:t>第一篇 承前启后谋发展 凝心聚力启新程</w:t>
      </w:r>
      <w:bookmarkEnd w:id="0"/>
      <w:bookmarkEnd w:id="1"/>
      <w:bookmarkEnd w:id="2"/>
    </w:p>
    <w:p>
      <w:pPr>
        <w:ind w:firstLine="640"/>
        <w:rPr>
          <w:color w:val="000000" w:themeColor="text1"/>
          <w14:textFill>
            <w14:solidFill>
              <w14:schemeClr w14:val="tx1"/>
            </w14:solidFill>
          </w14:textFill>
        </w:rPr>
      </w:pPr>
    </w:p>
    <w:p>
      <w:pPr>
        <w:pStyle w:val="3"/>
        <w:spacing w:before="0" w:after="0"/>
        <w:ind w:firstLine="0" w:firstLineChars="0"/>
        <w:jc w:val="center"/>
        <w:rPr>
          <w:rFonts w:hint="default" w:ascii="黑体" w:hAnsi="黑体" w:eastAsia="黑体" w:cs="黑体"/>
          <w:b w:val="0"/>
          <w:bCs w:val="0"/>
          <w:color w:val="000000" w:themeColor="text1"/>
          <w:sz w:val="32"/>
          <w:szCs w:val="32"/>
          <w14:textFill>
            <w14:solidFill>
              <w14:schemeClr w14:val="tx1"/>
            </w14:solidFill>
          </w14:textFill>
        </w:rPr>
      </w:pPr>
      <w:bookmarkStart w:id="3" w:name="_Toc31923"/>
      <w:bookmarkStart w:id="4" w:name="_Toc25125"/>
      <w:bookmarkStart w:id="5" w:name="_Toc228193682"/>
      <w:bookmarkStart w:id="6" w:name="_Toc1894"/>
      <w:bookmarkStart w:id="7" w:name="_Toc3335"/>
      <w:bookmarkStart w:id="8" w:name="_Toc2898"/>
      <w:r>
        <w:rPr>
          <w:rFonts w:ascii="黑体" w:hAnsi="黑体" w:eastAsia="黑体" w:cs="黑体"/>
          <w:b w:val="0"/>
          <w:bCs w:val="0"/>
          <w:color w:val="000000" w:themeColor="text1"/>
          <w:sz w:val="32"/>
          <w:szCs w:val="32"/>
          <w14:textFill>
            <w14:solidFill>
              <w14:schemeClr w14:val="tx1"/>
            </w14:solidFill>
          </w14:textFill>
        </w:rPr>
        <w:t>第一章 “十四五”时期产业发展基础与核心成效</w:t>
      </w:r>
      <w:bookmarkEnd w:id="3"/>
      <w:bookmarkEnd w:id="4"/>
      <w:bookmarkEnd w:id="5"/>
      <w:bookmarkEnd w:id="6"/>
      <w:bookmarkEnd w:id="7"/>
      <w:bookmarkEnd w:id="8"/>
    </w:p>
    <w:p>
      <w:pPr>
        <w:ind w:firstLine="640"/>
        <w:rPr>
          <w:rFonts w:ascii="仿宋_GB2312" w:cs="仿宋_GB2312"/>
          <w:bCs/>
          <w:color w:val="000000" w:themeColor="text1"/>
          <w:szCs w:val="32"/>
          <w14:textFill>
            <w14:solidFill>
              <w14:schemeClr w14:val="tx1"/>
            </w14:solidFill>
          </w14:textFill>
        </w:rPr>
      </w:pPr>
      <w:r>
        <w:rPr>
          <w:rFonts w:hint="eastAsia" w:ascii="仿宋_GB2312" w:hAnsi="等线" w:cs="仿宋_GB2312"/>
          <w:bCs/>
          <w:color w:val="000000" w:themeColor="text1"/>
          <w:szCs w:val="32"/>
          <w:lang w:bidi="ar"/>
          <w14:textFill>
            <w14:solidFill>
              <w14:schemeClr w14:val="tx1"/>
            </w14:solidFill>
          </w14:textFill>
        </w:rPr>
        <w:t>“十四五”时期是北京城市副中心建设从“打基础、补短板，有序拉开城市框架”向“立长远、强功能，全面上台阶”加速迈进的关键五年，也是从“生机勃发”向“高质量发展步伐加快”转变的加速突破期。通州区圆满完成“十四五”时期产业发展各项目标任务，经济实力大幅提升、产业体系量质齐升、发展动能持续增强、协同效应充分彰显，为打造城市副中心高质量发展样板筑牢根基、积蓄势能。</w:t>
      </w:r>
    </w:p>
    <w:p>
      <w:pPr>
        <w:pStyle w:val="4"/>
        <w:spacing w:before="0" w:after="0"/>
        <w:ind w:firstLine="640"/>
        <w:rPr>
          <w:rFonts w:hint="default" w:ascii="黑体" w:hAnsi="黑体" w:eastAsia="黑体" w:cs="黑体"/>
          <w:b w:val="0"/>
          <w:bCs w:val="0"/>
          <w:color w:val="000000" w:themeColor="text1"/>
          <w14:textFill>
            <w14:solidFill>
              <w14:schemeClr w14:val="tx1"/>
            </w14:solidFill>
          </w14:textFill>
        </w:rPr>
      </w:pPr>
      <w:bookmarkStart w:id="9" w:name="_Toc12577"/>
      <w:bookmarkStart w:id="10" w:name="_Toc11518"/>
      <w:bookmarkStart w:id="11" w:name="_Toc23419"/>
      <w:bookmarkStart w:id="12" w:name="_Toc228193683"/>
      <w:bookmarkStart w:id="13" w:name="_Toc17188"/>
      <w:bookmarkStart w:id="14" w:name="_Toc7553"/>
      <w:r>
        <w:rPr>
          <w:rFonts w:ascii="黑体" w:hAnsi="黑体" w:eastAsia="黑体" w:cs="黑体"/>
          <w:b w:val="0"/>
          <w:bCs w:val="0"/>
          <w:color w:val="000000" w:themeColor="text1"/>
          <w14:textFill>
            <w14:solidFill>
              <w14:schemeClr w14:val="tx1"/>
            </w14:solidFill>
          </w14:textFill>
        </w:rPr>
        <w:t>一、经济发展质效双升，综合实力</w:t>
      </w:r>
      <w:r>
        <w:rPr>
          <w:rFonts w:ascii="黑体" w:hAnsi="黑体" w:eastAsia="黑体" w:cs="黑体"/>
          <w:b w:val="0"/>
          <w:bCs w:val="0"/>
          <w:color w:val="000000" w:themeColor="text1"/>
          <w:lang w:eastAsia="zh"/>
          <w14:textFill>
            <w14:solidFill>
              <w14:schemeClr w14:val="tx1"/>
            </w14:solidFill>
          </w14:textFill>
        </w:rPr>
        <w:t>再上新阶</w:t>
      </w:r>
      <w:bookmarkEnd w:id="9"/>
      <w:bookmarkEnd w:id="10"/>
      <w:bookmarkEnd w:id="11"/>
      <w:bookmarkEnd w:id="12"/>
      <w:bookmarkEnd w:id="13"/>
      <w:bookmarkEnd w:id="14"/>
    </w:p>
    <w:p>
      <w:pPr>
        <w:widowControl/>
        <w:ind w:firstLine="643"/>
        <w:rPr>
          <w:rFonts w:ascii="仿宋_GB2312" w:cs="仿宋_GB2312"/>
          <w:color w:val="000000" w:themeColor="text1"/>
          <w:szCs w:val="32"/>
          <w14:textFill>
            <w14:solidFill>
              <w14:schemeClr w14:val="tx1"/>
            </w14:solidFill>
          </w14:textFill>
        </w:rPr>
      </w:pPr>
      <w:r>
        <w:rPr>
          <w:rFonts w:hint="eastAsia" w:ascii="仿宋_GB2312" w:hAnsi="等线" w:cs="仿宋_GB2312"/>
          <w:b/>
          <w:bCs/>
          <w:color w:val="000000" w:themeColor="text1"/>
          <w:szCs w:val="32"/>
          <w:lang w:bidi="ar"/>
          <w14:textFill>
            <w14:solidFill>
              <w14:schemeClr w14:val="tx1"/>
            </w14:solidFill>
          </w14:textFill>
        </w:rPr>
        <w:t>经济规模体量持续壮大</w:t>
      </w:r>
      <w:r>
        <w:rPr>
          <w:rFonts w:hint="eastAsia" w:ascii="仿宋_GB2312" w:hAnsi="等线" w:cs="仿宋_GB2312"/>
          <w:color w:val="000000" w:themeColor="text1"/>
          <w:szCs w:val="32"/>
          <w:lang w:bidi="ar"/>
          <w14:textFill>
            <w14:solidFill>
              <w14:schemeClr w14:val="tx1"/>
            </w14:solidFill>
          </w14:textFill>
        </w:rPr>
        <w:t>，</w:t>
      </w:r>
      <w:r>
        <w:rPr>
          <w:rFonts w:ascii="仿宋_GB2312" w:hAnsi="等线" w:cs="仿宋_GB2312"/>
          <w:color w:val="000000" w:themeColor="text1"/>
          <w:szCs w:val="32"/>
          <w:lang w:bidi="ar"/>
          <w14:textFill>
            <w14:solidFill>
              <w14:schemeClr w14:val="tx1"/>
            </w14:solidFill>
          </w14:textFill>
        </w:rPr>
        <w:t>2025</w:t>
      </w:r>
      <w:r>
        <w:rPr>
          <w:rFonts w:hint="eastAsia" w:ascii="仿宋_GB2312" w:hAnsi="等线" w:cs="仿宋_GB2312"/>
          <w:color w:val="000000" w:themeColor="text1"/>
          <w:szCs w:val="32"/>
          <w:lang w:bidi="ar"/>
          <w14:textFill>
            <w14:solidFill>
              <w14:schemeClr w14:val="tx1"/>
            </w14:solidFill>
          </w14:textFill>
        </w:rPr>
        <w:t>年，初步核算全区地区生产总值超</w:t>
      </w:r>
      <w:r>
        <w:rPr>
          <w:rFonts w:ascii="仿宋_GB2312" w:hAnsi="等线" w:cs="仿宋_GB2312"/>
          <w:color w:val="000000" w:themeColor="text1"/>
          <w:szCs w:val="32"/>
          <w:lang w:bidi="ar"/>
          <w14:textFill>
            <w14:solidFill>
              <w14:schemeClr w14:val="tx1"/>
            </w14:solidFill>
          </w14:textFill>
        </w:rPr>
        <w:t>1600</w:t>
      </w:r>
      <w:r>
        <w:rPr>
          <w:rFonts w:hint="eastAsia" w:ascii="仿宋_GB2312" w:hAnsi="等线" w:cs="仿宋_GB2312"/>
          <w:color w:val="000000" w:themeColor="text1"/>
          <w:szCs w:val="32"/>
          <w:lang w:bidi="ar"/>
          <w14:textFill>
            <w14:solidFill>
              <w14:schemeClr w14:val="tx1"/>
            </w14:solidFill>
          </w14:textFill>
        </w:rPr>
        <w:t>亿元，较</w:t>
      </w:r>
      <w:r>
        <w:rPr>
          <w:rFonts w:ascii="仿宋_GB2312" w:hAnsi="等线" w:cs="仿宋_GB2312"/>
          <w:color w:val="000000" w:themeColor="text1"/>
          <w:szCs w:val="32"/>
          <w:lang w:bidi="ar"/>
          <w14:textFill>
            <w14:solidFill>
              <w14:schemeClr w14:val="tx1"/>
            </w14:solidFill>
          </w14:textFill>
        </w:rPr>
        <w:t>2020</w:t>
      </w:r>
      <w:r>
        <w:rPr>
          <w:rFonts w:hint="eastAsia" w:ascii="仿宋_GB2312" w:hAnsi="等线" w:cs="仿宋_GB2312"/>
          <w:color w:val="000000" w:themeColor="text1"/>
          <w:szCs w:val="32"/>
          <w:lang w:bidi="ar"/>
          <w14:textFill>
            <w14:solidFill>
              <w14:schemeClr w14:val="tx1"/>
            </w14:solidFill>
          </w14:textFill>
        </w:rPr>
        <w:t>年增长</w:t>
      </w:r>
      <w:r>
        <w:rPr>
          <w:rFonts w:ascii="仿宋_GB2312" w:hAnsi="等线" w:cs="仿宋_GB2312"/>
          <w:color w:val="000000" w:themeColor="text1"/>
          <w:szCs w:val="32"/>
          <w:lang w:bidi="ar"/>
          <w14:textFill>
            <w14:solidFill>
              <w14:schemeClr w14:val="tx1"/>
            </w14:solidFill>
          </w14:textFill>
        </w:rPr>
        <w:t>34.3%</w:t>
      </w:r>
      <w:r>
        <w:rPr>
          <w:rFonts w:hint="eastAsia" w:ascii="仿宋_GB2312" w:hAnsi="等线" w:cs="仿宋_GB2312"/>
          <w:color w:val="000000" w:themeColor="text1"/>
          <w:szCs w:val="32"/>
          <w:lang w:bidi="ar"/>
          <w14:textFill>
            <w14:solidFill>
              <w14:schemeClr w14:val="tx1"/>
            </w14:solidFill>
          </w14:textFill>
        </w:rPr>
        <w:t>、年均增速</w:t>
      </w:r>
      <w:r>
        <w:rPr>
          <w:rFonts w:ascii="仿宋_GB2312" w:hAnsi="等线" w:cs="仿宋_GB2312"/>
          <w:color w:val="000000" w:themeColor="text1"/>
          <w:szCs w:val="32"/>
          <w:lang w:bidi="ar"/>
          <w14:textFill>
            <w14:solidFill>
              <w14:schemeClr w14:val="tx1"/>
            </w14:solidFill>
          </w14:textFill>
        </w:rPr>
        <w:t>6.4%</w:t>
      </w:r>
      <w:r>
        <w:rPr>
          <w:rFonts w:hint="eastAsia" w:ascii="仿宋_GB2312" w:hAnsi="等线" w:cs="仿宋_GB2312"/>
          <w:color w:val="000000" w:themeColor="text1"/>
          <w:szCs w:val="32"/>
          <w:lang w:bidi="ar"/>
          <w14:textFill>
            <w14:solidFill>
              <w14:schemeClr w14:val="tx1"/>
            </w14:solidFill>
          </w14:textFill>
        </w:rPr>
        <w:t>，增速居全市前列。固定资产投资连续</w:t>
      </w:r>
      <w:r>
        <w:rPr>
          <w:rFonts w:ascii="仿宋_GB2312" w:hAnsi="等线" w:cs="仿宋_GB2312"/>
          <w:color w:val="000000" w:themeColor="text1"/>
          <w:szCs w:val="32"/>
          <w:lang w:bidi="ar"/>
          <w14:textFill>
            <w14:solidFill>
              <w14:schemeClr w14:val="tx1"/>
            </w14:solidFill>
          </w14:textFill>
        </w:rPr>
        <w:t>6年超千亿元。</w:t>
      </w:r>
      <w:r>
        <w:rPr>
          <w:rFonts w:hint="eastAsia" w:ascii="仿宋_GB2312" w:hAnsi="等线" w:cs="仿宋_GB2312"/>
          <w:b/>
          <w:bCs/>
          <w:color w:val="000000" w:themeColor="text1"/>
          <w:szCs w:val="32"/>
          <w:lang w:bidi="ar"/>
          <w14:textFill>
            <w14:solidFill>
              <w14:schemeClr w14:val="tx1"/>
            </w14:solidFill>
          </w14:textFill>
        </w:rPr>
        <w:t>居民消费收入稳步增长</w:t>
      </w:r>
      <w:r>
        <w:rPr>
          <w:rFonts w:hint="eastAsia" w:ascii="仿宋_GB2312" w:hAnsi="等线" w:cs="仿宋_GB2312"/>
          <w:color w:val="000000" w:themeColor="text1"/>
          <w:szCs w:val="32"/>
          <w:lang w:bidi="ar"/>
          <w14:textFill>
            <w14:solidFill>
              <w14:schemeClr w14:val="tx1"/>
            </w14:solidFill>
          </w14:textFill>
        </w:rPr>
        <w:t>，</w:t>
      </w:r>
      <w:r>
        <w:rPr>
          <w:rFonts w:hint="eastAsia" w:ascii="仿宋_GB2312" w:hAnsi="等线" w:cs="仿宋_GB2312"/>
          <w:b/>
          <w:bCs/>
          <w:color w:val="000000" w:themeColor="text1"/>
          <w:szCs w:val="32"/>
          <w:lang w:bidi="ar"/>
          <w14:textFill>
            <w14:solidFill>
              <w14:schemeClr w14:val="tx1"/>
            </w14:solidFill>
          </w14:textFill>
        </w:rPr>
        <w:t>创新发展生态持续完善</w:t>
      </w:r>
      <w:r>
        <w:rPr>
          <w:rFonts w:hint="eastAsia" w:ascii="仿宋_GB2312" w:hAnsi="等线" w:cs="仿宋_GB2312"/>
          <w:color w:val="000000" w:themeColor="text1"/>
          <w:szCs w:val="32"/>
          <w:lang w:bidi="ar"/>
          <w14:textFill>
            <w14:solidFill>
              <w14:schemeClr w14:val="tx1"/>
            </w14:solidFill>
          </w14:textFill>
        </w:rPr>
        <w:t>，</w:t>
      </w:r>
      <w:r>
        <w:rPr>
          <w:rFonts w:hint="eastAsia" w:ascii="仿宋_GB2312" w:hAnsi="宋体" w:cs="仿宋_GB2312"/>
          <w:color w:val="000000" w:themeColor="text1"/>
          <w:szCs w:val="32"/>
          <w:lang w:bidi="ar"/>
          <w14:textFill>
            <w14:solidFill>
              <w14:schemeClr w14:val="tx1"/>
            </w14:solidFill>
          </w14:textFill>
        </w:rPr>
        <w:t>现有国家</w:t>
      </w:r>
      <w:r>
        <w:rPr>
          <w:rFonts w:hint="eastAsia" w:ascii="仿宋_GB2312" w:hAnsi="Times New Roman" w:cs="仿宋_GB2312"/>
          <w:color w:val="000000" w:themeColor="text1"/>
          <w:szCs w:val="32"/>
          <w:lang w:bidi="ar"/>
          <w14:textFill>
            <w14:solidFill>
              <w14:schemeClr w14:val="tx1"/>
            </w14:solidFill>
          </w14:textFill>
        </w:rPr>
        <w:t>专精特新</w:t>
      </w:r>
      <w:r>
        <w:rPr>
          <w:rFonts w:hint="eastAsia" w:ascii="仿宋_GB2312" w:hAnsi="宋体" w:cs="仿宋_GB2312"/>
          <w:color w:val="000000" w:themeColor="text1"/>
          <w:szCs w:val="32"/>
          <w:lang w:bidi="ar"/>
          <w14:textFill>
            <w14:solidFill>
              <w14:schemeClr w14:val="tx1"/>
            </w14:solidFill>
          </w14:textFill>
        </w:rPr>
        <w:t>“小巨人”企业47家，北京市“专精特新”中小企业577家</w:t>
      </w:r>
      <w:r>
        <w:rPr>
          <w:rFonts w:hint="eastAsia" w:ascii="仿宋_GB2312" w:hAnsi="等线" w:cs="仿宋_GB2312"/>
          <w:color w:val="000000" w:themeColor="text1"/>
          <w:spacing w:val="-20"/>
          <w:szCs w:val="32"/>
          <w:lang w:bidi="ar"/>
          <w14:textFill>
            <w14:solidFill>
              <w14:schemeClr w14:val="tx1"/>
            </w14:solidFill>
          </w14:textFill>
        </w:rPr>
        <w:t>，</w:t>
      </w:r>
      <w:r>
        <w:rPr>
          <w:rFonts w:hint="eastAsia" w:ascii="仿宋_GB2312" w:hAnsi="等线" w:cs="仿宋_GB2312"/>
          <w:color w:val="000000" w:themeColor="text1"/>
          <w:szCs w:val="32"/>
          <w:lang w:bidi="ar"/>
          <w14:textFill>
            <w14:solidFill>
              <w14:schemeClr w14:val="tx1"/>
            </w14:solidFill>
          </w14:textFill>
        </w:rPr>
        <w:t>高新技术企业累计突破1200家。</w:t>
      </w:r>
    </w:p>
    <w:p>
      <w:pPr>
        <w:pStyle w:val="4"/>
        <w:spacing w:before="0" w:after="0"/>
        <w:ind w:firstLine="640"/>
        <w:rPr>
          <w:rFonts w:hint="default" w:ascii="黑体" w:hAnsi="黑体" w:eastAsia="黑体" w:cs="黑体"/>
          <w:b w:val="0"/>
          <w:bCs w:val="0"/>
          <w:color w:val="000000" w:themeColor="text1"/>
          <w14:textFill>
            <w14:solidFill>
              <w14:schemeClr w14:val="tx1"/>
            </w14:solidFill>
          </w14:textFill>
        </w:rPr>
      </w:pPr>
      <w:bookmarkStart w:id="15" w:name="_Toc228193684"/>
      <w:bookmarkStart w:id="16" w:name="_Toc10112"/>
      <w:bookmarkStart w:id="17" w:name="_Toc18994"/>
      <w:bookmarkStart w:id="18" w:name="_Toc7136"/>
      <w:bookmarkStart w:id="19" w:name="_Toc19662"/>
      <w:bookmarkStart w:id="20" w:name="_Toc21929"/>
      <w:r>
        <w:rPr>
          <w:rFonts w:ascii="黑体" w:hAnsi="黑体" w:eastAsia="黑体" w:cs="黑体"/>
          <w:b w:val="0"/>
          <w:bCs w:val="0"/>
          <w:color w:val="000000" w:themeColor="text1"/>
          <w14:textFill>
            <w14:solidFill>
              <w14:schemeClr w14:val="tx1"/>
            </w14:solidFill>
          </w14:textFill>
        </w:rPr>
        <w:t>二、产业体系迭代升级，多元业态聚力成势</w:t>
      </w:r>
      <w:bookmarkEnd w:id="15"/>
      <w:bookmarkEnd w:id="16"/>
      <w:bookmarkEnd w:id="17"/>
      <w:bookmarkEnd w:id="18"/>
      <w:bookmarkEnd w:id="19"/>
      <w:bookmarkEnd w:id="20"/>
    </w:p>
    <w:p>
      <w:pPr>
        <w:widowControl/>
        <w:ind w:firstLine="643"/>
        <w:rPr>
          <w:rFonts w:ascii="仿宋_GB2312" w:cs="仿宋_GB2312"/>
          <w:color w:val="000000" w:themeColor="text1"/>
          <w:szCs w:val="32"/>
          <w14:textFill>
            <w14:solidFill>
              <w14:schemeClr w14:val="tx1"/>
            </w14:solidFill>
          </w14:textFill>
        </w:rPr>
      </w:pPr>
      <w:r>
        <w:rPr>
          <w:rFonts w:hint="eastAsia" w:ascii="仿宋_GB2312" w:hAnsi="等线" w:cs="仿宋_GB2312"/>
          <w:b/>
          <w:bCs/>
          <w:color w:val="000000" w:themeColor="text1"/>
          <w:szCs w:val="32"/>
          <w:lang w:bidi="ar"/>
          <w14:textFill>
            <w14:solidFill>
              <w14:schemeClr w14:val="tx1"/>
            </w14:solidFill>
          </w14:textFill>
        </w:rPr>
        <w:t>先进制造业</w:t>
      </w:r>
      <w:r>
        <w:rPr>
          <w:rFonts w:hint="eastAsia" w:ascii="仿宋_GB2312" w:hAnsi="等线" w:cs="仿宋_GB2312"/>
          <w:b/>
          <w:bCs/>
          <w:color w:val="000000" w:themeColor="text1"/>
          <w:szCs w:val="32"/>
          <w:lang w:eastAsia="zh" w:bidi="ar"/>
          <w14:textFill>
            <w14:solidFill>
              <w14:schemeClr w14:val="tx1"/>
            </w14:solidFill>
          </w14:textFill>
        </w:rPr>
        <w:t>稳固</w:t>
      </w:r>
      <w:r>
        <w:rPr>
          <w:rFonts w:hint="eastAsia" w:ascii="仿宋_GB2312" w:hAnsi="等线" w:cs="仿宋_GB2312"/>
          <w:b/>
          <w:bCs/>
          <w:color w:val="000000" w:themeColor="text1"/>
          <w:szCs w:val="32"/>
          <w:lang w:bidi="ar"/>
          <w14:textFill>
            <w14:solidFill>
              <w14:schemeClr w14:val="tx1"/>
            </w14:solidFill>
          </w14:textFill>
        </w:rPr>
        <w:t>支撑</w:t>
      </w:r>
      <w:r>
        <w:rPr>
          <w:rFonts w:hint="eastAsia" w:ascii="仿宋_GB2312" w:hAnsi="等线" w:cs="仿宋_GB2312"/>
          <w:color w:val="000000" w:themeColor="text1"/>
          <w:szCs w:val="32"/>
          <w:lang w:bidi="ar"/>
          <w14:textFill>
            <w14:solidFill>
              <w14:schemeClr w14:val="tx1"/>
            </w14:solidFill>
          </w14:textFill>
        </w:rPr>
        <w:t>，初步核算，2025年规模以上工业总产值1766.2亿元，较2020年增长超2倍，规模从全市第9位跃升至第5位，初步形成汽车、生物医药等企业的链式集聚，特别是医药领域，已成为全市医药健康产业发展的第四极。</w:t>
      </w:r>
      <w:r>
        <w:rPr>
          <w:rFonts w:hint="eastAsia" w:ascii="仿宋_GB2312" w:hAnsi="等线" w:cs="仿宋_GB2312"/>
          <w:b/>
          <w:bCs/>
          <w:color w:val="000000" w:themeColor="text1"/>
          <w:szCs w:val="32"/>
          <w:lang w:bidi="ar"/>
          <w14:textFill>
            <w14:solidFill>
              <w14:schemeClr w14:val="tx1"/>
            </w14:solidFill>
          </w14:textFill>
        </w:rPr>
        <w:t>数字经济提速赋能，</w:t>
      </w:r>
      <w:r>
        <w:rPr>
          <w:rFonts w:hint="eastAsia" w:ascii="仿宋_GB2312" w:hAnsi="等线" w:cs="仿宋_GB2312"/>
          <w:color w:val="000000" w:themeColor="text1"/>
          <w:szCs w:val="32"/>
          <w:lang w:bidi="ar"/>
          <w14:textFill>
            <w14:solidFill>
              <w14:schemeClr w14:val="tx1"/>
            </w14:solidFill>
          </w14:textFill>
        </w:rPr>
        <w:t>2025年数字经济核心产业收入同比增速位居全市前列，北京数据基础制度先行示范区在台湖正式落地，数智北京创新中心投入运行。</w:t>
      </w:r>
      <w:r>
        <w:rPr>
          <w:rFonts w:hint="eastAsia" w:ascii="仿宋_GB2312" w:hAnsi="等线" w:cs="仿宋_GB2312"/>
          <w:b/>
          <w:bCs/>
          <w:color w:val="000000" w:themeColor="text1"/>
          <w:szCs w:val="32"/>
          <w:lang w:bidi="ar"/>
          <w14:textFill>
            <w14:solidFill>
              <w14:schemeClr w14:val="tx1"/>
            </w14:solidFill>
          </w14:textFill>
        </w:rPr>
        <w:t>金融产业集聚壮大</w:t>
      </w:r>
      <w:r>
        <w:rPr>
          <w:rFonts w:hint="eastAsia" w:ascii="仿宋_GB2312" w:hAnsi="等线" w:cs="仿宋_GB2312"/>
          <w:color w:val="000000" w:themeColor="text1"/>
          <w:szCs w:val="32"/>
          <w:lang w:bidi="ar"/>
          <w14:textFill>
            <w14:solidFill>
              <w14:schemeClr w14:val="tx1"/>
            </w14:solidFill>
          </w14:textFill>
        </w:rPr>
        <w:t>，邮储银行北京分行、中关村科金、北银理财等优质金融类项目先后落地。</w:t>
      </w:r>
      <w:r>
        <w:rPr>
          <w:rFonts w:hint="eastAsia" w:ascii="仿宋_GB2312" w:hAnsi="等线" w:cs="仿宋_GB2312"/>
          <w:b/>
          <w:bCs/>
          <w:color w:val="000000" w:themeColor="text1"/>
          <w:szCs w:val="32"/>
          <w:lang w:bidi="ar"/>
          <w14:textFill>
            <w14:solidFill>
              <w14:schemeClr w14:val="tx1"/>
            </w14:solidFill>
          </w14:textFill>
        </w:rPr>
        <w:t>文旅体商深度融合</w:t>
      </w:r>
      <w:r>
        <w:rPr>
          <w:rFonts w:hint="eastAsia" w:ascii="仿宋_GB2312" w:hAnsi="等线" w:cs="仿宋_GB2312"/>
          <w:color w:val="000000" w:themeColor="text1"/>
          <w:szCs w:val="32"/>
          <w:lang w:bidi="ar"/>
          <w14:textFill>
            <w14:solidFill>
              <w14:schemeClr w14:val="tx1"/>
            </w14:solidFill>
          </w14:textFill>
        </w:rPr>
        <w:t>，城市副中心成功入选全国市辖区旅游发展潜力百佳区，北京环球度假区年接待量破千万，大运河5A景区揭牌与三大文化设施形成文旅新地标。</w:t>
      </w:r>
      <w:bookmarkStart w:id="21" w:name="OLE_LINK3"/>
      <w:r>
        <w:rPr>
          <w:rFonts w:hint="eastAsia" w:ascii="仿宋_GB2312" w:hAnsi="等线" w:cs="仿宋_GB2312"/>
          <w:b/>
          <w:bCs/>
          <w:color w:val="000000" w:themeColor="text1"/>
          <w:szCs w:val="32"/>
          <w:lang w:bidi="ar"/>
          <w14:textFill>
            <w14:solidFill>
              <w14:schemeClr w14:val="tx1"/>
            </w14:solidFill>
          </w14:textFill>
        </w:rPr>
        <w:t>农业科创亮点纷呈</w:t>
      </w:r>
      <w:r>
        <w:rPr>
          <w:rFonts w:hint="eastAsia" w:ascii="仿宋_GB2312" w:hAnsi="等线" w:cs="仿宋_GB2312"/>
          <w:color w:val="000000" w:themeColor="text1"/>
          <w:szCs w:val="32"/>
          <w:lang w:bidi="ar"/>
          <w14:textFill>
            <w14:solidFill>
              <w14:schemeClr w14:val="tx1"/>
            </w14:solidFill>
          </w14:textFill>
        </w:rPr>
        <w:t>，先正达集团种芯科技、国投种业、奥瑞金农业等种业龙头企业落地城市副中心，国家现代农业产业园通过验收，农作物育种加速器建成投用，全市首家“伏羲农场”落地发展，连续三年成功举办中国北京种业大会。</w:t>
      </w:r>
      <w:bookmarkEnd w:id="21"/>
      <w:r>
        <w:rPr>
          <w:rFonts w:hint="eastAsia" w:ascii="仿宋_GB2312" w:hAnsi="等线" w:cs="仿宋_GB2312"/>
          <w:b/>
          <w:bCs/>
          <w:color w:val="000000" w:themeColor="text1"/>
          <w:szCs w:val="32"/>
          <w:lang w:bidi="ar"/>
          <w14:textFill>
            <w14:solidFill>
              <w14:schemeClr w14:val="tx1"/>
            </w14:solidFill>
          </w14:textFill>
        </w:rPr>
        <w:t>未来产业前瞻布局</w:t>
      </w:r>
      <w:r>
        <w:rPr>
          <w:rFonts w:hint="eastAsia" w:ascii="仿宋_GB2312" w:hAnsi="等线" w:cs="仿宋_GB2312"/>
          <w:color w:val="000000" w:themeColor="text1"/>
          <w:szCs w:val="32"/>
          <w:lang w:bidi="ar"/>
          <w14:textFill>
            <w14:solidFill>
              <w14:schemeClr w14:val="tx1"/>
            </w14:solidFill>
          </w14:textFill>
        </w:rPr>
        <w:t>，</w:t>
      </w:r>
      <w:r>
        <w:rPr>
          <w:rFonts w:hint="eastAsia" w:ascii="仿宋_GB2312" w:hAnsi="宋体" w:cs="仿宋_GB2312"/>
          <w:color w:val="000000" w:themeColor="text1"/>
          <w:szCs w:val="32"/>
          <w:shd w:val="clear" w:color="auto" w:fill="FFFFFF"/>
          <w:lang w:bidi="ar"/>
          <w14:textFill>
            <w14:solidFill>
              <w14:schemeClr w14:val="tx1"/>
            </w14:solidFill>
          </w14:textFill>
        </w:rPr>
        <w:t>京津冀信创小镇、中国信通院“国家信息通信技术产业创新基地”等重点项目启动建设。城市副中心成功纳入《北京市加快医药健康协同创新行动计划（2024-2026年）》。依托天海氢能等重点项目系统布局氢能、光伏+储能等绿色能源产业链，推动绿色能源产业加速集聚</w:t>
      </w:r>
      <w:r>
        <w:rPr>
          <w:rFonts w:hint="eastAsia" w:ascii="仿宋_GB2312" w:hAnsi="等线" w:cs="仿宋_GB2312"/>
          <w:color w:val="000000" w:themeColor="text1"/>
          <w:szCs w:val="32"/>
          <w:lang w:bidi="ar"/>
          <w14:textFill>
            <w14:solidFill>
              <w14:schemeClr w14:val="tx1"/>
            </w14:solidFill>
          </w14:textFill>
        </w:rPr>
        <w:t>。</w:t>
      </w:r>
    </w:p>
    <w:p>
      <w:pPr>
        <w:pStyle w:val="4"/>
        <w:spacing w:before="0" w:after="0"/>
        <w:ind w:firstLine="640"/>
        <w:rPr>
          <w:rFonts w:hint="default" w:ascii="黑体" w:hAnsi="黑体" w:eastAsia="黑体" w:cs="黑体"/>
          <w:b w:val="0"/>
          <w:bCs w:val="0"/>
          <w:color w:val="000000" w:themeColor="text1"/>
          <w14:textFill>
            <w14:solidFill>
              <w14:schemeClr w14:val="tx1"/>
            </w14:solidFill>
          </w14:textFill>
        </w:rPr>
      </w:pPr>
      <w:bookmarkStart w:id="22" w:name="_Toc7468"/>
      <w:bookmarkStart w:id="23" w:name="_Toc228193685"/>
      <w:bookmarkStart w:id="24" w:name="_Toc22023"/>
      <w:bookmarkStart w:id="25" w:name="_Toc9088"/>
      <w:bookmarkStart w:id="26" w:name="_Toc27784"/>
      <w:bookmarkStart w:id="27" w:name="_Toc27996"/>
      <w:r>
        <w:rPr>
          <w:rFonts w:ascii="黑体" w:hAnsi="黑体" w:eastAsia="黑体" w:cs="黑体"/>
          <w:b w:val="0"/>
          <w:bCs w:val="0"/>
          <w:color w:val="000000" w:themeColor="text1"/>
          <w14:textFill>
            <w14:solidFill>
              <w14:schemeClr w14:val="tx1"/>
            </w14:solidFill>
          </w14:textFill>
        </w:rPr>
        <w:t>三、重大项目落地见效，城市功能全面提升</w:t>
      </w:r>
      <w:bookmarkEnd w:id="22"/>
      <w:bookmarkEnd w:id="23"/>
      <w:bookmarkEnd w:id="24"/>
      <w:bookmarkEnd w:id="25"/>
      <w:bookmarkEnd w:id="26"/>
      <w:bookmarkEnd w:id="27"/>
    </w:p>
    <w:p>
      <w:pPr>
        <w:ind w:firstLine="643"/>
        <w:rPr>
          <w:rFonts w:ascii="仿宋_GB2312" w:cs="仿宋_GB2312"/>
          <w:color w:val="000000" w:themeColor="text1"/>
          <w:szCs w:val="32"/>
          <w14:textFill>
            <w14:solidFill>
              <w14:schemeClr w14:val="tx1"/>
            </w14:solidFill>
          </w14:textFill>
        </w:rPr>
      </w:pPr>
      <w:r>
        <w:rPr>
          <w:rFonts w:hint="eastAsia" w:ascii="仿宋_GB2312" w:hAnsi="等线" w:cs="仿宋_GB2312"/>
          <w:b/>
          <w:bCs/>
          <w:color w:val="000000" w:themeColor="text1"/>
          <w:szCs w:val="32"/>
          <w:lang w:bidi="ar"/>
          <w14:textFill>
            <w14:solidFill>
              <w14:schemeClr w14:val="tx1"/>
            </w14:solidFill>
          </w14:textFill>
        </w:rPr>
        <w:t>基础设施加速成型</w:t>
      </w:r>
      <w:r>
        <w:rPr>
          <w:rFonts w:hint="eastAsia" w:ascii="仿宋_GB2312" w:hAnsi="等线" w:cs="仿宋_GB2312"/>
          <w:color w:val="000000" w:themeColor="text1"/>
          <w:szCs w:val="32"/>
          <w:lang w:bidi="ar"/>
          <w14:textFill>
            <w14:solidFill>
              <w14:schemeClr w14:val="tx1"/>
            </w14:solidFill>
          </w14:textFill>
        </w:rPr>
        <w:t>，东六环入地改造、城市副中心综合交通枢纽建成通车，轨道交通M101线稳步推进，</w:t>
      </w:r>
      <w:r>
        <w:rPr>
          <w:rFonts w:ascii="仿宋_GB2312" w:hAnsi="宋体" w:cs="仿宋_GB2312"/>
          <w:color w:val="000000" w:themeColor="text1"/>
          <w:sz w:val="31"/>
          <w:szCs w:val="31"/>
          <w14:textFill>
            <w14:solidFill>
              <w14:schemeClr w14:val="tx1"/>
            </w14:solidFill>
          </w14:textFill>
        </w:rPr>
        <w:t>地铁6号线南延开通运行</w:t>
      </w:r>
      <w:r>
        <w:rPr>
          <w:rFonts w:hint="eastAsia" w:ascii="仿宋_GB2312" w:hAnsi="宋体" w:cs="仿宋_GB2312"/>
          <w:color w:val="000000" w:themeColor="text1"/>
          <w:sz w:val="31"/>
          <w:szCs w:val="31"/>
          <w14:textFill>
            <w14:solidFill>
              <w14:schemeClr w14:val="tx1"/>
            </w14:solidFill>
          </w14:textFill>
        </w:rPr>
        <w:t>，</w:t>
      </w:r>
      <w:r>
        <w:rPr>
          <w:rFonts w:hint="eastAsia" w:ascii="仿宋_GB2312" w:hAnsi="等线" w:cs="仿宋_GB2312"/>
          <w:color w:val="000000" w:themeColor="text1"/>
          <w:szCs w:val="32"/>
          <w:lang w:bidi="ar"/>
          <w14:textFill>
            <w14:solidFill>
              <w14:schemeClr w14:val="tx1"/>
            </w14:solidFill>
          </w14:textFill>
        </w:rPr>
        <w:t>城市副中心站城融合新格局加速实现。</w:t>
      </w:r>
      <w:r>
        <w:rPr>
          <w:rFonts w:hint="eastAsia" w:ascii="仿宋_GB2312" w:hAnsi="等线" w:cs="仿宋_GB2312"/>
          <w:b/>
          <w:bCs/>
          <w:color w:val="000000" w:themeColor="text1"/>
          <w:szCs w:val="32"/>
          <w:lang w:bidi="ar"/>
          <w14:textFill>
            <w14:solidFill>
              <w14:schemeClr w14:val="tx1"/>
            </w14:solidFill>
          </w14:textFill>
        </w:rPr>
        <w:t>文旅焕新活力迸发</w:t>
      </w:r>
      <w:r>
        <w:rPr>
          <w:rFonts w:hint="eastAsia" w:ascii="仿宋_GB2312" w:hAnsi="等线" w:cs="仿宋_GB2312"/>
          <w:color w:val="000000" w:themeColor="text1"/>
          <w:szCs w:val="32"/>
          <w:lang w:bidi="ar"/>
          <w14:textFill>
            <w14:solidFill>
              <w14:schemeClr w14:val="tx1"/>
            </w14:solidFill>
          </w14:textFill>
        </w:rPr>
        <w:t>，北京环球度假区持续扩容，六环高线公园启动建设，北运河西岸滨水空间提升项目热度持续提升，台湖音宇宙艺术中心等新业态投入运营，城市绿心三大文化设施与大运河夜游空间激活文旅新体验，北京（通州）大运河文化旅游景区中区上榜国家级夜间文化和旅游消费集聚区，“运上行”大运河水景演艺填补沉浸式夜游空白。</w:t>
      </w:r>
      <w:r>
        <w:rPr>
          <w:rFonts w:hint="eastAsia" w:ascii="仿宋_GB2312" w:hAnsi="等线" w:cs="仿宋_GB2312"/>
          <w:b/>
          <w:bCs/>
          <w:color w:val="000000" w:themeColor="text1"/>
          <w:szCs w:val="32"/>
          <w:lang w:bidi="ar"/>
          <w14:textFill>
            <w14:solidFill>
              <w14:schemeClr w14:val="tx1"/>
            </w14:solidFill>
          </w14:textFill>
        </w:rPr>
        <w:t>创新要素加速集聚</w:t>
      </w:r>
      <w:r>
        <w:rPr>
          <w:rFonts w:hint="eastAsia" w:ascii="仿宋_GB2312" w:hAnsi="等线" w:cs="仿宋_GB2312"/>
          <w:color w:val="000000" w:themeColor="text1"/>
          <w:szCs w:val="32"/>
          <w:lang w:bidi="ar"/>
          <w14:textFill>
            <w14:solidFill>
              <w14:schemeClr w14:val="tx1"/>
            </w14:solidFill>
          </w14:textFill>
        </w:rPr>
        <w:t>，城市副中心“未来设计+大健康”两业融合示范区正式授牌，成为推动设计与健康产业跨界融合的重要载体；中国人民大学、北京服装学院、等高端科教资源加速导入。</w:t>
      </w:r>
      <w:bookmarkStart w:id="28" w:name="OLE_LINK4"/>
      <w:r>
        <w:rPr>
          <w:rFonts w:hint="eastAsia" w:ascii="仿宋_GB2312" w:hAnsi="等线" w:cs="仿宋_GB2312"/>
          <w:b/>
          <w:bCs/>
          <w:color w:val="000000" w:themeColor="text1"/>
          <w:szCs w:val="32"/>
          <w:lang w:bidi="ar"/>
          <w14:textFill>
            <w14:solidFill>
              <w14:schemeClr w14:val="tx1"/>
            </w14:solidFill>
          </w14:textFill>
        </w:rPr>
        <w:t>民生保障提质增效</w:t>
      </w:r>
      <w:r>
        <w:rPr>
          <w:rFonts w:hint="eastAsia" w:ascii="仿宋_GB2312" w:hAnsi="等线" w:cs="仿宋_GB2312"/>
          <w:color w:val="000000" w:themeColor="text1"/>
          <w:szCs w:val="32"/>
          <w:lang w:bidi="ar"/>
          <w14:textFill>
            <w14:solidFill>
              <w14:schemeClr w14:val="tx1"/>
            </w14:solidFill>
          </w14:textFill>
        </w:rPr>
        <w:t>，</w:t>
      </w:r>
      <w:bookmarkEnd w:id="28"/>
      <w:r>
        <w:rPr>
          <w:rFonts w:hint="eastAsia" w:ascii="仿宋_GB2312" w:hAnsi="等线" w:cs="仿宋_GB2312"/>
          <w:color w:val="000000" w:themeColor="text1"/>
          <w:szCs w:val="32"/>
          <w:lang w:bidi="ar"/>
          <w14:textFill>
            <w14:solidFill>
              <w14:schemeClr w14:val="tx1"/>
            </w14:solidFill>
          </w14:textFill>
        </w:rPr>
        <w:t>北京学校、景山学校等多所优质学校落地，，义务教育均衡发展指数居全市第一；首都医科大学附属北京安贞医院通州院区开诊运行，首都儿科研究所附属儿童医院通州院区、北京市疾控中心等医疗机构加快建设。</w:t>
      </w:r>
    </w:p>
    <w:p>
      <w:pPr>
        <w:pStyle w:val="4"/>
        <w:spacing w:before="0" w:after="0"/>
        <w:ind w:firstLine="640"/>
        <w:rPr>
          <w:rFonts w:hint="default" w:ascii="黑体" w:hAnsi="黑体" w:eastAsia="黑体" w:cs="黑体"/>
          <w:b w:val="0"/>
          <w:bCs w:val="0"/>
          <w:color w:val="000000" w:themeColor="text1"/>
          <w14:textFill>
            <w14:solidFill>
              <w14:schemeClr w14:val="tx1"/>
            </w14:solidFill>
          </w14:textFill>
        </w:rPr>
      </w:pPr>
      <w:bookmarkStart w:id="29" w:name="_Toc14330"/>
      <w:bookmarkStart w:id="30" w:name="_Toc4733"/>
      <w:bookmarkStart w:id="31" w:name="_Toc228193686"/>
      <w:bookmarkStart w:id="32" w:name="_Toc30723"/>
      <w:bookmarkStart w:id="33" w:name="_Toc15629"/>
      <w:bookmarkStart w:id="34" w:name="_Toc13585"/>
      <w:r>
        <w:rPr>
          <w:rFonts w:ascii="黑体" w:hAnsi="黑体" w:eastAsia="黑体" w:cs="黑体"/>
          <w:b w:val="0"/>
          <w:bCs w:val="0"/>
          <w:color w:val="000000" w:themeColor="text1"/>
          <w14:textFill>
            <w14:solidFill>
              <w14:schemeClr w14:val="tx1"/>
            </w14:solidFill>
          </w14:textFill>
        </w:rPr>
        <w:t>四、政策体系持续完善，改革创新赋能发展</w:t>
      </w:r>
      <w:bookmarkEnd w:id="29"/>
      <w:bookmarkEnd w:id="30"/>
      <w:bookmarkEnd w:id="31"/>
      <w:bookmarkEnd w:id="32"/>
      <w:bookmarkEnd w:id="33"/>
      <w:bookmarkEnd w:id="34"/>
    </w:p>
    <w:p>
      <w:pPr>
        <w:widowControl/>
        <w:ind w:firstLine="643"/>
        <w:rPr>
          <w:rFonts w:ascii="等线" w:hAnsi="等线" w:eastAsia="等线" w:cs="Times New Roman"/>
          <w:color w:val="000000" w:themeColor="text1"/>
          <w:sz w:val="21"/>
          <w:szCs w:val="21"/>
          <w14:textFill>
            <w14:solidFill>
              <w14:schemeClr w14:val="tx1"/>
            </w14:solidFill>
          </w14:textFill>
        </w:rPr>
      </w:pPr>
      <w:r>
        <w:rPr>
          <w:rFonts w:hint="eastAsia" w:ascii="仿宋_GB2312" w:hAnsi="等线" w:cs="仿宋_GB2312"/>
          <w:b/>
          <w:bCs/>
          <w:color w:val="000000" w:themeColor="text1"/>
          <w:szCs w:val="32"/>
          <w:lang w:bidi="ar"/>
          <w14:textFill>
            <w14:solidFill>
              <w14:schemeClr w14:val="tx1"/>
            </w14:solidFill>
          </w14:textFill>
        </w:rPr>
        <w:t>产业政策体系迭代升级</w:t>
      </w:r>
      <w:r>
        <w:rPr>
          <w:rFonts w:hint="eastAsia" w:ascii="仿宋_GB2312" w:hAnsi="等线" w:cs="仿宋_GB2312"/>
          <w:color w:val="000000" w:themeColor="text1"/>
          <w:szCs w:val="32"/>
          <w:lang w:bidi="ar"/>
          <w14:textFill>
            <w14:solidFill>
              <w14:schemeClr w14:val="tx1"/>
            </w14:solidFill>
          </w14:textFill>
        </w:rPr>
        <w:t>，聚焦新质生产力培育和产业高质量发展需求，系统迭代更新产业政策体系，</w:t>
      </w:r>
      <w:r>
        <w:rPr>
          <w:rFonts w:hint="eastAsia" w:ascii="仿宋_GB2312" w:hAnsi="等线" w:cs="仿宋_GB2312"/>
          <w:color w:val="000000" w:themeColor="text1"/>
          <w:kern w:val="0"/>
          <w:szCs w:val="32"/>
          <w:lang w:bidi="ar"/>
          <w14:textFill>
            <w14:solidFill>
              <w14:schemeClr w14:val="tx1"/>
            </w14:solidFill>
          </w14:textFill>
        </w:rPr>
        <w:t>印发实施《关于加快推进北京城市副中心产业高质量发展的若干措施》</w:t>
      </w:r>
      <w:r>
        <w:rPr>
          <w:rFonts w:hint="eastAsia" w:ascii="仿宋_GB2312" w:hAnsi="等线" w:cs="仿宋_GB2312"/>
          <w:bCs/>
          <w:color w:val="000000" w:themeColor="text1"/>
          <w:szCs w:val="32"/>
          <w:lang w:bidi="ar"/>
          <w14:textFill>
            <w14:solidFill>
              <w14:schemeClr w14:val="tx1"/>
            </w14:solidFill>
          </w14:textFill>
        </w:rPr>
        <w:t>。</w:t>
      </w:r>
      <w:r>
        <w:rPr>
          <w:rFonts w:hint="eastAsia" w:ascii="仿宋_GB2312" w:hAnsi="等线" w:cs="仿宋_GB2312"/>
          <w:b/>
          <w:color w:val="000000" w:themeColor="text1"/>
          <w:szCs w:val="32"/>
          <w:lang w:bidi="ar"/>
          <w14:textFill>
            <w14:solidFill>
              <w14:schemeClr w14:val="tx1"/>
            </w14:solidFill>
          </w14:textFill>
        </w:rPr>
        <w:t>改革试点落地见效，</w:t>
      </w:r>
      <w:r>
        <w:rPr>
          <w:rFonts w:hint="eastAsia" w:ascii="仿宋_GB2312" w:hAnsi="等线" w:cs="仿宋_GB2312"/>
          <w:bCs/>
          <w:color w:val="000000" w:themeColor="text1"/>
          <w:szCs w:val="32"/>
          <w:lang w:bidi="ar"/>
          <w14:textFill>
            <w14:solidFill>
              <w14:schemeClr w14:val="tx1"/>
            </w14:solidFill>
          </w14:textFill>
        </w:rPr>
        <w:t>《北京城市副中心要素市场化配置综合改革试点实施方案》获国务院批复，在技术、土地、人力、数据、资本、资源等领域加速改革、先行先试。高质量制定</w:t>
      </w:r>
      <w:r>
        <w:rPr>
          <w:rFonts w:hint="eastAsia" w:ascii="仿宋_GB2312" w:hAnsi="等线" w:cs="仿宋_GB2312"/>
          <w:color w:val="000000" w:themeColor="text1"/>
          <w:szCs w:val="32"/>
          <w:lang w:bidi="ar"/>
          <w14:textFill>
            <w14:solidFill>
              <w14:schemeClr w14:val="tx1"/>
            </w14:solidFill>
          </w14:textFill>
        </w:rPr>
        <w:t>《北京城市副中心条例（草案）》，建立健全统一衔接的空间规划体系与产业发展布局。</w:t>
      </w:r>
      <w:r>
        <w:rPr>
          <w:rFonts w:hint="eastAsia" w:ascii="仿宋_GB2312" w:hAnsi="等线" w:cs="仿宋_GB2312"/>
          <w:b/>
          <w:bCs/>
          <w:color w:val="000000" w:themeColor="text1"/>
          <w:szCs w:val="32"/>
          <w:lang w:bidi="ar"/>
          <w14:textFill>
            <w14:solidFill>
              <w14:schemeClr w14:val="tx1"/>
            </w14:solidFill>
          </w14:textFill>
        </w:rPr>
        <w:t>重点改革纵深推进</w:t>
      </w:r>
      <w:r>
        <w:rPr>
          <w:rFonts w:hint="eastAsia" w:ascii="仿宋_GB2312" w:hAnsi="等线" w:cs="仿宋_GB2312"/>
          <w:color w:val="000000" w:themeColor="text1"/>
          <w:szCs w:val="32"/>
          <w:lang w:bidi="ar"/>
          <w14:textFill>
            <w14:solidFill>
              <w14:schemeClr w14:val="tx1"/>
            </w14:solidFill>
          </w14:textFill>
        </w:rPr>
        <w:t>，集体经营性建设用地入市改革实现实质性进展，。</w:t>
      </w:r>
      <w:r>
        <w:rPr>
          <w:rFonts w:hint="eastAsia" w:ascii="仿宋_GB2312" w:hAnsi="宋体" w:cs="仿宋_GB2312"/>
          <w:color w:val="000000" w:themeColor="text1"/>
          <w:kern w:val="0"/>
          <w:sz w:val="31"/>
          <w:szCs w:val="31"/>
          <w:lang w:bidi="ar"/>
          <w14:textFill>
            <w14:solidFill>
              <w14:schemeClr w14:val="tx1"/>
            </w14:solidFill>
          </w14:textFill>
        </w:rPr>
        <w:t>率先落地全国首个不动产信托财产登记试点案例及全国首批股权信托财产登记试点案例，形成“两区”国家级案例7项、市级案例17项，居全市前列。</w:t>
      </w:r>
    </w:p>
    <w:p>
      <w:pPr>
        <w:pStyle w:val="4"/>
        <w:spacing w:before="0" w:after="0"/>
        <w:ind w:firstLine="640"/>
        <w:rPr>
          <w:rFonts w:hint="default" w:ascii="黑体" w:hAnsi="黑体" w:eastAsia="黑体" w:cs="黑体"/>
          <w:b w:val="0"/>
          <w:bCs w:val="0"/>
          <w:color w:val="000000" w:themeColor="text1"/>
          <w14:textFill>
            <w14:solidFill>
              <w14:schemeClr w14:val="tx1"/>
            </w14:solidFill>
          </w14:textFill>
        </w:rPr>
      </w:pPr>
      <w:bookmarkStart w:id="35" w:name="_Toc29909"/>
      <w:bookmarkStart w:id="36" w:name="_Toc2171"/>
      <w:bookmarkStart w:id="37" w:name="_Toc15258"/>
      <w:bookmarkStart w:id="38" w:name="_Toc228193687"/>
      <w:bookmarkStart w:id="39" w:name="_Toc9942"/>
      <w:bookmarkStart w:id="40" w:name="_Toc5507"/>
      <w:r>
        <w:rPr>
          <w:rFonts w:ascii="黑体" w:hAnsi="黑体" w:eastAsia="黑体" w:cs="黑体"/>
          <w:b w:val="0"/>
          <w:bCs w:val="0"/>
          <w:color w:val="000000" w:themeColor="text1"/>
          <w14:textFill>
            <w14:solidFill>
              <w14:schemeClr w14:val="tx1"/>
            </w14:solidFill>
          </w14:textFill>
        </w:rPr>
        <w:t>五、区域协同走深走实，融合发展成效显著</w:t>
      </w:r>
      <w:bookmarkEnd w:id="35"/>
      <w:bookmarkEnd w:id="36"/>
      <w:bookmarkEnd w:id="37"/>
      <w:bookmarkEnd w:id="38"/>
      <w:bookmarkEnd w:id="39"/>
      <w:bookmarkEnd w:id="40"/>
    </w:p>
    <w:p>
      <w:pPr>
        <w:ind w:firstLine="643"/>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顶层设计持续优化</w:t>
      </w:r>
      <w:r>
        <w:rPr>
          <w:rFonts w:hint="eastAsia" w:ascii="仿宋_GB2312" w:hAnsi="仿宋_GB2312" w:cs="仿宋_GB2312"/>
          <w:color w:val="000000" w:themeColor="text1"/>
          <w:szCs w:val="32"/>
          <w:lang w:bidi="ar"/>
          <w14:textFill>
            <w14:solidFill>
              <w14:schemeClr w14:val="tx1"/>
            </w14:solidFill>
          </w14:textFill>
        </w:rPr>
        <w:t>，《通州区与北三县一体化高质量发展示范区总体方案》获国务院批复，通北示范区执委会实现高效运转，配合编制《北京市通州区与河北省三河、大厂、香河三县市一体化高质量发展三年行动计划》等文件，构建起从顶层战略到年度部署的多层级政策体系，为扎实推进京津冀协同发展各项工作打下坚实基础。</w:t>
      </w:r>
      <w:r>
        <w:rPr>
          <w:rFonts w:hint="eastAsia" w:ascii="仿宋_GB2312" w:hAnsi="仿宋_GB2312" w:cs="仿宋_GB2312"/>
          <w:b/>
          <w:bCs/>
          <w:color w:val="000000" w:themeColor="text1"/>
          <w:szCs w:val="32"/>
          <w:lang w:bidi="ar"/>
          <w14:textFill>
            <w14:solidFill>
              <w14:schemeClr w14:val="tx1"/>
            </w14:solidFill>
          </w14:textFill>
        </w:rPr>
        <w:t>产业联动纵深推进，</w:t>
      </w:r>
      <w:r>
        <w:rPr>
          <w:rFonts w:hint="eastAsia" w:ascii="仿宋_GB2312" w:hAnsi="仿宋_GB2312" w:cs="仿宋_GB2312"/>
          <w:color w:val="000000" w:themeColor="text1"/>
          <w:szCs w:val="32"/>
          <w:lang w:bidi="ar"/>
          <w14:textFill>
            <w14:solidFill>
              <w14:schemeClr w14:val="tx1"/>
            </w14:solidFill>
          </w14:textFill>
        </w:rPr>
        <w:t>联合发布产业禁限目录，编制完成通北示范区产业图谱，两地政务服务事项实现“区域通办”，揭牌北京城市副中心技术创新中心并设立首支转化基金；“通武廊”医药制造行业清洁生产区域协同审核创新试点有序推进，制定区域清洁生产整体审核技术指南2项获北京市标准立项。</w:t>
      </w:r>
      <w:r>
        <w:rPr>
          <w:rFonts w:hint="eastAsia" w:ascii="仿宋_GB2312" w:hAnsi="仿宋_GB2312" w:cs="仿宋_GB2312"/>
          <w:b/>
          <w:bCs/>
          <w:color w:val="000000" w:themeColor="text1"/>
          <w:szCs w:val="32"/>
          <w:lang w:bidi="ar"/>
          <w14:textFill>
            <w14:solidFill>
              <w14:schemeClr w14:val="tx1"/>
            </w14:solidFill>
          </w14:textFill>
        </w:rPr>
        <w:t>联合招商成效显著</w:t>
      </w:r>
      <w:r>
        <w:rPr>
          <w:rFonts w:hint="eastAsia" w:ascii="仿宋_GB2312" w:hAnsi="仿宋_GB2312" w:cs="仿宋_GB2312"/>
          <w:color w:val="000000" w:themeColor="text1"/>
          <w:szCs w:val="32"/>
          <w:lang w:bidi="ar"/>
          <w14:textFill>
            <w14:solidFill>
              <w14:schemeClr w14:val="tx1"/>
            </w14:solidFill>
          </w14:textFill>
        </w:rPr>
        <w:t>，在苏州举办通北示范区一体化联合招商推介会，创新举办京津冀创新医学转化与产业促进大赛等系列活动，有效搭建企业对接桥梁，区域协同影响力持续扩大。</w:t>
      </w:r>
      <w:r>
        <w:rPr>
          <w:rFonts w:hint="eastAsia" w:ascii="仿宋_GB2312" w:hAnsi="仿宋_GB2312" w:cs="仿宋_GB2312"/>
          <w:b/>
          <w:bCs/>
          <w:color w:val="000000" w:themeColor="text1"/>
          <w:szCs w:val="32"/>
          <w:lang w:bidi="ar"/>
          <w14:textFill>
            <w14:solidFill>
              <w14:schemeClr w14:val="tx1"/>
            </w14:solidFill>
          </w14:textFill>
        </w:rPr>
        <w:t>四区结对成果丰硕</w:t>
      </w:r>
      <w:r>
        <w:rPr>
          <w:rFonts w:hint="eastAsia" w:ascii="仿宋_GB2312" w:hAnsi="仿宋_GB2312" w:cs="仿宋_GB2312"/>
          <w:color w:val="000000" w:themeColor="text1"/>
          <w:szCs w:val="32"/>
          <w:lang w:bidi="ar"/>
          <w14:textFill>
            <w14:solidFill>
              <w14:schemeClr w14:val="tx1"/>
            </w14:solidFill>
          </w14:textFill>
        </w:rPr>
        <w:t>，深化与西城、朝阳、海淀结对共建，一批专精特新、国家高新技术企业落地生根。</w:t>
      </w:r>
    </w:p>
    <w:p>
      <w:pPr>
        <w:pStyle w:val="22"/>
        <w:spacing w:beforeAutospacing="0" w:afterAutospacing="0"/>
        <w:ind w:firstLine="640"/>
        <w:jc w:val="both"/>
        <w:rPr>
          <w:rFonts w:ascii="仿宋_GB2312" w:hAnsi="仿宋_GB2312" w:eastAsia="仿宋_GB2312" w:cs="仿宋_GB2312"/>
          <w:color w:val="000000" w:themeColor="text1"/>
          <w:kern w:val="2"/>
          <w:sz w:val="32"/>
          <w:szCs w:val="32"/>
          <w:lang w:bidi="ar"/>
          <w14:textFill>
            <w14:solidFill>
              <w14:schemeClr w14:val="tx1"/>
            </w14:solidFill>
          </w14:textFill>
        </w:rPr>
      </w:pPr>
    </w:p>
    <w:p>
      <w:pPr>
        <w:pStyle w:val="3"/>
        <w:spacing w:before="0" w:after="0"/>
        <w:ind w:firstLine="0" w:firstLineChars="0"/>
        <w:jc w:val="center"/>
        <w:rPr>
          <w:rFonts w:hint="default" w:ascii="黑体" w:hAnsi="黑体" w:eastAsia="黑体" w:cs="黑体"/>
          <w:b w:val="0"/>
          <w:bCs w:val="0"/>
          <w:color w:val="000000" w:themeColor="text1"/>
          <w:sz w:val="32"/>
          <w:szCs w:val="32"/>
          <w14:textFill>
            <w14:solidFill>
              <w14:schemeClr w14:val="tx1"/>
            </w14:solidFill>
          </w14:textFill>
        </w:rPr>
      </w:pPr>
      <w:bookmarkStart w:id="41" w:name="_Toc223085195"/>
      <w:bookmarkEnd w:id="41"/>
      <w:bookmarkStart w:id="42" w:name="_Toc9988"/>
      <w:bookmarkEnd w:id="42"/>
      <w:bookmarkStart w:id="43" w:name="_Toc5087"/>
      <w:bookmarkEnd w:id="43"/>
      <w:bookmarkStart w:id="44" w:name="_Toc28849"/>
      <w:bookmarkEnd w:id="44"/>
      <w:bookmarkStart w:id="45" w:name="_Toc29313"/>
      <w:bookmarkEnd w:id="45"/>
      <w:bookmarkStart w:id="46" w:name="_Toc7597"/>
      <w:bookmarkEnd w:id="46"/>
      <w:bookmarkStart w:id="47" w:name="_Toc12116"/>
      <w:bookmarkStart w:id="48" w:name="_Toc2800"/>
      <w:bookmarkStart w:id="49" w:name="_Toc15181"/>
      <w:bookmarkStart w:id="50" w:name="_Toc26508"/>
      <w:bookmarkStart w:id="51" w:name="_Toc14861"/>
      <w:bookmarkStart w:id="52" w:name="_Toc27311"/>
      <w:bookmarkStart w:id="53" w:name="_Toc228193689"/>
      <w:bookmarkStart w:id="54" w:name="_Toc810"/>
      <w:r>
        <w:rPr>
          <w:rFonts w:ascii="黑体" w:hAnsi="黑体" w:eastAsia="黑体" w:cs="黑体"/>
          <w:b w:val="0"/>
          <w:bCs w:val="0"/>
          <w:color w:val="000000" w:themeColor="text1"/>
          <w:sz w:val="32"/>
          <w:szCs w:val="32"/>
          <w14:textFill>
            <w14:solidFill>
              <w14:schemeClr w14:val="tx1"/>
            </w14:solidFill>
          </w14:textFill>
        </w:rPr>
        <w:t>第</w:t>
      </w:r>
      <w:bookmarkEnd w:id="47"/>
      <w:bookmarkEnd w:id="48"/>
      <w:r>
        <w:rPr>
          <w:rFonts w:ascii="黑体" w:hAnsi="黑体" w:eastAsia="黑体" w:cs="黑体"/>
          <w:b w:val="0"/>
          <w:bCs w:val="0"/>
          <w:color w:val="000000" w:themeColor="text1"/>
          <w:sz w:val="32"/>
          <w:szCs w:val="32"/>
          <w14:textFill>
            <w14:solidFill>
              <w14:schemeClr w14:val="tx1"/>
            </w14:solidFill>
          </w14:textFill>
        </w:rPr>
        <w:t>二章 “十五五”时期产业发展的战略机遇与挑战</w:t>
      </w:r>
      <w:bookmarkEnd w:id="49"/>
      <w:bookmarkEnd w:id="50"/>
      <w:bookmarkEnd w:id="51"/>
      <w:bookmarkEnd w:id="52"/>
      <w:bookmarkEnd w:id="53"/>
      <w:bookmarkEnd w:id="54"/>
    </w:p>
    <w:p>
      <w:pPr>
        <w:pStyle w:val="4"/>
        <w:spacing w:before="0" w:after="0"/>
        <w:ind w:firstLine="640"/>
        <w:rPr>
          <w:rFonts w:hint="default" w:ascii="黑体" w:hAnsi="黑体" w:eastAsia="黑体" w:cs="黑体"/>
          <w:b w:val="0"/>
          <w:bCs w:val="0"/>
          <w:color w:val="000000" w:themeColor="text1"/>
          <w14:textFill>
            <w14:solidFill>
              <w14:schemeClr w14:val="tx1"/>
            </w14:solidFill>
          </w14:textFill>
        </w:rPr>
      </w:pPr>
      <w:bookmarkStart w:id="55" w:name="_Toc32764"/>
      <w:bookmarkStart w:id="56" w:name="_Toc3302"/>
      <w:bookmarkStart w:id="57" w:name="_Toc24410"/>
      <w:bookmarkStart w:id="58" w:name="_Toc228193690"/>
      <w:bookmarkStart w:id="59" w:name="_Toc4028"/>
      <w:bookmarkStart w:id="60" w:name="_Toc31368"/>
      <w:bookmarkStart w:id="61" w:name="_Toc11315"/>
      <w:r>
        <w:rPr>
          <w:rFonts w:ascii="黑体" w:hAnsi="黑体" w:eastAsia="黑体" w:cs="黑体"/>
          <w:b w:val="0"/>
          <w:bCs w:val="0"/>
          <w:color w:val="000000" w:themeColor="text1"/>
          <w14:textFill>
            <w14:solidFill>
              <w14:schemeClr w14:val="tx1"/>
            </w14:solidFill>
          </w14:textFill>
        </w:rPr>
        <w:t>一、发展的战略机遇</w:t>
      </w:r>
      <w:bookmarkEnd w:id="55"/>
      <w:bookmarkEnd w:id="56"/>
      <w:bookmarkEnd w:id="57"/>
      <w:bookmarkEnd w:id="58"/>
      <w:bookmarkEnd w:id="59"/>
      <w:bookmarkEnd w:id="60"/>
      <w:bookmarkEnd w:id="61"/>
    </w:p>
    <w:p>
      <w:pPr>
        <w:ind w:firstLine="643"/>
        <w:rPr>
          <w:rFonts w:ascii="仿宋_GB2312" w:cs="仿宋_GB2312"/>
          <w:b/>
          <w:color w:val="000000" w:themeColor="text1"/>
          <w:szCs w:val="32"/>
          <w14:textFill>
            <w14:solidFill>
              <w14:schemeClr w14:val="tx1"/>
            </w14:solidFill>
          </w14:textFill>
        </w:rPr>
      </w:pPr>
      <w:r>
        <w:rPr>
          <w:rFonts w:hint="eastAsia" w:ascii="仿宋_GB2312" w:hAnsi="等线" w:cs="仿宋_GB2312"/>
          <w:b/>
          <w:color w:val="000000" w:themeColor="text1"/>
          <w:szCs w:val="32"/>
          <w:lang w:bidi="ar"/>
          <w14:textFill>
            <w14:solidFill>
              <w14:schemeClr w14:val="tx1"/>
            </w14:solidFill>
          </w14:textFill>
        </w:rPr>
        <w:t>一是顶层设计引领构筑产业发展新机遇。</w:t>
      </w:r>
      <w:r>
        <w:rPr>
          <w:rFonts w:hint="eastAsia" w:ascii="仿宋_GB2312" w:hAnsi="等线" w:cs="仿宋_GB2312"/>
          <w:bCs/>
          <w:color w:val="000000" w:themeColor="text1"/>
          <w:szCs w:val="32"/>
          <w:lang w:bidi="ar"/>
          <w14:textFill>
            <w14:solidFill>
              <w14:schemeClr w14:val="tx1"/>
            </w14:solidFill>
          </w14:textFill>
        </w:rPr>
        <w:t>党中央、国务院将城市副中心建设作为千年大计、国家大事，高位统筹、系统部署，出台一系列顶层设计与专项政策，为城市副中心构建现代化产业体系提供根本遵循、制度保障和发展空间。国务院印发《国务院关于支持北京城市副中心高质量发展的意见》，赋予更大改革自主权，为重点产业布局指明方向。</w:t>
      </w:r>
    </w:p>
    <w:p>
      <w:pPr>
        <w:ind w:firstLine="643"/>
        <w:rPr>
          <w:rFonts w:ascii="仿宋_GB2312" w:cs="仿宋_GB2312"/>
          <w:b/>
          <w:color w:val="000000" w:themeColor="text1"/>
          <w:szCs w:val="32"/>
          <w14:textFill>
            <w14:solidFill>
              <w14:schemeClr w14:val="tx1"/>
            </w14:solidFill>
          </w14:textFill>
        </w:rPr>
      </w:pPr>
      <w:r>
        <w:rPr>
          <w:rFonts w:hint="eastAsia" w:ascii="仿宋_GB2312" w:hAnsi="等线" w:cs="仿宋_GB2312"/>
          <w:b/>
          <w:color w:val="000000" w:themeColor="text1"/>
          <w:szCs w:val="32"/>
          <w:lang w:bidi="ar"/>
          <w14:textFill>
            <w14:solidFill>
              <w14:schemeClr w14:val="tx1"/>
            </w14:solidFill>
          </w14:textFill>
        </w:rPr>
        <w:t>二是科技创新战略加持开辟产业新赛道。</w:t>
      </w:r>
      <w:r>
        <w:rPr>
          <w:rFonts w:hint="eastAsia" w:ascii="仿宋_GB2312" w:hAnsi="等线" w:cs="仿宋_GB2312"/>
          <w:bCs/>
          <w:color w:val="000000" w:themeColor="text1"/>
          <w:szCs w:val="32"/>
          <w:lang w:bidi="ar"/>
          <w14:textFill>
            <w14:solidFill>
              <w14:schemeClr w14:val="tx1"/>
            </w14:solidFill>
          </w14:textFill>
        </w:rPr>
        <w:t>党的二十届四中全会明确全面深化改革新路径，部署现代化产业体系建设方向，明确传统产业优化、新兴及未来产业培育、服务业提质等重点任务，为产业高质量发展提供根本遵循。当前，我国加快推进高水平科技自立自强，推动科技创新与产业创新深度融合，北京国际科技创新中心建设持续深化，</w:t>
      </w:r>
      <w:r>
        <w:rPr>
          <w:rFonts w:hint="eastAsia" w:ascii="仿宋_GB2312" w:hAnsi="等线" w:cs="仿宋_GB2312"/>
          <w:color w:val="000000" w:themeColor="text1"/>
          <w:szCs w:val="32"/>
          <w:lang w:bidi="ar"/>
          <w14:textFill>
            <w14:solidFill>
              <w14:schemeClr w14:val="tx1"/>
            </w14:solidFill>
          </w14:textFill>
        </w:rPr>
        <w:t>创新链、产业链、资金链、人才链</w:t>
      </w:r>
      <w:r>
        <w:rPr>
          <w:rFonts w:hint="eastAsia" w:ascii="仿宋_GB2312" w:hAnsi="等线" w:cs="仿宋_GB2312"/>
          <w:bCs/>
          <w:color w:val="000000" w:themeColor="text1"/>
          <w:szCs w:val="32"/>
          <w:lang w:bidi="ar"/>
          <w14:textFill>
            <w14:solidFill>
              <w14:schemeClr w14:val="tx1"/>
            </w14:solidFill>
          </w14:textFill>
        </w:rPr>
        <w:t>融合为城市副中心科技创新驱动产业升级创造有利条件。</w:t>
      </w:r>
    </w:p>
    <w:p>
      <w:pPr>
        <w:ind w:firstLine="643"/>
        <w:rPr>
          <w:rFonts w:ascii="仿宋_GB2312" w:cs="仿宋_GB2312"/>
          <w:color w:val="000000" w:themeColor="text1"/>
          <w:szCs w:val="32"/>
          <w14:textFill>
            <w14:solidFill>
              <w14:schemeClr w14:val="tx1"/>
            </w14:solidFill>
          </w14:textFill>
        </w:rPr>
      </w:pPr>
      <w:r>
        <w:rPr>
          <w:rFonts w:hint="eastAsia" w:ascii="仿宋_GB2312" w:hAnsi="等线" w:cs="仿宋_GB2312"/>
          <w:b/>
          <w:color w:val="000000" w:themeColor="text1"/>
          <w:szCs w:val="32"/>
          <w:lang w:bidi="ar"/>
          <w14:textFill>
            <w14:solidFill>
              <w14:schemeClr w14:val="tx1"/>
            </w14:solidFill>
          </w14:textFill>
        </w:rPr>
        <w:t>三是市级资源强力赋能拓展发展新空间。</w:t>
      </w:r>
      <w:r>
        <w:rPr>
          <w:rFonts w:hint="eastAsia" w:ascii="仿宋_GB2312" w:hAnsi="等线" w:cs="仿宋_GB2312"/>
          <w:color w:val="000000" w:themeColor="text1"/>
          <w:szCs w:val="32"/>
          <w:lang w:bidi="ar"/>
          <w14:textFill>
            <w14:solidFill>
              <w14:schemeClr w14:val="tx1"/>
            </w14:solidFill>
          </w14:textFill>
        </w:rPr>
        <w:t>作为首都发展“一翼”，随着北京“四个中心”功能进一步凸显，肩负的责任使命更加重大、担当更加凸显。市委、市政府将持续深化“举全市之力建设城市副中心”的工作部署，加大政策、资金、项目等优质资源的精准投放力度，不断提升城市副中心在全市高质量发展布局中的战略核心地位。</w:t>
      </w:r>
    </w:p>
    <w:p>
      <w:pPr>
        <w:pStyle w:val="4"/>
        <w:spacing w:before="0" w:after="0"/>
        <w:ind w:firstLine="640"/>
        <w:rPr>
          <w:rFonts w:hint="default" w:ascii="黑体" w:hAnsi="黑体" w:eastAsia="黑体" w:cs="黑体"/>
          <w:b w:val="0"/>
          <w:bCs w:val="0"/>
          <w:color w:val="000000" w:themeColor="text1"/>
          <w14:textFill>
            <w14:solidFill>
              <w14:schemeClr w14:val="tx1"/>
            </w14:solidFill>
          </w14:textFill>
        </w:rPr>
      </w:pPr>
      <w:bookmarkStart w:id="62" w:name="_Toc5708"/>
      <w:bookmarkStart w:id="63" w:name="_Toc228193691"/>
      <w:bookmarkStart w:id="64" w:name="_Toc14651"/>
      <w:bookmarkStart w:id="65" w:name="_Toc18378"/>
      <w:bookmarkStart w:id="66" w:name="_Toc3604"/>
      <w:bookmarkStart w:id="67" w:name="_Toc31675"/>
      <w:bookmarkStart w:id="68" w:name="_Toc15948"/>
      <w:r>
        <w:rPr>
          <w:rFonts w:ascii="黑体" w:hAnsi="黑体" w:eastAsia="黑体" w:cs="黑体"/>
          <w:b w:val="0"/>
          <w:bCs w:val="0"/>
          <w:color w:val="000000" w:themeColor="text1"/>
          <w14:textFill>
            <w14:solidFill>
              <w14:schemeClr w14:val="tx1"/>
            </w14:solidFill>
          </w14:textFill>
        </w:rPr>
        <w:t>二、外部风险与内部挑战</w:t>
      </w:r>
      <w:bookmarkEnd w:id="62"/>
      <w:bookmarkEnd w:id="63"/>
      <w:bookmarkEnd w:id="64"/>
      <w:bookmarkEnd w:id="65"/>
      <w:bookmarkEnd w:id="66"/>
      <w:bookmarkEnd w:id="67"/>
      <w:bookmarkEnd w:id="68"/>
    </w:p>
    <w:p>
      <w:pPr>
        <w:ind w:firstLine="643"/>
        <w:rPr>
          <w:rFonts w:ascii="仿宋_GB2312" w:cs="仿宋_GB2312"/>
          <w:color w:val="000000" w:themeColor="text1"/>
          <w:szCs w:val="32"/>
          <w14:textFill>
            <w14:solidFill>
              <w14:schemeClr w14:val="tx1"/>
            </w14:solidFill>
          </w14:textFill>
        </w:rPr>
      </w:pPr>
      <w:r>
        <w:rPr>
          <w:rFonts w:hint="eastAsia" w:ascii="仿宋_GB2312" w:hAnsi="等线" w:cs="仿宋_GB2312"/>
          <w:b/>
          <w:bCs/>
          <w:color w:val="000000" w:themeColor="text1"/>
          <w:szCs w:val="32"/>
          <w:lang w:bidi="ar"/>
          <w14:textFill>
            <w14:solidFill>
              <w14:schemeClr w14:val="tx1"/>
            </w14:solidFill>
          </w14:textFill>
        </w:rPr>
        <w:t>一是经济下行带来多重外部挑战</w:t>
      </w:r>
      <w:r>
        <w:rPr>
          <w:rFonts w:hint="eastAsia" w:ascii="仿宋_GB2312" w:hAnsi="等线" w:cs="仿宋_GB2312"/>
          <w:color w:val="000000" w:themeColor="text1"/>
          <w:szCs w:val="32"/>
          <w:lang w:bidi="ar"/>
          <w14:textFill>
            <w14:solidFill>
              <w14:schemeClr w14:val="tx1"/>
            </w14:solidFill>
          </w14:textFill>
        </w:rPr>
        <w:t>。当前全球经济复苏动力不足，国内经济面临需求收缩、供给冲击、预期转弱“三重压力”，消费、投资、资本市场等多重因素叠加，对城市副中心重点产业发展形成挑战。</w:t>
      </w:r>
    </w:p>
    <w:p>
      <w:pPr>
        <w:ind w:firstLine="643"/>
        <w:rPr>
          <w:rFonts w:ascii="仿宋_GB2312" w:cs="仿宋_GB2312"/>
          <w:color w:val="000000" w:themeColor="text1"/>
          <w:szCs w:val="32"/>
          <w14:textFill>
            <w14:solidFill>
              <w14:schemeClr w14:val="tx1"/>
            </w14:solidFill>
          </w14:textFill>
        </w:rPr>
      </w:pPr>
      <w:r>
        <w:rPr>
          <w:rFonts w:hint="eastAsia" w:ascii="仿宋_GB2312" w:hAnsi="等线" w:cs="仿宋_GB2312"/>
          <w:b/>
          <w:bCs/>
          <w:color w:val="000000" w:themeColor="text1"/>
          <w:szCs w:val="32"/>
          <w:lang w:bidi="ar"/>
          <w14:textFill>
            <w14:solidFill>
              <w14:schemeClr w14:val="tx1"/>
            </w14:solidFill>
          </w14:textFill>
        </w:rPr>
        <w:t>二是产业发展进入动能转化攻坚阶段</w:t>
      </w:r>
      <w:r>
        <w:rPr>
          <w:rFonts w:hint="eastAsia" w:ascii="仿宋_GB2312" w:hAnsi="等线" w:cs="仿宋_GB2312"/>
          <w:color w:val="000000" w:themeColor="text1"/>
          <w:szCs w:val="32"/>
          <w:lang w:bidi="ar"/>
          <w14:textFill>
            <w14:solidFill>
              <w14:schemeClr w14:val="tx1"/>
            </w14:solidFill>
          </w14:textFill>
        </w:rPr>
        <w:t>。全球产业链、创新链进入再平衡与弱循环并存阶段，区域化、本土化特征日益凸显。新一轮科技革命和产业变革多点突破、加速迭代，智能、能源、数字等技术赛道群体迸发，传统规模化复制、粗放式扩张的产业模式难以为继。</w:t>
      </w:r>
    </w:p>
    <w:p>
      <w:pPr>
        <w:pStyle w:val="4"/>
        <w:spacing w:before="0" w:after="0"/>
        <w:ind w:firstLine="640"/>
        <w:rPr>
          <w:rFonts w:hint="default" w:ascii="黑体" w:hAnsi="黑体" w:eastAsia="黑体" w:cs="黑体"/>
          <w:b w:val="0"/>
          <w:bCs w:val="0"/>
          <w:color w:val="000000" w:themeColor="text1"/>
          <w14:textFill>
            <w14:solidFill>
              <w14:schemeClr w14:val="tx1"/>
            </w14:solidFill>
          </w14:textFill>
        </w:rPr>
      </w:pPr>
      <w:bookmarkStart w:id="69" w:name="_Toc25283"/>
      <w:bookmarkStart w:id="70" w:name="_Toc22693"/>
      <w:bookmarkStart w:id="71" w:name="_Toc25289"/>
      <w:bookmarkStart w:id="72" w:name="_Toc8698"/>
      <w:bookmarkStart w:id="73" w:name="_Toc19225"/>
      <w:bookmarkStart w:id="74" w:name="_Toc228193692"/>
      <w:bookmarkStart w:id="75" w:name="_Toc30424"/>
      <w:r>
        <w:rPr>
          <w:rFonts w:ascii="黑体" w:hAnsi="黑体" w:eastAsia="黑体" w:cs="黑体"/>
          <w:b w:val="0"/>
          <w:bCs w:val="0"/>
          <w:color w:val="000000" w:themeColor="text1"/>
          <w14:textFill>
            <w14:solidFill>
              <w14:schemeClr w14:val="tx1"/>
            </w14:solidFill>
          </w14:textFill>
        </w:rPr>
        <w:t>三</w:t>
      </w:r>
      <w:bookmarkEnd w:id="69"/>
      <w:r>
        <w:rPr>
          <w:rFonts w:ascii="黑体" w:hAnsi="黑体" w:eastAsia="黑体" w:cs="黑体"/>
          <w:b w:val="0"/>
          <w:bCs w:val="0"/>
          <w:color w:val="000000" w:themeColor="text1"/>
          <w14:textFill>
            <w14:solidFill>
              <w14:schemeClr w14:val="tx1"/>
            </w14:solidFill>
          </w14:textFill>
        </w:rPr>
        <w:t>、瓶颈制约与问题剖析</w:t>
      </w:r>
      <w:bookmarkEnd w:id="70"/>
      <w:bookmarkEnd w:id="71"/>
      <w:bookmarkEnd w:id="72"/>
      <w:bookmarkEnd w:id="73"/>
      <w:bookmarkEnd w:id="74"/>
      <w:bookmarkEnd w:id="75"/>
    </w:p>
    <w:p>
      <w:pPr>
        <w:ind w:firstLine="643"/>
        <w:rPr>
          <w:rFonts w:ascii="仿宋_GB2312" w:hAnsi="等线" w:cs="仿宋_GB2312"/>
          <w:color w:val="000000" w:themeColor="text1"/>
          <w:szCs w:val="32"/>
          <w:lang w:bidi="ar"/>
          <w14:textFill>
            <w14:solidFill>
              <w14:schemeClr w14:val="tx1"/>
            </w14:solidFill>
          </w14:textFill>
        </w:rPr>
      </w:pPr>
      <w:r>
        <w:rPr>
          <w:rFonts w:hint="eastAsia" w:ascii="仿宋_GB2312" w:hAnsi="等线" w:cs="仿宋_GB2312"/>
          <w:b/>
          <w:color w:val="000000" w:themeColor="text1"/>
          <w:szCs w:val="32"/>
          <w:lang w:bidi="ar"/>
          <w14:textFill>
            <w14:solidFill>
              <w14:schemeClr w14:val="tx1"/>
            </w14:solidFill>
          </w14:textFill>
        </w:rPr>
        <w:t>一是新兴产业支撑不强。</w:t>
      </w:r>
      <w:r>
        <w:rPr>
          <w:rFonts w:hint="eastAsia" w:ascii="仿宋_GB2312" w:hAnsi="等线" w:cs="仿宋_GB2312"/>
          <w:color w:val="000000" w:themeColor="text1"/>
          <w:szCs w:val="32"/>
          <w:lang w:bidi="ar"/>
          <w14:textFill>
            <w14:solidFill>
              <w14:schemeClr w14:val="tx1"/>
            </w14:solidFill>
          </w14:textFill>
        </w:rPr>
        <w:t>整体产业链尚不完善，数字经济等产业发展虽已取得积极进展，但总体规模仍相对较小，对区域经济的带动作用未充分发挥</w:t>
      </w:r>
      <w:r>
        <w:rPr>
          <w:rFonts w:hint="eastAsia" w:ascii="仿宋_GB2312" w:hAnsi="等线" w:cs="仿宋_GB2312"/>
          <w:color w:val="000000" w:themeColor="text1"/>
          <w:szCs w:val="32"/>
          <w:lang w:eastAsia="zh" w:bidi="ar"/>
          <w14:textFill>
            <w14:solidFill>
              <w14:schemeClr w14:val="tx1"/>
            </w14:solidFill>
          </w14:textFill>
        </w:rPr>
        <w:t>。</w:t>
      </w:r>
    </w:p>
    <w:p>
      <w:pPr>
        <w:ind w:firstLine="643"/>
        <w:rPr>
          <w:rFonts w:ascii="仿宋_GB2312" w:hAnsi="宋体" w:cs="仿宋_GB2312"/>
          <w:color w:val="000000" w:themeColor="text1"/>
          <w:szCs w:val="32"/>
          <w14:textFill>
            <w14:solidFill>
              <w14:schemeClr w14:val="tx1"/>
            </w14:solidFill>
          </w14:textFill>
        </w:rPr>
      </w:pPr>
      <w:r>
        <w:rPr>
          <w:rFonts w:hint="eastAsia" w:ascii="仿宋_GB2312" w:hAnsi="等线" w:cs="仿宋_GB2312"/>
          <w:b/>
          <w:color w:val="000000" w:themeColor="text1"/>
          <w:szCs w:val="32"/>
          <w:lang w:bidi="ar"/>
          <w14:textFill>
            <w14:solidFill>
              <w14:schemeClr w14:val="tx1"/>
            </w14:solidFill>
          </w14:textFill>
        </w:rPr>
        <w:t>二是重大项目带动不优。</w:t>
      </w:r>
      <w:r>
        <w:rPr>
          <w:rFonts w:hint="eastAsia" w:ascii="仿宋_GB2312" w:hAnsi="宋体" w:cs="仿宋_GB2312"/>
          <w:color w:val="000000" w:themeColor="text1"/>
          <w:szCs w:val="32"/>
          <w:lang w:bidi="ar"/>
          <w14:textFill>
            <w14:solidFill>
              <w14:schemeClr w14:val="tx1"/>
            </w14:solidFill>
          </w14:textFill>
        </w:rPr>
        <w:t>“十四五”时期，一批重大项目陆续落地，有力拉动了功能区发展，但部分项目产业链延伸不足，集聚效应尚未充分发挥</w:t>
      </w:r>
      <w:r>
        <w:rPr>
          <w:rFonts w:hint="eastAsia" w:ascii="仿宋_GB2312" w:hAnsi="等线" w:cs="仿宋_GB2312"/>
          <w:color w:val="000000" w:themeColor="text1"/>
          <w:szCs w:val="32"/>
          <w:lang w:bidi="ar"/>
          <w14:textFill>
            <w14:solidFill>
              <w14:schemeClr w14:val="tx1"/>
            </w14:solidFill>
          </w14:textFill>
        </w:rPr>
        <w:t>。</w:t>
      </w:r>
    </w:p>
    <w:p>
      <w:pPr>
        <w:ind w:firstLine="643"/>
        <w:rPr>
          <w:rFonts w:ascii="仿宋_GB2312" w:cs="仿宋_GB2312"/>
          <w:bCs/>
          <w:color w:val="000000" w:themeColor="text1"/>
          <w:szCs w:val="32"/>
          <w14:textFill>
            <w14:solidFill>
              <w14:schemeClr w14:val="tx1"/>
            </w14:solidFill>
          </w14:textFill>
        </w:rPr>
      </w:pPr>
      <w:r>
        <w:rPr>
          <w:rFonts w:hint="eastAsia" w:ascii="仿宋_GB2312" w:hAnsi="等线" w:cs="仿宋_GB2312"/>
          <w:b/>
          <w:color w:val="000000" w:themeColor="text1"/>
          <w:szCs w:val="32"/>
          <w:lang w:bidi="ar"/>
          <w14:textFill>
            <w14:solidFill>
              <w14:schemeClr w14:val="tx1"/>
            </w14:solidFill>
          </w14:textFill>
        </w:rPr>
        <w:t>三是功能区竞争力不强。</w:t>
      </w:r>
      <w:r>
        <w:rPr>
          <w:rFonts w:hint="eastAsia" w:ascii="仿宋_GB2312" w:hAnsi="等线" w:cs="仿宋_GB2312"/>
          <w:bCs/>
          <w:color w:val="000000" w:themeColor="text1"/>
          <w:szCs w:val="32"/>
          <w:lang w:bidi="ar"/>
          <w14:textFill>
            <w14:solidFill>
              <w14:schemeClr w14:val="tx1"/>
            </w14:solidFill>
          </w14:textFill>
        </w:rPr>
        <w:t>近年来城市副中心持续完善基础设施和各类产业政策，但部分功能区市政配套、公共服务、城市功能有待完善</w:t>
      </w:r>
      <w:r>
        <w:rPr>
          <w:rFonts w:hint="eastAsia" w:ascii="仿宋_GB2312" w:hAnsi="等线" w:cs="仿宋_GB2312"/>
          <w:bCs/>
          <w:color w:val="000000" w:themeColor="text1"/>
          <w:szCs w:val="32"/>
          <w:lang w:eastAsia="zh" w:bidi="ar"/>
          <w14:textFill>
            <w14:solidFill>
              <w14:schemeClr w14:val="tx1"/>
            </w14:solidFill>
          </w14:textFill>
        </w:rPr>
        <w:t>。</w:t>
      </w:r>
    </w:p>
    <w:p>
      <w:pPr>
        <w:widowControl/>
        <w:ind w:firstLine="640"/>
        <w:rPr>
          <w:rFonts w:ascii="仿宋_GB2312" w:hAnsi="等线" w:cs="仿宋_GB2312"/>
          <w:color w:val="000000" w:themeColor="text1"/>
          <w:szCs w:val="32"/>
          <w:lang w:bidi="ar"/>
          <w14:textFill>
            <w14:solidFill>
              <w14:schemeClr w14:val="tx1"/>
            </w14:solidFill>
          </w14:textFill>
        </w:rPr>
      </w:pPr>
      <w:r>
        <w:rPr>
          <w:rFonts w:hint="eastAsia" w:ascii="仿宋_GB2312" w:hAnsi="等线" w:cs="仿宋_GB2312"/>
          <w:color w:val="000000" w:themeColor="text1"/>
          <w:szCs w:val="32"/>
          <w:lang w:bidi="ar"/>
          <w14:textFill>
            <w14:solidFill>
              <w14:schemeClr w14:val="tx1"/>
            </w14:solidFill>
          </w14:textFill>
        </w:rPr>
        <w:t>在未来五年，</w:t>
      </w:r>
      <w:r>
        <w:rPr>
          <w:rStyle w:val="32"/>
          <w:rFonts w:hint="eastAsia" w:ascii="仿宋_GB2312" w:cs="仿宋_GB2312"/>
          <w:color w:val="000000" w:themeColor="text1"/>
          <w:szCs w:val="32"/>
          <w:shd w:val="clear" w:color="auto" w:fill="FFFFFF"/>
          <w:lang w:bidi="ar"/>
          <w14:textFill>
            <w14:solidFill>
              <w14:schemeClr w14:val="tx1"/>
            </w14:solidFill>
          </w14:textFill>
        </w:rPr>
        <w:t>必须科学把握发展大势，坚持问题导向与目标导向相统一，在抢抓机遇中乘势而上，在应对挑战中破局突围，以更高站位、更宽视野、更大力度做好规划引领，</w:t>
      </w:r>
      <w:r>
        <w:rPr>
          <w:rFonts w:hint="eastAsia" w:ascii="仿宋_GB2312" w:hAnsi="等线" w:cs="仿宋_GB2312"/>
          <w:color w:val="000000" w:themeColor="text1"/>
          <w:szCs w:val="32"/>
          <w:lang w:bidi="ar"/>
          <w14:textFill>
            <w14:solidFill>
              <w14:schemeClr w14:val="tx1"/>
            </w14:solidFill>
          </w14:textFill>
        </w:rPr>
        <w:t>扎实走好城市副中心特色鲜明</w:t>
      </w:r>
      <w:r>
        <w:rPr>
          <w:rFonts w:hint="eastAsia" w:ascii="仿宋_GB2312" w:hAnsi="等线" w:cs="仿宋_GB2312"/>
          <w:color w:val="000000" w:themeColor="text1"/>
          <w:szCs w:val="32"/>
          <w:lang w:eastAsia="zh" w:bidi="ar"/>
          <w14:textFill>
            <w14:solidFill>
              <w14:schemeClr w14:val="tx1"/>
            </w14:solidFill>
          </w14:textFill>
        </w:rPr>
        <w:t>的</w:t>
      </w:r>
      <w:r>
        <w:rPr>
          <w:rFonts w:hint="eastAsia" w:ascii="仿宋_GB2312" w:hAnsi="等线" w:cs="仿宋_GB2312"/>
          <w:color w:val="000000" w:themeColor="text1"/>
          <w:szCs w:val="32"/>
          <w:lang w:bidi="ar"/>
          <w14:textFill>
            <w14:solidFill>
              <w14:schemeClr w14:val="tx1"/>
            </w14:solidFill>
          </w14:textFill>
        </w:rPr>
        <w:t>产业转型升级之路，塑造经济高质量发展竞争新优势、发展新局面。</w:t>
      </w:r>
      <w:r>
        <w:rPr>
          <w:rFonts w:hint="eastAsia" w:ascii="仿宋_GB2312" w:hAnsi="等线" w:cs="仿宋_GB2312"/>
          <w:color w:val="000000" w:themeColor="text1"/>
          <w:szCs w:val="32"/>
          <w:lang w:bidi="ar"/>
          <w14:textFill>
            <w14:solidFill>
              <w14:schemeClr w14:val="tx1"/>
            </w14:solidFill>
          </w14:textFill>
        </w:rPr>
        <w:br w:type="page"/>
      </w:r>
    </w:p>
    <w:p>
      <w:pPr>
        <w:pStyle w:val="2"/>
        <w:keepNext w:val="0"/>
        <w:keepLines w:val="0"/>
        <w:widowControl/>
        <w:ind w:firstLine="0" w:firstLineChars="0"/>
        <w:jc w:val="center"/>
        <w:rPr>
          <w:rFonts w:hint="default" w:ascii="方正小标宋简体" w:hAnsi="方正小标宋简体" w:eastAsia="方正小标宋简体" w:cs="方正小标宋简体"/>
          <w:kern w:val="44"/>
          <w:sz w:val="36"/>
          <w:szCs w:val="36"/>
        </w:rPr>
      </w:pPr>
      <w:bookmarkStart w:id="76" w:name="_Toc228193693"/>
      <w:bookmarkStart w:id="77" w:name="_Toc19661"/>
      <w:bookmarkStart w:id="78" w:name="_Toc32093"/>
      <w:r>
        <w:rPr>
          <w:rFonts w:ascii="方正小标宋简体" w:hAnsi="方正小标宋简体" w:eastAsia="方正小标宋简体" w:cs="方正小标宋简体"/>
          <w:bCs w:val="0"/>
          <w:kern w:val="44"/>
          <w:sz w:val="36"/>
          <w:szCs w:val="36"/>
          <w:lang w:bidi="ar"/>
        </w:rPr>
        <w:t>第二篇</w:t>
      </w:r>
      <w:r>
        <w:rPr>
          <w:rFonts w:hint="default" w:ascii="方正小标宋简体" w:hAnsi="方正小标宋简体" w:eastAsia="方正小标宋简体" w:cs="方正小标宋简体"/>
          <w:bCs w:val="0"/>
          <w:kern w:val="44"/>
          <w:sz w:val="36"/>
          <w:szCs w:val="36"/>
          <w:lang w:bidi="ar"/>
        </w:rPr>
        <w:t xml:space="preserve"> 绘就蓝图启新程 系统谋划促跃升</w:t>
      </w:r>
      <w:bookmarkEnd w:id="76"/>
      <w:bookmarkEnd w:id="77"/>
      <w:bookmarkEnd w:id="78"/>
    </w:p>
    <w:p>
      <w:pPr>
        <w:ind w:firstLine="640"/>
        <w:rPr>
          <w:rFonts w:ascii="黑体" w:hAnsi="黑体" w:eastAsia="黑体" w:cs="黑体"/>
          <w:color w:val="000000" w:themeColor="text1"/>
          <w:szCs w:val="32"/>
          <w14:textFill>
            <w14:solidFill>
              <w14:schemeClr w14:val="tx1"/>
            </w14:solidFill>
          </w14:textFill>
        </w:rPr>
      </w:pPr>
      <w:bookmarkStart w:id="79" w:name="_Toc223085210"/>
      <w:bookmarkEnd w:id="79"/>
      <w:bookmarkStart w:id="80" w:name="_Toc17236"/>
      <w:bookmarkEnd w:id="80"/>
      <w:bookmarkStart w:id="81" w:name="_Toc2444"/>
      <w:bookmarkEnd w:id="81"/>
      <w:bookmarkStart w:id="82" w:name="_Toc9326"/>
      <w:bookmarkEnd w:id="82"/>
      <w:bookmarkStart w:id="83" w:name="_Toc19290"/>
      <w:bookmarkEnd w:id="83"/>
      <w:bookmarkStart w:id="84" w:name="_Toc7068"/>
      <w:bookmarkEnd w:id="84"/>
      <w:bookmarkStart w:id="85" w:name="_Toc31872"/>
      <w:bookmarkEnd w:id="85"/>
      <w:bookmarkStart w:id="86" w:name="_Toc19968"/>
      <w:bookmarkEnd w:id="86"/>
      <w:bookmarkStart w:id="87" w:name="_Toc12684"/>
      <w:bookmarkEnd w:id="87"/>
      <w:bookmarkStart w:id="88" w:name="_Toc25639"/>
      <w:bookmarkEnd w:id="88"/>
      <w:bookmarkStart w:id="89" w:name="_Toc8844"/>
      <w:bookmarkStart w:id="90" w:name="_Toc28178"/>
      <w:bookmarkStart w:id="91" w:name="_Toc15842"/>
      <w:bookmarkStart w:id="92" w:name="_Toc15932"/>
      <w:bookmarkStart w:id="93" w:name="_Toc14259"/>
    </w:p>
    <w:p>
      <w:pPr>
        <w:pStyle w:val="3"/>
        <w:spacing w:before="0" w:after="0"/>
        <w:ind w:firstLine="0" w:firstLineChars="0"/>
        <w:jc w:val="center"/>
        <w:rPr>
          <w:rFonts w:hint="default" w:ascii="黑体" w:hAnsi="黑体" w:eastAsia="黑体" w:cs="黑体"/>
          <w:b w:val="0"/>
          <w:bCs w:val="0"/>
          <w:color w:val="000000" w:themeColor="text1"/>
          <w:sz w:val="32"/>
          <w:szCs w:val="32"/>
          <w14:textFill>
            <w14:solidFill>
              <w14:schemeClr w14:val="tx1"/>
            </w14:solidFill>
          </w14:textFill>
        </w:rPr>
      </w:pPr>
      <w:bookmarkStart w:id="94" w:name="_Toc228193694"/>
      <w:bookmarkStart w:id="95" w:name="_Toc32315"/>
      <w:bookmarkStart w:id="96" w:name="_Toc9024"/>
      <w:r>
        <w:rPr>
          <w:rFonts w:ascii="黑体" w:hAnsi="黑体" w:eastAsia="黑体" w:cs="黑体"/>
          <w:b w:val="0"/>
          <w:bCs w:val="0"/>
          <w:color w:val="000000" w:themeColor="text1"/>
          <w:sz w:val="32"/>
          <w:szCs w:val="32"/>
          <w14:textFill>
            <w14:solidFill>
              <w14:schemeClr w14:val="tx1"/>
            </w14:solidFill>
          </w14:textFill>
        </w:rPr>
        <w:t>第</w:t>
      </w:r>
      <w:bookmarkEnd w:id="89"/>
      <w:bookmarkEnd w:id="90"/>
      <w:r>
        <w:rPr>
          <w:rFonts w:ascii="黑体" w:hAnsi="黑体" w:eastAsia="黑体" w:cs="黑体"/>
          <w:b w:val="0"/>
          <w:bCs w:val="0"/>
          <w:color w:val="000000" w:themeColor="text1"/>
          <w:sz w:val="32"/>
          <w:szCs w:val="32"/>
          <w14:textFill>
            <w14:solidFill>
              <w14:schemeClr w14:val="tx1"/>
            </w14:solidFill>
          </w14:textFill>
        </w:rPr>
        <w:t>三章 产业发展思路</w:t>
      </w:r>
      <w:bookmarkEnd w:id="91"/>
      <w:bookmarkEnd w:id="92"/>
      <w:bookmarkEnd w:id="93"/>
      <w:bookmarkEnd w:id="94"/>
      <w:bookmarkEnd w:id="95"/>
      <w:bookmarkEnd w:id="96"/>
    </w:p>
    <w:p>
      <w:pPr>
        <w:pStyle w:val="4"/>
        <w:spacing w:before="0" w:after="0"/>
        <w:ind w:firstLine="640"/>
        <w:rPr>
          <w:rFonts w:hint="default" w:ascii="黑体" w:hAnsi="黑体" w:eastAsia="黑体" w:cs="黑体"/>
          <w:b w:val="0"/>
          <w:bCs w:val="0"/>
          <w:color w:val="000000" w:themeColor="text1"/>
          <w14:textFill>
            <w14:solidFill>
              <w14:schemeClr w14:val="tx1"/>
            </w14:solidFill>
          </w14:textFill>
        </w:rPr>
      </w:pPr>
      <w:bookmarkStart w:id="97" w:name="_Toc28914"/>
      <w:bookmarkStart w:id="98" w:name="_Toc28929"/>
      <w:bookmarkStart w:id="99" w:name="_Toc14631"/>
      <w:bookmarkStart w:id="100" w:name="_Toc18112"/>
      <w:bookmarkStart w:id="101" w:name="_Toc228193695"/>
      <w:bookmarkStart w:id="102" w:name="_Toc9167"/>
      <w:bookmarkStart w:id="103" w:name="_Toc26479"/>
      <w:r>
        <w:rPr>
          <w:rFonts w:ascii="黑体" w:hAnsi="黑体" w:eastAsia="黑体" w:cs="黑体"/>
          <w:b w:val="0"/>
          <w:bCs w:val="0"/>
          <w:color w:val="000000" w:themeColor="text1"/>
          <w14:textFill>
            <w14:solidFill>
              <w14:schemeClr w14:val="tx1"/>
            </w14:solidFill>
          </w14:textFill>
        </w:rPr>
        <w:t>一、</w:t>
      </w:r>
      <w:bookmarkEnd w:id="97"/>
      <w:r>
        <w:rPr>
          <w:rFonts w:ascii="黑体" w:hAnsi="黑体" w:eastAsia="黑体" w:cs="黑体"/>
          <w:b w:val="0"/>
          <w:bCs w:val="0"/>
          <w:color w:val="000000" w:themeColor="text1"/>
          <w14:textFill>
            <w14:solidFill>
              <w14:schemeClr w14:val="tx1"/>
            </w14:solidFill>
          </w14:textFill>
        </w:rPr>
        <w:t>指导思想</w:t>
      </w:r>
      <w:bookmarkEnd w:id="98"/>
      <w:bookmarkEnd w:id="99"/>
      <w:bookmarkEnd w:id="100"/>
      <w:bookmarkEnd w:id="101"/>
      <w:bookmarkEnd w:id="102"/>
      <w:bookmarkEnd w:id="103"/>
    </w:p>
    <w:p>
      <w:pPr>
        <w:ind w:firstLine="640"/>
        <w:rPr>
          <w:rFonts w:ascii="仿宋_GB2312" w:hAnsi="等线" w:cs="仿宋_GB2312"/>
          <w:color w:val="000000" w:themeColor="text1"/>
          <w:szCs w:val="32"/>
          <w:lang w:bidi="ar"/>
          <w14:textFill>
            <w14:solidFill>
              <w14:schemeClr w14:val="tx1"/>
            </w14:solidFill>
          </w14:textFill>
        </w:rPr>
      </w:pPr>
      <w:bookmarkStart w:id="104" w:name="OLE_LINK6"/>
      <w:bookmarkStart w:id="105" w:name="OLE_LINK5"/>
      <w:r>
        <w:rPr>
          <w:rFonts w:ascii="仿宋_GB2312" w:hAnsi="等线" w:cs="仿宋_GB2312"/>
          <w:color w:val="000000" w:themeColor="text1"/>
          <w:szCs w:val="32"/>
          <w:lang w:bidi="ar"/>
          <w14:textFill>
            <w14:solidFill>
              <w14:schemeClr w14:val="tx1"/>
            </w14:solidFill>
          </w14:textFill>
        </w:rPr>
        <w:t>坚持以习近平新时代中国特色社会主义思想为指导，全面贯彻党的二十大和二十届历次全会精神，深入落实习近平总书记对北京和城市副中心重要讲话精神，</w:t>
      </w:r>
      <w:r>
        <w:rPr>
          <w:rFonts w:hint="eastAsia" w:ascii="仿宋_GB2312" w:hAnsi="等线" w:cs="仿宋_GB2312"/>
          <w:color w:val="000000" w:themeColor="text1"/>
          <w:szCs w:val="32"/>
          <w:lang w:bidi="ar"/>
          <w14:textFill>
            <w14:solidFill>
              <w14:schemeClr w14:val="tx1"/>
            </w14:solidFill>
          </w14:textFill>
        </w:rPr>
        <w:t>完整、准确、全面贯彻新发展理念，主动服务和融入新发展格局，围绕</w:t>
      </w:r>
      <w:r>
        <w:rPr>
          <w:rFonts w:hint="eastAsia" w:ascii="Times New Roman" w:hAnsi="Times New Roman" w:cs="仿宋_GB2312"/>
          <w:spacing w:val="-6"/>
          <w:szCs w:val="32"/>
        </w:rPr>
        <w:t>城市</w:t>
      </w:r>
      <w:r>
        <w:rPr>
          <w:rFonts w:hint="eastAsia" w:ascii="Times New Roman" w:hAnsi="Times New Roman" w:cs="仿宋_GB2312"/>
          <w:spacing w:val="-6"/>
          <w:szCs w:val="32"/>
          <w:lang w:val="zh-CN"/>
        </w:rPr>
        <w:t>副中心</w:t>
      </w:r>
      <w:r>
        <w:rPr>
          <w:rFonts w:hint="eastAsia" w:ascii="仿宋_GB2312" w:hAnsi="等线" w:cs="仿宋_GB2312"/>
          <w:color w:val="000000" w:themeColor="text1"/>
          <w:szCs w:val="32"/>
          <w:lang w:bidi="ar"/>
          <w14:textFill>
            <w14:solidFill>
              <w14:schemeClr w14:val="tx1"/>
            </w14:solidFill>
          </w14:textFill>
        </w:rPr>
        <w:t>“3+1”主导功能</w:t>
      </w:r>
      <w:r>
        <w:rPr>
          <w:rFonts w:hint="eastAsia" w:ascii="Times New Roman" w:hAnsi="Times New Roman" w:cs="仿宋_GB2312"/>
          <w:spacing w:val="-6"/>
          <w:szCs w:val="32"/>
          <w:lang w:val="zh-CN"/>
        </w:rPr>
        <w:t>，</w:t>
      </w:r>
      <w:r>
        <w:rPr>
          <w:rFonts w:hint="eastAsia" w:ascii="仿宋_GB2312" w:hAnsi="等线" w:cs="仿宋_GB2312"/>
          <w:color w:val="000000" w:themeColor="text1"/>
          <w:szCs w:val="32"/>
          <w:lang w:bidi="ar"/>
          <w14:textFill>
            <w14:solidFill>
              <w14:schemeClr w14:val="tx1"/>
            </w14:solidFill>
          </w14:textFill>
        </w:rPr>
        <w:t>牢牢把握智能化、绿色化、融合化产业发展方向，以构建现代化产业体系为统领，以</w:t>
      </w:r>
      <w:r>
        <w:rPr>
          <w:rFonts w:hint="eastAsia" w:ascii="Times New Roman" w:hAnsi="Times New Roman" w:cs="仿宋_GB2312"/>
          <w:spacing w:val="-6"/>
          <w:szCs w:val="32"/>
          <w:lang w:val="zh-CN"/>
        </w:rPr>
        <w:t>要素市场化配置综合改革试点为契机，</w:t>
      </w:r>
      <w:r>
        <w:rPr>
          <w:rFonts w:hint="eastAsia" w:ascii="仿宋_GB2312" w:hAnsi="等线" w:cs="仿宋_GB2312"/>
          <w:color w:val="000000" w:themeColor="text1"/>
          <w:szCs w:val="32"/>
          <w:lang w:bidi="ar"/>
          <w14:textFill>
            <w14:solidFill>
              <w14:schemeClr w14:val="tx1"/>
            </w14:solidFill>
          </w14:textFill>
        </w:rPr>
        <w:t>以发展新质生产力为抓手，以做强做优实体经济为根基，巩固提升优势产业，培育壮大新兴产业，前瞻布局未来产业，推动产业跨界融合、结构迭代升级、生态焕新提质、产城人文协调统一，全力打造首都科技创新重要承载区、京津冀产业协同新高地、国际一流和谐宜居之都示范区。</w:t>
      </w:r>
      <w:bookmarkEnd w:id="104"/>
    </w:p>
    <w:bookmarkEnd w:id="105"/>
    <w:p>
      <w:pPr>
        <w:pStyle w:val="4"/>
        <w:spacing w:before="0" w:after="0"/>
        <w:ind w:firstLine="640"/>
        <w:rPr>
          <w:rFonts w:hint="default" w:ascii="黑体" w:hAnsi="黑体" w:eastAsia="黑体" w:cs="黑体"/>
          <w:b w:val="0"/>
          <w:bCs w:val="0"/>
          <w:color w:val="000000" w:themeColor="text1"/>
          <w14:textFill>
            <w14:solidFill>
              <w14:schemeClr w14:val="tx1"/>
            </w14:solidFill>
          </w14:textFill>
        </w:rPr>
      </w:pPr>
      <w:bookmarkStart w:id="106" w:name="_Toc12935"/>
      <w:bookmarkEnd w:id="106"/>
      <w:bookmarkStart w:id="107" w:name="_Toc23412"/>
      <w:bookmarkEnd w:id="107"/>
      <w:bookmarkStart w:id="108" w:name="_Toc10152"/>
      <w:bookmarkEnd w:id="108"/>
      <w:bookmarkStart w:id="109" w:name="_Toc22977"/>
      <w:bookmarkEnd w:id="109"/>
      <w:bookmarkStart w:id="110" w:name="_Toc223085212"/>
      <w:bookmarkEnd w:id="110"/>
      <w:bookmarkStart w:id="111" w:name="_Toc21427"/>
      <w:bookmarkEnd w:id="111"/>
      <w:bookmarkStart w:id="112" w:name="_Toc6101"/>
      <w:bookmarkEnd w:id="112"/>
      <w:bookmarkStart w:id="113" w:name="_Toc20578"/>
      <w:bookmarkEnd w:id="113"/>
      <w:bookmarkStart w:id="114" w:name="_Toc28926"/>
      <w:bookmarkEnd w:id="114"/>
      <w:bookmarkStart w:id="115" w:name="_Toc17993"/>
      <w:bookmarkEnd w:id="115"/>
      <w:bookmarkStart w:id="116" w:name="_Toc9904"/>
      <w:bookmarkStart w:id="117" w:name="_Toc30496"/>
      <w:bookmarkStart w:id="118" w:name="_Toc6373"/>
      <w:bookmarkStart w:id="119" w:name="_Toc970"/>
      <w:bookmarkStart w:id="120" w:name="_Toc17354"/>
      <w:bookmarkStart w:id="121" w:name="_Toc17264"/>
      <w:bookmarkStart w:id="122" w:name="_Toc228193696"/>
      <w:bookmarkStart w:id="123" w:name="_Toc4812"/>
      <w:r>
        <w:rPr>
          <w:rFonts w:ascii="黑体" w:hAnsi="黑体" w:eastAsia="黑体" w:cs="黑体"/>
          <w:b w:val="0"/>
          <w:bCs w:val="0"/>
          <w:color w:val="000000" w:themeColor="text1"/>
          <w14:textFill>
            <w14:solidFill>
              <w14:schemeClr w14:val="tx1"/>
            </w14:solidFill>
          </w14:textFill>
        </w:rPr>
        <w:t>二、</w:t>
      </w:r>
      <w:bookmarkEnd w:id="116"/>
      <w:bookmarkEnd w:id="117"/>
      <w:r>
        <w:rPr>
          <w:rFonts w:ascii="黑体" w:hAnsi="黑体" w:eastAsia="黑体" w:cs="黑体"/>
          <w:b w:val="0"/>
          <w:bCs w:val="0"/>
          <w:color w:val="000000" w:themeColor="text1"/>
          <w14:textFill>
            <w14:solidFill>
              <w14:schemeClr w14:val="tx1"/>
            </w14:solidFill>
          </w14:textFill>
        </w:rPr>
        <w:t>发展原则</w:t>
      </w:r>
      <w:bookmarkEnd w:id="118"/>
      <w:bookmarkEnd w:id="119"/>
      <w:bookmarkEnd w:id="120"/>
      <w:bookmarkEnd w:id="121"/>
      <w:bookmarkEnd w:id="122"/>
      <w:bookmarkEnd w:id="123"/>
    </w:p>
    <w:p>
      <w:pPr>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服务首都，强核提质</w:t>
      </w:r>
      <w:r>
        <w:rPr>
          <w:rFonts w:hint="eastAsia"/>
          <w:color w:val="000000" w:themeColor="text1"/>
          <w14:textFill>
            <w14:solidFill>
              <w14:schemeClr w14:val="tx1"/>
            </w14:solidFill>
          </w14:textFill>
        </w:rPr>
        <w:t>。立足首都“四个中心”功能建设，紧扣“一核两翼”空间格局定位，有序疏解承接非首都功能。科学统筹重点产业布局与空间载体供给，持续提升城市副中心服务首都高质量发展的战略能级与核心功能</w:t>
      </w:r>
      <w:r>
        <w:rPr>
          <w:color w:val="000000" w:themeColor="text1"/>
          <w14:textFill>
            <w14:solidFill>
              <w14:schemeClr w14:val="tx1"/>
            </w14:solidFill>
          </w14:textFill>
        </w:rPr>
        <w:t>。</w:t>
      </w:r>
    </w:p>
    <w:p>
      <w:pPr>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创新驱动，科技赋能</w:t>
      </w:r>
      <w:r>
        <w:rPr>
          <w:rFonts w:hint="eastAsia"/>
          <w:color w:val="000000" w:themeColor="text1"/>
          <w14:textFill>
            <w14:solidFill>
              <w14:schemeClr w14:val="tx1"/>
            </w14:solidFill>
          </w14:textFill>
        </w:rPr>
        <w:t>。把握新一轮科技革命机遇，聚焦人工智能、量子信息、未来健康、新能源、新材料等前沿方向，打造前瞻性产业集群。通过源头创新</w:t>
      </w:r>
      <w:r>
        <w:rPr>
          <w:rFonts w:hint="eastAsia"/>
          <w:color w:val="000000" w:themeColor="text1"/>
          <w:lang w:eastAsia="zh"/>
          <w14:textFill>
            <w14:solidFill>
              <w14:schemeClr w14:val="tx1"/>
            </w14:solidFill>
          </w14:textFill>
        </w:rPr>
        <w:t>、</w:t>
      </w:r>
      <w:r>
        <w:rPr>
          <w:rFonts w:hint="eastAsia"/>
          <w:color w:val="000000" w:themeColor="text1"/>
          <w14:textFill>
            <w14:solidFill>
              <w14:schemeClr w14:val="tx1"/>
            </w14:solidFill>
          </w14:textFill>
        </w:rPr>
        <w:t>技术突破</w:t>
      </w:r>
      <w:r>
        <w:rPr>
          <w:rFonts w:hint="eastAsia"/>
          <w:color w:val="000000" w:themeColor="text1"/>
          <w:lang w:eastAsia="zh"/>
          <w14:textFill>
            <w14:solidFill>
              <w14:schemeClr w14:val="tx1"/>
            </w14:solidFill>
          </w14:textFill>
        </w:rPr>
        <w:t>、</w:t>
      </w:r>
      <w:r>
        <w:rPr>
          <w:rFonts w:hint="eastAsia"/>
          <w:color w:val="000000" w:themeColor="text1"/>
          <w14:textFill>
            <w14:solidFill>
              <w14:schemeClr w14:val="tx1"/>
            </w14:solidFill>
          </w14:textFill>
        </w:rPr>
        <w:t>成果转化</w:t>
      </w:r>
      <w:r>
        <w:rPr>
          <w:rFonts w:hint="eastAsia"/>
          <w:color w:val="000000" w:themeColor="text1"/>
          <w:lang w:eastAsia="zh"/>
          <w14:textFill>
            <w14:solidFill>
              <w14:schemeClr w14:val="tx1"/>
            </w14:solidFill>
          </w14:textFill>
        </w:rPr>
        <w:t>、</w:t>
      </w:r>
      <w:r>
        <w:rPr>
          <w:rFonts w:hint="eastAsia"/>
          <w:color w:val="000000" w:themeColor="text1"/>
          <w14:textFill>
            <w14:solidFill>
              <w14:schemeClr w14:val="tx1"/>
            </w14:solidFill>
          </w14:textFill>
        </w:rPr>
        <w:t>产业落地的全链条布局，推动新质生产力快速成长，塑造面向未来的核心竞争优势。</w:t>
      </w:r>
    </w:p>
    <w:p>
      <w:pPr>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生态优先，绿色引领。</w:t>
      </w:r>
      <w:r>
        <w:rPr>
          <w:rFonts w:hint="eastAsia"/>
          <w:color w:val="000000" w:themeColor="text1"/>
          <w14:textFill>
            <w14:solidFill>
              <w14:schemeClr w14:val="tx1"/>
            </w14:solidFill>
          </w14:textFill>
        </w:rPr>
        <w:t>统筹生态保护与产业布局，严控高耗能、高排放项目，全面推广绿色制造、节能技术、循环经济与绿色金融。打造绿色园区、绿色供应链与绿色标准体系，推动城市副中心在产业结构调整和低碳转型中走在全市乃至全国前列。</w:t>
      </w:r>
    </w:p>
    <w:p>
      <w:pPr>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产城融合，宜居宜业。</w:t>
      </w:r>
      <w:r>
        <w:rPr>
          <w:rFonts w:hint="eastAsia"/>
          <w:color w:val="000000" w:themeColor="text1"/>
          <w14:textFill>
            <w14:solidFill>
              <w14:schemeClr w14:val="tx1"/>
            </w14:solidFill>
          </w14:textFill>
        </w:rPr>
        <w:t>推动产业功能与城市空间、公共服务与人才结构相互促进，完善教育、医疗、交通、住房等综合配套，增强城市副中心对高端要素和创新人才的吸引力。建设高品质产业社区，实现“产业聚人、人才兴产、城产共荣”的良性循环。</w:t>
      </w:r>
    </w:p>
    <w:p>
      <w:pPr>
        <w:pStyle w:val="3"/>
        <w:spacing w:before="0" w:after="0"/>
        <w:ind w:firstLine="0" w:firstLineChars="0"/>
        <w:jc w:val="center"/>
        <w:rPr>
          <w:rFonts w:hint="default" w:ascii="黑体" w:hAnsi="黑体" w:eastAsia="黑体" w:cs="黑体"/>
          <w:b w:val="0"/>
          <w:bCs w:val="0"/>
          <w:color w:val="000000" w:themeColor="text1"/>
          <w14:textFill>
            <w14:solidFill>
              <w14:schemeClr w14:val="tx1"/>
            </w14:solidFill>
          </w14:textFill>
        </w:rPr>
      </w:pPr>
      <w:bookmarkStart w:id="124" w:name="_Toc9156"/>
      <w:bookmarkEnd w:id="124"/>
      <w:bookmarkStart w:id="125" w:name="_Toc22033"/>
      <w:bookmarkEnd w:id="125"/>
      <w:bookmarkStart w:id="126" w:name="_Toc4098"/>
      <w:bookmarkEnd w:id="126"/>
      <w:bookmarkStart w:id="127" w:name="_Toc17565"/>
      <w:bookmarkEnd w:id="127"/>
      <w:bookmarkStart w:id="128" w:name="_Toc223085213"/>
      <w:bookmarkEnd w:id="128"/>
      <w:bookmarkStart w:id="129" w:name="_Toc32700"/>
      <w:bookmarkEnd w:id="129"/>
      <w:bookmarkStart w:id="130" w:name="_Toc21296"/>
      <w:bookmarkEnd w:id="130"/>
      <w:bookmarkStart w:id="131" w:name="_Toc2491"/>
      <w:bookmarkEnd w:id="131"/>
      <w:bookmarkStart w:id="132" w:name="_Toc8262"/>
      <w:bookmarkEnd w:id="132"/>
      <w:bookmarkStart w:id="133" w:name="_Toc173"/>
      <w:bookmarkEnd w:id="133"/>
      <w:bookmarkStart w:id="134" w:name="_Toc12860"/>
      <w:bookmarkStart w:id="135" w:name="_Toc27534"/>
      <w:bookmarkStart w:id="136" w:name="_Toc30341"/>
      <w:bookmarkStart w:id="137" w:name="_Toc24391"/>
      <w:bookmarkStart w:id="138" w:name="_Toc15773"/>
      <w:bookmarkStart w:id="139" w:name="_Toc19468"/>
      <w:bookmarkStart w:id="140" w:name="_Toc228193697"/>
      <w:bookmarkStart w:id="141" w:name="_Toc7337"/>
      <w:r>
        <w:rPr>
          <w:rFonts w:ascii="黑体" w:hAnsi="黑体" w:eastAsia="黑体" w:cs="黑体"/>
          <w:b w:val="0"/>
          <w:bCs w:val="0"/>
          <w:color w:val="000000" w:themeColor="text1"/>
          <w:sz w:val="32"/>
          <w:szCs w:val="32"/>
          <w14:textFill>
            <w14:solidFill>
              <w14:schemeClr w14:val="tx1"/>
            </w14:solidFill>
          </w14:textFill>
        </w:rPr>
        <w:t>第四章</w:t>
      </w:r>
      <w:bookmarkEnd w:id="134"/>
      <w:bookmarkEnd w:id="135"/>
      <w:r>
        <w:rPr>
          <w:rFonts w:hint="default" w:ascii="黑体" w:hAnsi="黑体" w:eastAsia="黑体" w:cs="黑体"/>
          <w:b w:val="0"/>
          <w:bCs w:val="0"/>
          <w:color w:val="000000" w:themeColor="text1"/>
          <w:sz w:val="32"/>
          <w:szCs w:val="32"/>
          <w14:textFill>
            <w14:solidFill>
              <w14:schemeClr w14:val="tx1"/>
            </w14:solidFill>
          </w14:textFill>
        </w:rPr>
        <w:t xml:space="preserve"> </w:t>
      </w:r>
      <w:bookmarkEnd w:id="136"/>
      <w:bookmarkEnd w:id="137"/>
      <w:bookmarkEnd w:id="138"/>
      <w:r>
        <w:rPr>
          <w:rFonts w:ascii="黑体" w:hAnsi="黑体" w:eastAsia="黑体" w:cs="黑体"/>
          <w:b w:val="0"/>
          <w:bCs w:val="0"/>
          <w:color w:val="000000" w:themeColor="text1"/>
          <w:sz w:val="32"/>
          <w:szCs w:val="32"/>
          <w14:textFill>
            <w14:solidFill>
              <w14:schemeClr w14:val="tx1"/>
            </w14:solidFill>
          </w14:textFill>
        </w:rPr>
        <w:t>产业发展目标</w:t>
      </w:r>
      <w:bookmarkEnd w:id="139"/>
      <w:bookmarkEnd w:id="140"/>
      <w:bookmarkEnd w:id="141"/>
    </w:p>
    <w:p>
      <w:pPr>
        <w:ind w:firstLine="640"/>
        <w:rPr>
          <w:rFonts w:ascii="仿宋_GB2312" w:hAnsi="等线" w:cs="仿宋_GB2312"/>
          <w:color w:val="000000" w:themeColor="text1"/>
          <w:szCs w:val="32"/>
          <w:lang w:bidi="ar"/>
          <w14:textFill>
            <w14:solidFill>
              <w14:schemeClr w14:val="tx1"/>
            </w14:solidFill>
          </w14:textFill>
        </w:rPr>
      </w:pPr>
      <w:r>
        <w:rPr>
          <w:rFonts w:hint="eastAsia" w:ascii="仿宋_GB2312" w:hAnsi="等线" w:cs="仿宋_GB2312"/>
          <w:color w:val="000000" w:themeColor="text1"/>
          <w:szCs w:val="32"/>
          <w:lang w:bidi="ar"/>
          <w14:textFill>
            <w14:solidFill>
              <w14:schemeClr w14:val="tx1"/>
            </w14:solidFill>
          </w14:textFill>
        </w:rPr>
        <w:t>到2030年，构建布局合理、结构优化、集群发展、融合创新的现代化产业体系，实现重点产业能级显著跃升、战略性新兴产业集聚成势、未来产业突破发展，成为北京市数字产业、绿色产业融合发展的重要承载区和高质量发展的重要增长极。</w:t>
      </w:r>
    </w:p>
    <w:p>
      <w:pPr>
        <w:ind w:firstLine="643"/>
        <w:rPr>
          <w:rStyle w:val="32"/>
          <w:rFonts w:ascii="仿宋_GB2312" w:cs="仿宋_GB2312"/>
          <w:color w:val="000000" w:themeColor="text1"/>
          <w:szCs w:val="32"/>
          <w:shd w:val="clear" w:color="auto" w:fill="FFFFFF"/>
          <w:lang w:bidi="ar"/>
          <w14:textFill>
            <w14:solidFill>
              <w14:schemeClr w14:val="tx1"/>
            </w14:solidFill>
          </w14:textFill>
        </w:rPr>
      </w:pPr>
      <w:r>
        <w:rPr>
          <w:rStyle w:val="32"/>
          <w:rFonts w:hint="eastAsia" w:ascii="仿宋_GB2312" w:cs="仿宋_GB2312"/>
          <w:b/>
          <w:bCs/>
          <w:color w:val="000000" w:themeColor="text1"/>
          <w:szCs w:val="32"/>
          <w:shd w:val="clear" w:color="auto" w:fill="FFFFFF"/>
          <w:lang w:bidi="ar"/>
          <w14:textFill>
            <w14:solidFill>
              <w14:schemeClr w14:val="tx1"/>
            </w14:solidFill>
          </w14:textFill>
        </w:rPr>
        <w:t>产业能级稳步攀升。</w:t>
      </w:r>
      <w:r>
        <w:rPr>
          <w:rStyle w:val="32"/>
          <w:rFonts w:hint="eastAsia" w:ascii="仿宋_GB2312" w:cs="仿宋_GB2312"/>
          <w:color w:val="000000" w:themeColor="text1"/>
          <w:szCs w:val="32"/>
          <w:shd w:val="clear" w:color="auto" w:fill="FFFFFF"/>
          <w:lang w:bidi="ar"/>
          <w14:textFill>
            <w14:solidFill>
              <w14:schemeClr w14:val="tx1"/>
            </w14:solidFill>
          </w14:textFill>
        </w:rPr>
        <w:t>加快形成以数字经济为引领、先进制造为支撑、现代金融为引擎、商务服务为配套、文化旅游为特色、现代农业为亮点、未来产业为新增长极的产业发展新格局。</w:t>
      </w:r>
    </w:p>
    <w:p>
      <w:pPr>
        <w:ind w:firstLine="643"/>
        <w:rPr>
          <w:rFonts w:ascii="仿宋_GB2312" w:hAnsi="等线" w:cs="仿宋_GB2312"/>
          <w:color w:val="000000" w:themeColor="text1"/>
          <w:szCs w:val="32"/>
          <w:lang w:bidi="ar"/>
          <w14:textFill>
            <w14:solidFill>
              <w14:schemeClr w14:val="tx1"/>
            </w14:solidFill>
          </w14:textFill>
        </w:rPr>
      </w:pPr>
      <w:r>
        <w:rPr>
          <w:rFonts w:hint="eastAsia" w:ascii="仿宋_GB2312" w:hAnsi="等线" w:cs="仿宋_GB2312"/>
          <w:b/>
          <w:bCs/>
          <w:color w:val="000000" w:themeColor="text1"/>
          <w:szCs w:val="32"/>
          <w:lang w:bidi="ar"/>
          <w14:textFill>
            <w14:solidFill>
              <w14:schemeClr w14:val="tx1"/>
            </w14:solidFill>
          </w14:textFill>
        </w:rPr>
        <w:t>创新势能稳步攀升。</w:t>
      </w:r>
      <w:r>
        <w:rPr>
          <w:rFonts w:hint="eastAsia" w:ascii="仿宋_GB2312" w:hAnsi="等线" w:cs="仿宋_GB2312"/>
          <w:color w:val="000000" w:themeColor="text1"/>
          <w:szCs w:val="32"/>
          <w:lang w:bidi="ar"/>
          <w14:textFill>
            <w14:solidFill>
              <w14:schemeClr w14:val="tx1"/>
            </w14:solidFill>
          </w14:textFill>
        </w:rPr>
        <w:t>建设一批高能级创新平台和试验示范项目，全社会研发经费投入强度持续提升，构建大中小企业梯次衔接、融通发展的创新型企业矩阵。</w:t>
      </w:r>
    </w:p>
    <w:p>
      <w:pPr>
        <w:ind w:firstLine="643"/>
        <w:rPr>
          <w:rFonts w:ascii="仿宋_GB2312" w:cs="仿宋_GB2312"/>
          <w:color w:val="000000" w:themeColor="text1"/>
          <w:szCs w:val="32"/>
          <w14:textFill>
            <w14:solidFill>
              <w14:schemeClr w14:val="tx1"/>
            </w14:solidFill>
          </w14:textFill>
        </w:rPr>
      </w:pPr>
      <w:r>
        <w:rPr>
          <w:rFonts w:hint="eastAsia" w:ascii="仿宋_GB2312" w:hAnsi="等线" w:cs="仿宋_GB2312"/>
          <w:b/>
          <w:bCs/>
          <w:color w:val="000000" w:themeColor="text1"/>
          <w:szCs w:val="32"/>
          <w:lang w:bidi="ar"/>
          <w14:textFill>
            <w14:solidFill>
              <w14:schemeClr w14:val="tx1"/>
            </w14:solidFill>
          </w14:textFill>
        </w:rPr>
        <w:t>空间格局系统优化。</w:t>
      </w:r>
      <w:r>
        <w:rPr>
          <w:rFonts w:hint="eastAsia" w:ascii="仿宋_GB2312" w:hAnsi="等线" w:cs="仿宋_GB2312"/>
          <w:color w:val="000000" w:themeColor="text1"/>
          <w:szCs w:val="32"/>
          <w:lang w:bidi="ar"/>
          <w14:textFill>
            <w14:solidFill>
              <w14:schemeClr w14:val="tx1"/>
            </w14:solidFill>
          </w14:textFill>
        </w:rPr>
        <w:t>围绕“一核一带</w:t>
      </w:r>
      <w:r>
        <w:rPr>
          <w:rFonts w:hint="eastAsia" w:ascii="仿宋_GB2312" w:hAnsi="等线" w:cs="仿宋_GB2312"/>
          <w:color w:val="000000" w:themeColor="text1"/>
          <w:szCs w:val="32"/>
          <w:lang w:eastAsia="zh" w:bidi="ar"/>
          <w14:textFill>
            <w14:solidFill>
              <w14:schemeClr w14:val="tx1"/>
            </w14:solidFill>
          </w14:textFill>
        </w:rPr>
        <w:t>、</w:t>
      </w:r>
      <w:r>
        <w:rPr>
          <w:rFonts w:hint="eastAsia" w:ascii="仿宋_GB2312" w:hAnsi="等线" w:cs="仿宋_GB2312"/>
          <w:color w:val="000000" w:themeColor="text1"/>
          <w:szCs w:val="32"/>
          <w:lang w:bidi="ar"/>
          <w14:textFill>
            <w14:solidFill>
              <w14:schemeClr w14:val="tx1"/>
            </w14:solidFill>
          </w14:textFill>
        </w:rPr>
        <w:t>一轴一廊</w:t>
      </w:r>
      <w:r>
        <w:rPr>
          <w:rFonts w:hint="eastAsia" w:ascii="仿宋_GB2312" w:hAnsi="等线" w:cs="仿宋_GB2312"/>
          <w:color w:val="000000" w:themeColor="text1"/>
          <w:szCs w:val="32"/>
          <w:lang w:eastAsia="zh" w:bidi="ar"/>
          <w14:textFill>
            <w14:solidFill>
              <w14:schemeClr w14:val="tx1"/>
            </w14:solidFill>
          </w14:textFill>
        </w:rPr>
        <w:t>、</w:t>
      </w:r>
      <w:r>
        <w:rPr>
          <w:rFonts w:hint="eastAsia" w:ascii="仿宋_GB2312" w:hAnsi="等线" w:cs="仿宋_GB2312"/>
          <w:color w:val="000000" w:themeColor="text1"/>
          <w:szCs w:val="32"/>
          <w:lang w:bidi="ar"/>
          <w14:textFill>
            <w14:solidFill>
              <w14:schemeClr w14:val="tx1"/>
            </w14:solidFill>
          </w14:textFill>
        </w:rPr>
        <w:t>两区三镇</w:t>
      </w:r>
      <w:r>
        <w:rPr>
          <w:rFonts w:hint="eastAsia" w:ascii="仿宋_GB2312" w:hAnsi="等线" w:cs="仿宋_GB2312"/>
          <w:color w:val="000000" w:themeColor="text1"/>
          <w:szCs w:val="32"/>
          <w:lang w:eastAsia="zh" w:bidi="ar"/>
          <w14:textFill>
            <w14:solidFill>
              <w14:schemeClr w14:val="tx1"/>
            </w14:solidFill>
          </w14:textFill>
        </w:rPr>
        <w:t>、</w:t>
      </w:r>
      <w:r>
        <w:rPr>
          <w:rFonts w:hint="eastAsia" w:ascii="仿宋_GB2312" w:hAnsi="等线" w:cs="仿宋_GB2312"/>
          <w:color w:val="000000" w:themeColor="text1"/>
          <w:szCs w:val="32"/>
          <w:lang w:bidi="ar"/>
          <w14:textFill>
            <w14:solidFill>
              <w14:schemeClr w14:val="tx1"/>
            </w14:solidFill>
          </w14:textFill>
        </w:rPr>
        <w:t>多园联动”的产业空间布局，建成一批产业定位清晰、配套设施完善、创新要素集聚的高能级产业功能区，实现产业空间集聚发展、错位发展、协同发展，形成与城市功能深度融合、与区域协同高效衔接的空间发展新格局。​</w:t>
      </w:r>
    </w:p>
    <w:p>
      <w:pPr>
        <w:ind w:firstLine="643"/>
        <w:rPr>
          <w:rFonts w:ascii="仿宋_GB2312" w:hAnsi="等线" w:cs="仿宋_GB2312"/>
          <w:color w:val="000000" w:themeColor="text1"/>
          <w:szCs w:val="32"/>
          <w:lang w:bidi="ar"/>
          <w14:textFill>
            <w14:solidFill>
              <w14:schemeClr w14:val="tx1"/>
            </w14:solidFill>
          </w14:textFill>
        </w:rPr>
      </w:pPr>
      <w:r>
        <w:rPr>
          <w:rFonts w:hint="eastAsia" w:ascii="仿宋_GB2312" w:hAnsi="等线" w:cs="仿宋_GB2312"/>
          <w:b/>
          <w:bCs/>
          <w:color w:val="000000" w:themeColor="text1"/>
          <w:szCs w:val="32"/>
          <w:lang w:bidi="ar"/>
          <w14:textFill>
            <w14:solidFill>
              <w14:schemeClr w14:val="tx1"/>
            </w14:solidFill>
          </w14:textFill>
        </w:rPr>
        <w:t>产业生态系统优化。</w:t>
      </w:r>
      <w:r>
        <w:rPr>
          <w:rFonts w:hint="eastAsia" w:ascii="仿宋_GB2312" w:hAnsi="等线" w:cs="仿宋_GB2312"/>
          <w:color w:val="000000" w:themeColor="text1"/>
          <w:szCs w:val="32"/>
          <w:lang w:bidi="ar"/>
          <w14:textFill>
            <w14:solidFill>
              <w14:schemeClr w14:val="tx1"/>
            </w14:solidFill>
          </w14:textFill>
        </w:rPr>
        <w:t>打造服务企业全周期成长的“护航港”，构建覆盖企业全生命周期的梯度服务体系；构建京津冀青年人才创新创业的“首选地”，形成“人才－平台－产业”协同发展生态；塑造宜居宜业、活力迸发的“新标杆”，营造适配青年群体成长的高品质城市生活与消费空间。</w:t>
      </w:r>
    </w:p>
    <w:p>
      <w:pPr>
        <w:pStyle w:val="3"/>
        <w:spacing w:before="0" w:after="0"/>
        <w:ind w:firstLine="0" w:firstLineChars="0"/>
        <w:jc w:val="center"/>
        <w:rPr>
          <w:rFonts w:hint="default" w:ascii="黑体" w:hAnsi="黑体" w:eastAsia="黑体" w:cs="黑体"/>
          <w:b w:val="0"/>
          <w:bCs w:val="0"/>
          <w:color w:val="000000" w:themeColor="text1"/>
          <w:sz w:val="32"/>
          <w:szCs w:val="32"/>
          <w14:textFill>
            <w14:solidFill>
              <w14:schemeClr w14:val="tx1"/>
            </w14:solidFill>
          </w14:textFill>
        </w:rPr>
      </w:pPr>
      <w:bookmarkStart w:id="142" w:name="_Toc22563"/>
      <w:bookmarkStart w:id="143" w:name="_Toc2412"/>
      <w:bookmarkStart w:id="144" w:name="_Toc17240"/>
      <w:bookmarkStart w:id="145" w:name="_Toc31602"/>
      <w:bookmarkStart w:id="146" w:name="_Toc20096"/>
      <w:bookmarkStart w:id="147" w:name="_Toc228193700"/>
      <w:bookmarkStart w:id="148" w:name="_Toc8005"/>
      <w:bookmarkStart w:id="149" w:name="_Toc16420"/>
      <w:r>
        <w:rPr>
          <w:rFonts w:ascii="黑体" w:hAnsi="黑体" w:eastAsia="黑体" w:cs="黑体"/>
          <w:b w:val="0"/>
          <w:bCs w:val="0"/>
          <w:color w:val="000000" w:themeColor="text1"/>
          <w:sz w:val="32"/>
          <w:szCs w:val="32"/>
          <w14:textFill>
            <w14:solidFill>
              <w14:schemeClr w14:val="tx1"/>
            </w14:solidFill>
          </w14:textFill>
        </w:rPr>
        <w:t>第五章</w:t>
      </w:r>
      <w:bookmarkEnd w:id="142"/>
      <w:bookmarkEnd w:id="143"/>
      <w:r>
        <w:rPr>
          <w:rFonts w:ascii="黑体" w:hAnsi="黑体" w:eastAsia="黑体" w:cs="黑体"/>
          <w:b w:val="0"/>
          <w:bCs w:val="0"/>
          <w:color w:val="000000" w:themeColor="text1"/>
          <w:sz w:val="32"/>
          <w:szCs w:val="32"/>
          <w14:textFill>
            <w14:solidFill>
              <w14:schemeClr w14:val="tx1"/>
            </w14:solidFill>
          </w14:textFill>
        </w:rPr>
        <w:t xml:space="preserve"> 产业空间布局</w:t>
      </w:r>
      <w:bookmarkEnd w:id="144"/>
      <w:bookmarkEnd w:id="145"/>
      <w:bookmarkEnd w:id="146"/>
      <w:bookmarkEnd w:id="147"/>
      <w:bookmarkEnd w:id="148"/>
      <w:bookmarkEnd w:id="149"/>
    </w:p>
    <w:p>
      <w:pPr>
        <w:pStyle w:val="4"/>
        <w:ind w:firstLine="640"/>
        <w:rPr>
          <w:rFonts w:hint="default" w:ascii="黑体" w:hAnsi="黑体" w:eastAsia="黑体" w:cs="黑体"/>
          <w:b w:val="0"/>
          <w:bCs w:val="0"/>
          <w:color w:val="000000" w:themeColor="text1"/>
          <w14:textFill>
            <w14:solidFill>
              <w14:schemeClr w14:val="tx1"/>
            </w14:solidFill>
          </w14:textFill>
        </w:rPr>
      </w:pPr>
      <w:bookmarkStart w:id="150" w:name="_Toc30552"/>
      <w:bookmarkStart w:id="151" w:name="_Toc9131"/>
      <w:r>
        <w:rPr>
          <w:rFonts w:ascii="黑体" w:hAnsi="黑体" w:eastAsia="黑体" w:cs="黑体"/>
          <w:b w:val="0"/>
          <w:bCs w:val="0"/>
          <w:color w:val="000000" w:themeColor="text1"/>
          <w14:textFill>
            <w14:solidFill>
              <w14:schemeClr w14:val="tx1"/>
            </w14:solidFill>
          </w14:textFill>
        </w:rPr>
        <w:t>一、构建“一核一带</w:t>
      </w:r>
      <w:r>
        <w:rPr>
          <w:rFonts w:ascii="黑体" w:hAnsi="黑体" w:eastAsia="黑体" w:cs="黑体"/>
          <w:b w:val="0"/>
          <w:bCs w:val="0"/>
          <w:color w:val="000000" w:themeColor="text1"/>
          <w:lang w:eastAsia="zh"/>
          <w14:textFill>
            <w14:solidFill>
              <w14:schemeClr w14:val="tx1"/>
            </w14:solidFill>
          </w14:textFill>
        </w:rPr>
        <w:t>、</w:t>
      </w:r>
      <w:r>
        <w:rPr>
          <w:rFonts w:ascii="黑体" w:hAnsi="黑体" w:eastAsia="黑体" w:cs="黑体"/>
          <w:b w:val="0"/>
          <w:bCs w:val="0"/>
          <w:color w:val="000000" w:themeColor="text1"/>
          <w14:textFill>
            <w14:solidFill>
              <w14:schemeClr w14:val="tx1"/>
            </w14:solidFill>
          </w14:textFill>
        </w:rPr>
        <w:t>一轴一廊</w:t>
      </w:r>
      <w:r>
        <w:rPr>
          <w:rFonts w:ascii="黑体" w:hAnsi="黑体" w:eastAsia="黑体" w:cs="黑体"/>
          <w:b w:val="0"/>
          <w:bCs w:val="0"/>
          <w:color w:val="000000" w:themeColor="text1"/>
          <w:lang w:eastAsia="zh"/>
          <w14:textFill>
            <w14:solidFill>
              <w14:schemeClr w14:val="tx1"/>
            </w14:solidFill>
          </w14:textFill>
        </w:rPr>
        <w:t>、</w:t>
      </w:r>
      <w:r>
        <w:rPr>
          <w:rFonts w:ascii="黑体" w:hAnsi="黑体" w:eastAsia="黑体" w:cs="黑体"/>
          <w:b w:val="0"/>
          <w:bCs w:val="0"/>
          <w:color w:val="000000" w:themeColor="text1"/>
          <w14:textFill>
            <w14:solidFill>
              <w14:schemeClr w14:val="tx1"/>
            </w14:solidFill>
          </w14:textFill>
        </w:rPr>
        <w:t>两区三镇</w:t>
      </w:r>
      <w:r>
        <w:rPr>
          <w:rFonts w:ascii="黑体" w:hAnsi="黑体" w:eastAsia="黑体" w:cs="黑体"/>
          <w:b w:val="0"/>
          <w:bCs w:val="0"/>
          <w:color w:val="000000" w:themeColor="text1"/>
          <w:lang w:eastAsia="zh"/>
          <w14:textFill>
            <w14:solidFill>
              <w14:schemeClr w14:val="tx1"/>
            </w14:solidFill>
          </w14:textFill>
        </w:rPr>
        <w:t>、</w:t>
      </w:r>
      <w:r>
        <w:rPr>
          <w:rFonts w:ascii="黑体" w:hAnsi="黑体" w:eastAsia="黑体" w:cs="黑体"/>
          <w:b w:val="0"/>
          <w:bCs w:val="0"/>
          <w:color w:val="000000" w:themeColor="text1"/>
          <w14:textFill>
            <w14:solidFill>
              <w14:schemeClr w14:val="tx1"/>
            </w14:solidFill>
          </w14:textFill>
        </w:rPr>
        <w:t>多园联动”的产业布局</w:t>
      </w:r>
      <w:bookmarkEnd w:id="150"/>
      <w:bookmarkEnd w:id="151"/>
    </w:p>
    <w:p>
      <w:pPr>
        <w:ind w:firstLine="640"/>
        <w:outlineLvl w:val="3"/>
        <w:rPr>
          <w:rFonts w:ascii="楷体_GB2312" w:hAnsi="楷体_GB2312" w:eastAsia="楷体_GB2312" w:cs="楷体_GB2312"/>
          <w:color w:val="000000" w:themeColor="text1"/>
          <w:szCs w:val="32"/>
          <w:lang w:bidi="ar"/>
          <w14:textFill>
            <w14:solidFill>
              <w14:schemeClr w14:val="tx1"/>
            </w14:solidFill>
          </w14:textFill>
        </w:rPr>
      </w:pPr>
      <w:r>
        <w:rPr>
          <w:rFonts w:hint="eastAsia" w:ascii="楷体_GB2312" w:hAnsi="楷体_GB2312" w:eastAsia="楷体_GB2312" w:cs="楷体_GB2312"/>
          <w:color w:val="000000" w:themeColor="text1"/>
          <w:szCs w:val="32"/>
          <w:lang w:bidi="ar"/>
          <w14:textFill>
            <w14:solidFill>
              <w14:schemeClr w14:val="tx1"/>
            </w14:solidFill>
          </w14:textFill>
        </w:rPr>
        <w:t>（一）一核</w:t>
      </w:r>
    </w:p>
    <w:p>
      <w:pPr>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“一核”，即运河商务区。</w:t>
      </w:r>
      <w:r>
        <w:rPr>
          <w:rFonts w:hint="eastAsia" w:ascii="仿宋_GB2312" w:hAnsi="仿宋_GB2312" w:cs="仿宋_GB2312"/>
          <w:color w:val="000000" w:themeColor="text1"/>
          <w:szCs w:val="32"/>
          <w:lang w:bidi="ar"/>
          <w14:textFill>
            <w14:solidFill>
              <w14:schemeClr w14:val="tx1"/>
            </w14:solidFill>
          </w14:textFill>
        </w:rPr>
        <w:t>运河商务区总规划面积7.82平方公里，总建筑面积1379万平方米，是城市副中心高端服务业集聚发展的核心承载区，由</w:t>
      </w:r>
      <w:r>
        <w:rPr>
          <w:rFonts w:hint="eastAsia" w:ascii="仿宋_GB2312" w:hAnsi="仿宋_GB2312" w:cs="仿宋_GB2312"/>
          <w:b/>
          <w:bCs/>
          <w:color w:val="000000" w:themeColor="text1"/>
          <w:szCs w:val="32"/>
          <w:lang w:bidi="ar"/>
          <w14:textFill>
            <w14:solidFill>
              <w14:schemeClr w14:val="tx1"/>
            </w14:solidFill>
          </w14:textFill>
        </w:rPr>
        <w:t>北部新城金融服务园区、中部核心启动区和南部城市副中心综合交通枢纽地区</w:t>
      </w:r>
      <w:r>
        <w:rPr>
          <w:rFonts w:hint="eastAsia" w:ascii="仿宋_GB2312" w:hAnsi="仿宋_GB2312" w:cs="仿宋_GB2312"/>
          <w:color w:val="000000" w:themeColor="text1"/>
          <w:szCs w:val="32"/>
          <w:lang w:bidi="ar"/>
          <w14:textFill>
            <w14:solidFill>
              <w14:schemeClr w14:val="tx1"/>
            </w14:solidFill>
          </w14:textFill>
        </w:rPr>
        <w:t>构成。重点发展总部经济、财富管理、绿色金融、科技金融、高端商务服务、枢纽经济等业态，强化金融服务与实体经济协同联动，构建多层次、复合型现代服务业体系，打造集中展现城市副中心形象的首要窗口。</w:t>
      </w:r>
    </w:p>
    <w:p>
      <w:pPr>
        <w:ind w:firstLine="640"/>
        <w:outlineLvl w:val="3"/>
        <w:rPr>
          <w:rFonts w:ascii="楷体_GB2312" w:hAnsi="楷体_GB2312" w:eastAsia="楷体_GB2312" w:cs="楷体_GB2312"/>
          <w:color w:val="000000" w:themeColor="text1"/>
          <w:szCs w:val="32"/>
          <w:lang w:bidi="ar"/>
          <w14:textFill>
            <w14:solidFill>
              <w14:schemeClr w14:val="tx1"/>
            </w14:solidFill>
          </w14:textFill>
        </w:rPr>
      </w:pPr>
      <w:r>
        <w:rPr>
          <w:rFonts w:hint="eastAsia" w:ascii="楷体_GB2312" w:hAnsi="楷体_GB2312" w:eastAsia="楷体_GB2312" w:cs="楷体_GB2312"/>
          <w:color w:val="000000" w:themeColor="text1"/>
          <w:szCs w:val="32"/>
          <w:lang w:bidi="ar"/>
          <w14:textFill>
            <w14:solidFill>
              <w14:schemeClr w14:val="tx1"/>
            </w14:solidFill>
          </w14:textFill>
        </w:rPr>
        <w:t>（二）一带</w:t>
      </w:r>
    </w:p>
    <w:p>
      <w:pPr>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“一带”，即大运河文旅产业带</w:t>
      </w:r>
      <w:r>
        <w:rPr>
          <w:rFonts w:hint="eastAsia" w:ascii="仿宋_GB2312" w:hAnsi="仿宋_GB2312" w:cs="仿宋_GB2312"/>
          <w:color w:val="000000" w:themeColor="text1"/>
          <w:szCs w:val="32"/>
          <w:lang w:bidi="ar"/>
          <w14:textFill>
            <w14:solidFill>
              <w14:schemeClr w14:val="tx1"/>
            </w14:solidFill>
          </w14:textFill>
        </w:rPr>
        <w:t>。规划范围为大运河沿岸空间管控区，是城市副中心文化旅游和滨水消费功能的重要承载空间，沿大运河重点培育运河商务区、城市副中心综合交通枢纽地区、城市绿心、张家湾设计小镇等重点功能区。</w:t>
      </w:r>
    </w:p>
    <w:p>
      <w:pPr>
        <w:ind w:firstLine="640"/>
        <w:outlineLvl w:val="3"/>
        <w:rPr>
          <w:rFonts w:ascii="楷体_GB2312" w:hAnsi="楷体_GB2312" w:eastAsia="楷体_GB2312" w:cs="楷体_GB2312"/>
          <w:color w:val="000000" w:themeColor="text1"/>
          <w:szCs w:val="32"/>
          <w:lang w:bidi="ar"/>
          <w14:textFill>
            <w14:solidFill>
              <w14:schemeClr w14:val="tx1"/>
            </w14:solidFill>
          </w14:textFill>
        </w:rPr>
      </w:pPr>
      <w:r>
        <w:rPr>
          <w:rFonts w:hint="eastAsia" w:ascii="楷体_GB2312" w:hAnsi="楷体_GB2312" w:eastAsia="楷体_GB2312" w:cs="楷体_GB2312"/>
          <w:color w:val="000000" w:themeColor="text1"/>
          <w:szCs w:val="32"/>
          <w:lang w:bidi="ar"/>
          <w14:textFill>
            <w14:solidFill>
              <w14:schemeClr w14:val="tx1"/>
            </w14:solidFill>
          </w14:textFill>
        </w:rPr>
        <w:t>（三）一轴</w:t>
      </w:r>
    </w:p>
    <w:p>
      <w:pPr>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“一轴”，即东六环创新发展轴</w:t>
      </w:r>
      <w:r>
        <w:rPr>
          <w:rFonts w:hint="eastAsia" w:ascii="仿宋_GB2312" w:hAnsi="仿宋_GB2312" w:cs="仿宋_GB2312"/>
          <w:color w:val="000000" w:themeColor="text1"/>
          <w:szCs w:val="32"/>
          <w:lang w:bidi="ar"/>
          <w14:textFill>
            <w14:solidFill>
              <w14:schemeClr w14:val="tx1"/>
            </w14:solidFill>
          </w14:textFill>
        </w:rPr>
        <w:t>。东六环创新发展轴是城市副中心功能提升、创新集聚、空间缝合的核心轴线，规划范围为东六环路沿线空间管控区。重点承载科技创新、文化创意、高端服务、新型消费等核心功能。</w:t>
      </w:r>
    </w:p>
    <w:p>
      <w:pPr>
        <w:ind w:firstLine="640"/>
        <w:outlineLvl w:val="3"/>
        <w:rPr>
          <w:rFonts w:ascii="楷体_GB2312" w:hAnsi="楷体_GB2312" w:eastAsia="楷体_GB2312" w:cs="楷体_GB2312"/>
          <w:color w:val="000000" w:themeColor="text1"/>
          <w:szCs w:val="32"/>
          <w:lang w:bidi="ar"/>
          <w14:textFill>
            <w14:solidFill>
              <w14:schemeClr w14:val="tx1"/>
            </w14:solidFill>
          </w14:textFill>
        </w:rPr>
      </w:pPr>
      <w:r>
        <w:rPr>
          <w:rFonts w:hint="eastAsia" w:ascii="楷体_GB2312" w:hAnsi="楷体_GB2312" w:eastAsia="楷体_GB2312" w:cs="楷体_GB2312"/>
          <w:color w:val="000000" w:themeColor="text1"/>
          <w:szCs w:val="32"/>
          <w:lang w:bidi="ar"/>
          <w14:textFill>
            <w14:solidFill>
              <w14:schemeClr w14:val="tx1"/>
            </w14:solidFill>
          </w14:textFill>
        </w:rPr>
        <w:t>（四）一廊</w:t>
      </w:r>
    </w:p>
    <w:p>
      <w:pPr>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“一廊”，即东南部智造廊</w:t>
      </w:r>
      <w:r>
        <w:rPr>
          <w:rFonts w:hint="eastAsia" w:ascii="仿宋_GB2312" w:hAnsi="仿宋_GB2312" w:cs="仿宋_GB2312"/>
          <w:color w:val="000000" w:themeColor="text1"/>
          <w:szCs w:val="32"/>
          <w:lang w:bidi="ar"/>
          <w14:textFill>
            <w14:solidFill>
              <w14:schemeClr w14:val="tx1"/>
            </w14:solidFill>
          </w14:textFill>
        </w:rPr>
        <w:t>。东南部智造廊以国道230为核心发展轴，向西串联亦庄新城、大兴生物医药基地，向东连通马驹桥镇东部地区、于家务乡、永乐店镇等，进一步辐射京津冀区域的武清区、廊坊市。</w:t>
      </w:r>
    </w:p>
    <w:p>
      <w:pPr>
        <w:ind w:firstLine="640"/>
        <w:outlineLvl w:val="3"/>
        <w:rPr>
          <w:rFonts w:ascii="楷体_GB2312" w:hAnsi="楷体_GB2312" w:eastAsia="楷体_GB2312" w:cs="楷体_GB2312"/>
          <w:color w:val="000000" w:themeColor="text1"/>
          <w:szCs w:val="32"/>
          <w:lang w:bidi="ar"/>
          <w14:textFill>
            <w14:solidFill>
              <w14:schemeClr w14:val="tx1"/>
            </w14:solidFill>
          </w14:textFill>
        </w:rPr>
      </w:pPr>
      <w:r>
        <w:rPr>
          <w:rFonts w:hint="eastAsia" w:ascii="楷体_GB2312" w:hAnsi="楷体_GB2312" w:eastAsia="楷体_GB2312" w:cs="楷体_GB2312"/>
          <w:color w:val="000000" w:themeColor="text1"/>
          <w:szCs w:val="32"/>
          <w:lang w:bidi="ar"/>
          <w14:textFill>
            <w14:solidFill>
              <w14:schemeClr w14:val="tx1"/>
            </w14:solidFill>
          </w14:textFill>
        </w:rPr>
        <w:t>（五）两区</w:t>
      </w:r>
    </w:p>
    <w:p>
      <w:pPr>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“两区”，即台马协同区和文化旅游区</w:t>
      </w:r>
      <w:r>
        <w:rPr>
          <w:rFonts w:hint="eastAsia" w:ascii="仿宋_GB2312" w:hAnsi="仿宋_GB2312" w:cs="仿宋_GB2312"/>
          <w:color w:val="000000" w:themeColor="text1"/>
          <w:szCs w:val="32"/>
          <w:lang w:bidi="ar"/>
          <w14:textFill>
            <w14:solidFill>
              <w14:schemeClr w14:val="tx1"/>
            </w14:solidFill>
          </w14:textFill>
        </w:rPr>
        <w:t>。</w:t>
      </w:r>
    </w:p>
    <w:p>
      <w:pPr>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台马协同区</w:t>
      </w:r>
      <w:r>
        <w:rPr>
          <w:rFonts w:hint="eastAsia" w:ascii="仿宋_GB2312" w:hAnsi="仿宋_GB2312" w:cs="仿宋_GB2312"/>
          <w:color w:val="000000" w:themeColor="text1"/>
          <w:szCs w:val="32"/>
          <w:lang w:bidi="ar"/>
          <w14:textFill>
            <w14:solidFill>
              <w14:schemeClr w14:val="tx1"/>
            </w14:solidFill>
          </w14:textFill>
        </w:rPr>
        <w:t>，是城市副中心深化与北京经济技术开发区协同联动、培育先进制造业和新兴产业集聚发展的重点承载区域。集聚发展以智能网联新能源汽车、集成电路为代表的先进制造业和以人工智能、信创产业等为代表的智能经济，强化整车制造、核心零部件、智能系统和软件应用协同布局，辐射带动周边地区打造高端智能制造集群。</w:t>
      </w:r>
    </w:p>
    <w:p>
      <w:pPr>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文化旅游区，</w:t>
      </w:r>
      <w:r>
        <w:rPr>
          <w:rFonts w:hint="eastAsia" w:ascii="仿宋_GB2312" w:hAnsi="仿宋_GB2312" w:cs="仿宋_GB2312"/>
          <w:color w:val="000000" w:themeColor="text1"/>
          <w:szCs w:val="32"/>
          <w:lang w:bidi="ar"/>
          <w14:textFill>
            <w14:solidFill>
              <w14:schemeClr w14:val="tx1"/>
            </w14:solidFill>
          </w14:textFill>
        </w:rPr>
        <w:t>是城市副中心文化旅游功能的核心承载地之一。以北京环球度假区为核心，围绕北部产业带和南部萧太后河夜经济带，重点发展主题娱乐、旅游度假、文化体验、休闲消费、商务配套、夜间经济等业态，打造文化、旅游、商务融合发展示范区、高品质旅游度假目的地。</w:t>
      </w:r>
    </w:p>
    <w:p>
      <w:pPr>
        <w:ind w:firstLine="640"/>
        <w:outlineLvl w:val="3"/>
        <w:rPr>
          <w:rFonts w:ascii="楷体_GB2312" w:hAnsi="楷体_GB2312" w:eastAsia="楷体_GB2312" w:cs="楷体_GB2312"/>
          <w:color w:val="000000" w:themeColor="text1"/>
          <w:szCs w:val="32"/>
          <w:lang w:bidi="ar"/>
          <w14:textFill>
            <w14:solidFill>
              <w14:schemeClr w14:val="tx1"/>
            </w14:solidFill>
          </w14:textFill>
        </w:rPr>
      </w:pPr>
      <w:r>
        <w:rPr>
          <w:rFonts w:hint="eastAsia" w:ascii="楷体_GB2312" w:hAnsi="楷体_GB2312" w:eastAsia="楷体_GB2312" w:cs="楷体_GB2312"/>
          <w:color w:val="000000" w:themeColor="text1"/>
          <w:szCs w:val="32"/>
          <w:lang w:bidi="ar"/>
          <w14:textFill>
            <w14:solidFill>
              <w14:schemeClr w14:val="tx1"/>
            </w14:solidFill>
          </w14:textFill>
        </w:rPr>
        <w:t>（六）三镇</w:t>
      </w:r>
    </w:p>
    <w:p>
      <w:pPr>
        <w:ind w:firstLine="643"/>
        <w:rPr>
          <w:rFonts w:ascii="仿宋_GB2312" w:hAnsi="仿宋_GB2312" w:cs="仿宋_GB2312"/>
          <w:b/>
          <w:bCs/>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“三镇”，即张家湾设计小镇、台湖演艺小镇、宋庄艺术创意小镇。</w:t>
      </w:r>
    </w:p>
    <w:p>
      <w:pPr>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张家湾设计小镇，</w:t>
      </w:r>
      <w:r>
        <w:rPr>
          <w:rFonts w:hint="eastAsia" w:ascii="仿宋_GB2312" w:hAnsi="仿宋_GB2312" w:cs="仿宋_GB2312"/>
          <w:color w:val="000000" w:themeColor="text1"/>
          <w:szCs w:val="32"/>
          <w:lang w:bidi="ar"/>
          <w14:textFill>
            <w14:solidFill>
              <w14:schemeClr w14:val="tx1"/>
            </w14:solidFill>
          </w14:textFill>
        </w:rPr>
        <w:t>是城市副中心科技创新功能的主要载体。立足“设计小镇、智慧小镇、活力小镇”定位，围绕北京服装学院，聚焦城市科技与创新设计产业发展，着力打造“北京国际设计之都重要平台”和“城市科技应用的样板区”。</w:t>
      </w:r>
    </w:p>
    <w:p>
      <w:pPr>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台湖演艺小镇，</w:t>
      </w:r>
      <w:r>
        <w:rPr>
          <w:rFonts w:hint="eastAsia" w:ascii="仿宋_GB2312" w:hAnsi="仿宋_GB2312" w:cs="仿宋_GB2312"/>
          <w:color w:val="000000" w:themeColor="text1"/>
          <w:szCs w:val="32"/>
          <w:lang w:bidi="ar"/>
          <w14:textFill>
            <w14:solidFill>
              <w14:schemeClr w14:val="tx1"/>
            </w14:solidFill>
          </w14:textFill>
        </w:rPr>
        <w:t>聚焦演艺演出核心功能，做强创意创作、展演交流等主导产业，拓展艺术普及、文旅融合等衍生业态。以国家大剧院舞美艺术中心为引领，持续完善特色剧场群落布局，推动民宿产业提质增效、高端化发展。抢抓北京数据基础制度先行示范区建设机遇，培育壮大高能级数据要素产业集群，着力构建演艺引领、数据赋能、文旅融合的特色产业体系。</w:t>
      </w:r>
    </w:p>
    <w:p>
      <w:pPr>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宋庄艺术创意小镇，</w:t>
      </w:r>
      <w:r>
        <w:rPr>
          <w:rFonts w:hint="eastAsia" w:ascii="仿宋_GB2312" w:hAnsi="仿宋_GB2312" w:cs="仿宋_GB2312"/>
          <w:color w:val="000000" w:themeColor="text1"/>
          <w:szCs w:val="32"/>
          <w:lang w:bidi="ar"/>
          <w14:textFill>
            <w14:solidFill>
              <w14:schemeClr w14:val="tx1"/>
            </w14:solidFill>
          </w14:textFill>
        </w:rPr>
        <w:t>是北京全国文化中心建设的重要区域，也是承载城市副中心文化旅游功能的关键板块。依托青年艺术家工坊、艺术品交易平台、数字文化资产平台及安贞未来医学创新谷等资源，重点发展艺术教育、艺术交易、艺术文旅、艺术科技等业态，聚力打造集艺术创作、文化创意、医产协同、网络视听于一体的产业发展高地。</w:t>
      </w:r>
    </w:p>
    <w:p>
      <w:pPr>
        <w:ind w:firstLine="640"/>
        <w:outlineLvl w:val="3"/>
        <w:rPr>
          <w:rFonts w:ascii="楷体_GB2312" w:hAnsi="楷体_GB2312" w:eastAsia="楷体_GB2312" w:cs="楷体_GB2312"/>
          <w:color w:val="000000" w:themeColor="text1"/>
          <w:szCs w:val="32"/>
          <w:lang w:bidi="ar"/>
          <w14:textFill>
            <w14:solidFill>
              <w14:schemeClr w14:val="tx1"/>
            </w14:solidFill>
          </w14:textFill>
        </w:rPr>
      </w:pPr>
      <w:r>
        <w:rPr>
          <w:rFonts w:hint="eastAsia" w:ascii="楷体_GB2312" w:hAnsi="楷体_GB2312" w:eastAsia="楷体_GB2312" w:cs="楷体_GB2312"/>
          <w:color w:val="000000" w:themeColor="text1"/>
          <w:szCs w:val="32"/>
          <w:lang w:bidi="ar"/>
          <w14:textFill>
            <w14:solidFill>
              <w14:schemeClr w14:val="tx1"/>
            </w14:solidFill>
          </w14:textFill>
        </w:rPr>
        <w:t>（七）多园</w:t>
      </w:r>
    </w:p>
    <w:p>
      <w:pPr>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“多园”，即国家网络安全产业园（通州园）、漷县医药健康产业集聚区、通州国际种业科技园</w:t>
      </w:r>
      <w:r>
        <w:rPr>
          <w:rFonts w:hint="eastAsia" w:ascii="仿宋_GB2312" w:hAnsi="仿宋_GB2312" w:cs="仿宋_GB2312"/>
          <w:b/>
          <w:bCs/>
          <w:color w:val="000000" w:themeColor="text1"/>
          <w:szCs w:val="32"/>
          <w:lang w:eastAsia="zh" w:bidi="ar"/>
          <w14:textFill>
            <w14:solidFill>
              <w14:schemeClr w14:val="tx1"/>
            </w14:solidFill>
          </w14:textFill>
        </w:rPr>
        <w:t>、</w:t>
      </w:r>
      <w:bookmarkStart w:id="152" w:name="OLE_LINK1"/>
      <w:r>
        <w:rPr>
          <w:rFonts w:hint="eastAsia" w:ascii="仿宋_GB2312" w:hAnsi="仿宋_GB2312" w:cs="仿宋_GB2312"/>
          <w:b/>
          <w:bCs/>
          <w:color w:val="000000" w:themeColor="text1"/>
          <w:szCs w:val="32"/>
          <w:lang w:bidi="ar"/>
          <w14:textFill>
            <w14:solidFill>
              <w14:schemeClr w14:val="tx1"/>
            </w14:solidFill>
          </w14:textFill>
        </w:rPr>
        <w:t>马驹桥镇东部组团</w:t>
      </w:r>
      <w:bookmarkStart w:id="153" w:name="_Ref15630"/>
      <w:r>
        <w:rPr>
          <w:rStyle w:val="31"/>
          <w:rFonts w:hint="eastAsia" w:ascii="仿宋_GB2312" w:hAnsi="仿宋_GB2312" w:cs="仿宋_GB2312"/>
          <w:b/>
          <w:bCs/>
          <w:color w:val="000000" w:themeColor="text1"/>
          <w:szCs w:val="32"/>
          <w:lang w:bidi="ar"/>
          <w14:textFill>
            <w14:solidFill>
              <w14:schemeClr w14:val="tx1"/>
            </w14:solidFill>
          </w14:textFill>
        </w:rPr>
        <w:footnoteReference w:id="0"/>
      </w:r>
      <w:bookmarkEnd w:id="153"/>
      <w:r>
        <w:rPr>
          <w:rFonts w:hint="eastAsia" w:ascii="仿宋_GB2312" w:hAnsi="仿宋_GB2312" w:cs="仿宋_GB2312"/>
          <w:b/>
          <w:bCs/>
          <w:color w:val="000000" w:themeColor="text1"/>
          <w:szCs w:val="32"/>
          <w:lang w:bidi="ar"/>
          <w14:textFill>
            <w14:solidFill>
              <w14:schemeClr w14:val="tx1"/>
            </w14:solidFill>
          </w14:textFill>
        </w:rPr>
        <w:t>、永乐开发区</w:t>
      </w:r>
      <w:bookmarkEnd w:id="152"/>
      <w:r>
        <w:rPr>
          <w:rFonts w:hint="eastAsia" w:ascii="仿宋_GB2312" w:hAnsi="仿宋_GB2312" w:cs="仿宋_GB2312"/>
          <w:b/>
          <w:bCs/>
          <w:color w:val="000000" w:themeColor="text1"/>
          <w:szCs w:val="32"/>
          <w:lang w:bidi="ar"/>
          <w14:textFill>
            <w14:solidFill>
              <w14:schemeClr w14:val="tx1"/>
            </w14:solidFill>
          </w14:textFill>
        </w:rPr>
        <w:fldChar w:fldCharType="begin"/>
      </w:r>
      <w:r>
        <w:rPr>
          <w:rFonts w:hint="eastAsia" w:ascii="仿宋_GB2312" w:hAnsi="仿宋_GB2312" w:cs="仿宋_GB2312"/>
          <w:b/>
          <w:bCs/>
          <w:color w:val="000000" w:themeColor="text1"/>
          <w:szCs w:val="32"/>
          <w:lang w:bidi="ar"/>
          <w14:textFill>
            <w14:solidFill>
              <w14:schemeClr w14:val="tx1"/>
            </w14:solidFill>
          </w14:textFill>
        </w:rPr>
        <w:instrText xml:space="preserve"> NOTEREF _Ref15630 \f </w:instrText>
      </w:r>
      <w:r>
        <w:rPr>
          <w:rFonts w:hint="eastAsia" w:ascii="仿宋_GB2312" w:hAnsi="仿宋_GB2312" w:cs="仿宋_GB2312"/>
          <w:b/>
          <w:bCs/>
          <w:color w:val="000000" w:themeColor="text1"/>
          <w:szCs w:val="32"/>
          <w:lang w:bidi="ar"/>
          <w14:textFill>
            <w14:solidFill>
              <w14:schemeClr w14:val="tx1"/>
            </w14:solidFill>
          </w14:textFill>
        </w:rPr>
        <w:fldChar w:fldCharType="separate"/>
      </w:r>
      <w:r>
        <w:rPr>
          <w:rFonts w:hint="eastAsia" w:ascii="仿宋_GB2312" w:hAnsi="仿宋_GB2312" w:cs="仿宋_GB2312"/>
          <w:b/>
          <w:bCs/>
          <w:color w:val="000000" w:themeColor="text1"/>
          <w:szCs w:val="32"/>
          <w:vertAlign w:val="superscript"/>
          <w:lang w:bidi="ar"/>
          <w14:textFill>
            <w14:solidFill>
              <w14:schemeClr w14:val="tx1"/>
            </w14:solidFill>
          </w14:textFill>
        </w:rPr>
        <w:t>1</w:t>
      </w:r>
      <w:r>
        <w:rPr>
          <w:rFonts w:hint="eastAsia" w:ascii="仿宋_GB2312" w:hAnsi="仿宋_GB2312" w:cs="仿宋_GB2312"/>
          <w:b/>
          <w:bCs/>
          <w:color w:val="000000" w:themeColor="text1"/>
          <w:szCs w:val="32"/>
          <w:lang w:bidi="ar"/>
          <w14:textFill>
            <w14:solidFill>
              <w14:schemeClr w14:val="tx1"/>
            </w14:solidFill>
          </w14:textFill>
        </w:rPr>
        <w:fldChar w:fldCharType="end"/>
      </w:r>
      <w:r>
        <w:rPr>
          <w:rFonts w:hint="eastAsia" w:ascii="仿宋_GB2312" w:hAnsi="仿宋_GB2312" w:cs="仿宋_GB2312"/>
          <w:b/>
          <w:bCs/>
          <w:color w:val="000000" w:themeColor="text1"/>
          <w:szCs w:val="32"/>
          <w:lang w:bidi="ar"/>
          <w14:textFill>
            <w14:solidFill>
              <w14:schemeClr w14:val="tx1"/>
            </w14:solidFill>
          </w14:textFill>
        </w:rPr>
        <w:t>等国家级、市级园区</w:t>
      </w:r>
      <w:r>
        <w:rPr>
          <w:rFonts w:hint="eastAsia" w:ascii="仿宋_GB2312" w:hAnsi="仿宋_GB2312" w:cs="仿宋_GB2312"/>
          <w:color w:val="000000" w:themeColor="text1"/>
          <w:szCs w:val="32"/>
          <w:lang w:bidi="ar"/>
          <w14:textFill>
            <w14:solidFill>
              <w14:schemeClr w14:val="tx1"/>
            </w14:solidFill>
          </w14:textFill>
        </w:rPr>
        <w:t>。</w:t>
      </w:r>
    </w:p>
    <w:p>
      <w:pPr>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国家网络安全产业园（通州园），</w:t>
      </w:r>
      <w:r>
        <w:rPr>
          <w:rFonts w:hint="eastAsia" w:ascii="仿宋_GB2312" w:hAnsi="仿宋_GB2312" w:cs="仿宋_GB2312"/>
          <w:color w:val="000000" w:themeColor="text1"/>
          <w:szCs w:val="32"/>
          <w:lang w:bidi="ar"/>
          <w14:textFill>
            <w14:solidFill>
              <w14:schemeClr w14:val="tx1"/>
            </w14:solidFill>
          </w14:textFill>
        </w:rPr>
        <w:t>是国家网络安全高端产业集聚示范基地和网络安全领军人才培育基地，积极承接中心城区的高端产业外溢，吸纳城市副中心及北三县地区优质要素资源集聚。聚焦网络防护、云安全、物联网安全等关键赛道，构筑技术研发、装备制造、场景应用全链条生态，打造网络安全、信息技术创新与智能制造融合发展的特色产业高地。</w:t>
      </w:r>
    </w:p>
    <w:p>
      <w:pPr>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漷县医药健康产业集聚区，</w:t>
      </w:r>
      <w:r>
        <w:rPr>
          <w:rFonts w:hint="eastAsia" w:ascii="仿宋_GB2312" w:hAnsi="仿宋_GB2312" w:cs="仿宋_GB2312"/>
          <w:color w:val="000000" w:themeColor="text1"/>
          <w:szCs w:val="32"/>
          <w:lang w:bidi="ar"/>
          <w14:textFill>
            <w14:solidFill>
              <w14:schemeClr w14:val="tx1"/>
            </w14:solidFill>
          </w14:textFill>
        </w:rPr>
        <w:t>重点发展生物医药、高端医疗器械、数字医疗、高端康养等业态，深化与北京卫生职业学院、北大人民医院的产教联合体合作，强化创新研发与成果转化联动，建设集研发、中试、制造、应用于一体的医产协同发展高地。</w:t>
      </w:r>
    </w:p>
    <w:p>
      <w:pPr>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通州国际种业科技园，</w:t>
      </w:r>
      <w:r>
        <w:rPr>
          <w:rFonts w:hint="eastAsia" w:ascii="仿宋_GB2312" w:hAnsi="仿宋_GB2312" w:cs="仿宋_GB2312"/>
          <w:color w:val="000000" w:themeColor="text1"/>
          <w:szCs w:val="32"/>
          <w:lang w:bidi="ar"/>
          <w14:textFill>
            <w14:solidFill>
              <w14:schemeClr w14:val="tx1"/>
            </w14:solidFill>
          </w14:textFill>
        </w:rPr>
        <w:t>先后被认定为全国农业信息化示范基地、国家农业科技园区等，也是首家纳入中关村国家自主创新示范区的农业特色园区。重</w:t>
      </w:r>
      <w:r>
        <w:rPr>
          <w:rFonts w:ascii="仿宋_GB2312" w:hAnsi="仿宋_GB2312" w:cs="仿宋_GB2312"/>
          <w:color w:val="000000" w:themeColor="text1"/>
          <w:szCs w:val="32"/>
          <w:lang w:bidi="ar"/>
          <w14:textFill>
            <w14:solidFill>
              <w14:schemeClr w14:val="tx1"/>
            </w14:solidFill>
          </w14:textFill>
        </w:rPr>
        <w:t>点</w:t>
      </w:r>
      <w:r>
        <w:rPr>
          <w:rFonts w:hint="eastAsia" w:ascii="仿宋_GB2312" w:hAnsi="仿宋_GB2312" w:cs="仿宋_GB2312"/>
          <w:color w:val="000000" w:themeColor="text1"/>
          <w:szCs w:val="32"/>
          <w:lang w:bidi="ar"/>
          <w14:textFill>
            <w14:solidFill>
              <w14:schemeClr w14:val="tx1"/>
            </w14:solidFill>
          </w14:textFill>
        </w:rPr>
        <w:t>承载种质资源创新、前沿技术研发、科技成果转化等核心功能。</w:t>
      </w:r>
    </w:p>
    <w:p>
      <w:pPr>
        <w:ind w:firstLine="640"/>
        <w:rPr>
          <w:rFonts w:ascii="仿宋_GB2312" w:hAnsi="仿宋_GB2312" w:cs="仿宋_GB2312"/>
          <w:color w:val="000000" w:themeColor="text1"/>
          <w:szCs w:val="32"/>
          <w:lang w:bidi="ar"/>
          <w14:textFill>
            <w14:solidFill>
              <w14:schemeClr w14:val="tx1"/>
            </w14:solidFill>
          </w14:textFill>
        </w:rPr>
      </w:pPr>
    </w:p>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drawing>
          <wp:inline distT="0" distB="0" distL="114300" distR="114300">
            <wp:extent cx="5608955" cy="6881495"/>
            <wp:effectExtent l="0" t="0" r="10795" b="14605"/>
            <wp:docPr id="1" name="图片 1" descr="E:/十五五通州专项规划20251219/十五五回复3/微信图片_20260507113715_1445_418.jpg微信图片_20260507113715_1445_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十五五通州专项规划20251219/十五五回复3/微信图片_20260507113715_1445_418.jpg微信图片_20260507113715_1445_418"/>
                    <pic:cNvPicPr>
                      <a:picLocks noChangeAspect="1"/>
                    </pic:cNvPicPr>
                  </pic:nvPicPr>
                  <pic:blipFill>
                    <a:blip r:embed="rId16"/>
                    <a:srcRect t="6" b="6"/>
                    <a:stretch>
                      <a:fillRect/>
                    </a:stretch>
                  </pic:blipFill>
                  <pic:spPr>
                    <a:xfrm>
                      <a:off x="0" y="0"/>
                      <a:ext cx="5608955" cy="6881495"/>
                    </a:xfrm>
                    <a:prstGeom prst="rect">
                      <a:avLst/>
                    </a:prstGeom>
                  </pic:spPr>
                </pic:pic>
              </a:graphicData>
            </a:graphic>
          </wp:inline>
        </w:drawing>
      </w:r>
    </w:p>
    <w:p>
      <w:pPr>
        <w:ind w:firstLine="843" w:firstLineChars="300"/>
        <w:rPr>
          <w:rFonts w:ascii="仿宋_GB2312" w:hAnsi="等线" w:cs="仿宋_GB2312"/>
          <w:b/>
          <w:bCs/>
          <w:color w:val="000000" w:themeColor="text1"/>
          <w:sz w:val="28"/>
          <w:szCs w:val="28"/>
          <w:lang w:bidi="ar"/>
          <w14:textFill>
            <w14:solidFill>
              <w14:schemeClr w14:val="tx1"/>
            </w14:solidFill>
          </w14:textFill>
        </w:rPr>
      </w:pPr>
      <w:r>
        <w:rPr>
          <w:rFonts w:hint="eastAsia" w:ascii="仿宋_GB2312" w:hAnsi="等线" w:cs="仿宋_GB2312"/>
          <w:b/>
          <w:bCs/>
          <w:color w:val="000000" w:themeColor="text1"/>
          <w:sz w:val="28"/>
          <w:szCs w:val="28"/>
          <w:lang w:bidi="ar"/>
          <w14:textFill>
            <w14:solidFill>
              <w14:schemeClr w14:val="tx1"/>
            </w14:solidFill>
          </w14:textFill>
        </w:rPr>
        <w:t>图1：</w:t>
      </w:r>
      <w:bookmarkStart w:id="154" w:name="OLE_LINK2"/>
      <w:r>
        <w:rPr>
          <w:rFonts w:hint="eastAsia" w:ascii="仿宋_GB2312" w:hAnsi="等线" w:cs="仿宋_GB2312"/>
          <w:b/>
          <w:bCs/>
          <w:color w:val="000000" w:themeColor="text1"/>
          <w:sz w:val="28"/>
          <w:szCs w:val="28"/>
          <w:lang w:eastAsia="zh" w:bidi="ar"/>
          <w14:textFill>
            <w14:solidFill>
              <w14:schemeClr w14:val="tx1"/>
            </w14:solidFill>
          </w14:textFill>
        </w:rPr>
        <w:t>“</w:t>
      </w:r>
      <w:r>
        <w:rPr>
          <w:rFonts w:hint="eastAsia" w:ascii="仿宋_GB2312" w:hAnsi="等线" w:cs="仿宋_GB2312"/>
          <w:b/>
          <w:bCs/>
          <w:color w:val="000000" w:themeColor="text1"/>
          <w:sz w:val="28"/>
          <w:szCs w:val="28"/>
          <w:lang w:bidi="ar"/>
          <w14:textFill>
            <w14:solidFill>
              <w14:schemeClr w14:val="tx1"/>
            </w14:solidFill>
          </w14:textFill>
        </w:rPr>
        <w:t>一核一带</w:t>
      </w:r>
      <w:r>
        <w:rPr>
          <w:rFonts w:hint="eastAsia" w:ascii="仿宋_GB2312" w:hAnsi="等线" w:cs="仿宋_GB2312"/>
          <w:b/>
          <w:bCs/>
          <w:color w:val="000000" w:themeColor="text1"/>
          <w:sz w:val="28"/>
          <w:szCs w:val="28"/>
          <w:lang w:eastAsia="zh" w:bidi="ar"/>
          <w14:textFill>
            <w14:solidFill>
              <w14:schemeClr w14:val="tx1"/>
            </w14:solidFill>
          </w14:textFill>
        </w:rPr>
        <w:t>、</w:t>
      </w:r>
      <w:r>
        <w:rPr>
          <w:rFonts w:hint="eastAsia" w:ascii="仿宋_GB2312" w:hAnsi="等线" w:cs="仿宋_GB2312"/>
          <w:b/>
          <w:bCs/>
          <w:color w:val="000000" w:themeColor="text1"/>
          <w:sz w:val="28"/>
          <w:szCs w:val="28"/>
          <w:lang w:bidi="ar"/>
          <w14:textFill>
            <w14:solidFill>
              <w14:schemeClr w14:val="tx1"/>
            </w14:solidFill>
          </w14:textFill>
        </w:rPr>
        <w:t>一轴一廊</w:t>
      </w:r>
      <w:r>
        <w:rPr>
          <w:rFonts w:hint="eastAsia" w:ascii="仿宋_GB2312" w:hAnsi="等线" w:cs="仿宋_GB2312"/>
          <w:b/>
          <w:bCs/>
          <w:color w:val="000000" w:themeColor="text1"/>
          <w:sz w:val="28"/>
          <w:szCs w:val="28"/>
          <w:lang w:eastAsia="zh" w:bidi="ar"/>
          <w14:textFill>
            <w14:solidFill>
              <w14:schemeClr w14:val="tx1"/>
            </w14:solidFill>
          </w14:textFill>
        </w:rPr>
        <w:t>、</w:t>
      </w:r>
      <w:r>
        <w:rPr>
          <w:rFonts w:hint="eastAsia" w:ascii="仿宋_GB2312" w:hAnsi="等线" w:cs="仿宋_GB2312"/>
          <w:b/>
          <w:bCs/>
          <w:color w:val="000000" w:themeColor="text1"/>
          <w:sz w:val="28"/>
          <w:szCs w:val="28"/>
          <w:lang w:bidi="ar"/>
          <w14:textFill>
            <w14:solidFill>
              <w14:schemeClr w14:val="tx1"/>
            </w14:solidFill>
          </w14:textFill>
        </w:rPr>
        <w:t>两区三镇</w:t>
      </w:r>
      <w:r>
        <w:rPr>
          <w:rFonts w:hint="eastAsia" w:ascii="仿宋_GB2312" w:hAnsi="等线" w:cs="仿宋_GB2312"/>
          <w:b/>
          <w:bCs/>
          <w:color w:val="000000" w:themeColor="text1"/>
          <w:sz w:val="28"/>
          <w:szCs w:val="28"/>
          <w:lang w:eastAsia="zh" w:bidi="ar"/>
          <w14:textFill>
            <w14:solidFill>
              <w14:schemeClr w14:val="tx1"/>
            </w14:solidFill>
          </w14:textFill>
        </w:rPr>
        <w:t>、</w:t>
      </w:r>
      <w:r>
        <w:rPr>
          <w:rFonts w:hint="eastAsia" w:ascii="仿宋_GB2312" w:hAnsi="等线" w:cs="仿宋_GB2312"/>
          <w:b/>
          <w:bCs/>
          <w:color w:val="000000" w:themeColor="text1"/>
          <w:sz w:val="28"/>
          <w:szCs w:val="28"/>
          <w:lang w:bidi="ar"/>
          <w14:textFill>
            <w14:solidFill>
              <w14:schemeClr w14:val="tx1"/>
            </w14:solidFill>
          </w14:textFill>
        </w:rPr>
        <w:t>多园联动</w:t>
      </w:r>
      <w:r>
        <w:rPr>
          <w:rFonts w:hint="eastAsia" w:ascii="仿宋_GB2312" w:hAnsi="等线" w:cs="仿宋_GB2312"/>
          <w:b/>
          <w:bCs/>
          <w:color w:val="000000" w:themeColor="text1"/>
          <w:sz w:val="28"/>
          <w:szCs w:val="28"/>
          <w:lang w:eastAsia="zh" w:bidi="ar"/>
          <w14:textFill>
            <w14:solidFill>
              <w14:schemeClr w14:val="tx1"/>
            </w14:solidFill>
          </w14:textFill>
        </w:rPr>
        <w:t>”</w:t>
      </w:r>
      <w:r>
        <w:rPr>
          <w:rFonts w:hint="eastAsia" w:ascii="仿宋_GB2312" w:hAnsi="等线" w:cs="仿宋_GB2312"/>
          <w:b/>
          <w:bCs/>
          <w:color w:val="000000" w:themeColor="text1"/>
          <w:sz w:val="28"/>
          <w:szCs w:val="28"/>
          <w:lang w:bidi="ar"/>
          <w14:textFill>
            <w14:solidFill>
              <w14:schemeClr w14:val="tx1"/>
            </w14:solidFill>
          </w14:textFill>
        </w:rPr>
        <w:t>产业布局</w:t>
      </w:r>
      <w:bookmarkEnd w:id="154"/>
    </w:p>
    <w:p>
      <w:pPr>
        <w:ind w:firstLine="640"/>
        <w:rPr>
          <w:rFonts w:ascii="楷体_GB2312" w:hAnsi="楷体_GB2312" w:eastAsia="楷体_GB2312" w:cs="楷体_GB2312"/>
          <w:color w:val="000000" w:themeColor="text1"/>
          <w:szCs w:val="32"/>
          <w:lang w:bidi="ar"/>
          <w14:textFill>
            <w14:solidFill>
              <w14:schemeClr w14:val="tx1"/>
            </w14:solidFill>
          </w14:textFill>
        </w:rPr>
      </w:pPr>
      <w:r>
        <w:rPr>
          <w:rFonts w:hint="eastAsia" w:ascii="楷体_GB2312" w:hAnsi="楷体_GB2312" w:eastAsia="楷体_GB2312" w:cs="楷体_GB2312"/>
          <w:color w:val="000000" w:themeColor="text1"/>
          <w:szCs w:val="32"/>
          <w:lang w:bidi="ar"/>
          <w14:textFill>
            <w14:solidFill>
              <w14:schemeClr w14:val="tx1"/>
            </w14:solidFill>
          </w14:textFill>
        </w:rPr>
        <w:br w:type="page"/>
      </w:r>
    </w:p>
    <w:p>
      <w:pPr>
        <w:pStyle w:val="4"/>
        <w:spacing w:before="0" w:after="0"/>
        <w:ind w:firstLine="640"/>
        <w:rPr>
          <w:rFonts w:hint="default" w:ascii="黑体" w:hAnsi="黑体" w:eastAsia="黑体" w:cs="黑体"/>
          <w:b w:val="0"/>
          <w:bCs w:val="0"/>
          <w:color w:val="000000" w:themeColor="text1"/>
          <w14:textFill>
            <w14:solidFill>
              <w14:schemeClr w14:val="tx1"/>
            </w14:solidFill>
          </w14:textFill>
        </w:rPr>
      </w:pPr>
      <w:bookmarkStart w:id="155" w:name="_Toc19777"/>
      <w:bookmarkStart w:id="156" w:name="_Toc228193702"/>
      <w:bookmarkStart w:id="157" w:name="_Toc7069"/>
      <w:bookmarkStart w:id="158" w:name="_Toc6067"/>
      <w:bookmarkStart w:id="159" w:name="_Toc28097"/>
      <w:bookmarkStart w:id="160" w:name="_Toc15309"/>
      <w:bookmarkStart w:id="161" w:name="_Toc30309"/>
      <w:bookmarkStart w:id="162" w:name="_Toc2763"/>
      <w:bookmarkStart w:id="163" w:name="_Toc2970"/>
      <w:bookmarkStart w:id="164" w:name="_Toc25440"/>
      <w:bookmarkStart w:id="165" w:name="_Toc28895"/>
      <w:bookmarkStart w:id="166" w:name="_Toc25922"/>
      <w:bookmarkStart w:id="167" w:name="_Toc223085215"/>
      <w:bookmarkStart w:id="168" w:name="_Toc9395"/>
      <w:bookmarkStart w:id="169" w:name="_Toc7234"/>
      <w:r>
        <w:rPr>
          <w:rFonts w:ascii="黑体" w:hAnsi="黑体" w:eastAsia="黑体" w:cs="黑体"/>
          <w:b w:val="0"/>
          <w:bCs w:val="0"/>
          <w:color w:val="000000" w:themeColor="text1"/>
          <w14:textFill>
            <w14:solidFill>
              <w14:schemeClr w14:val="tx1"/>
            </w14:solidFill>
          </w14:textFill>
        </w:rPr>
        <w:t>二</w:t>
      </w:r>
      <w:r>
        <w:rPr>
          <w:rFonts w:hint="default" w:ascii="黑体" w:hAnsi="黑体" w:eastAsia="黑体" w:cs="黑体"/>
          <w:b w:val="0"/>
          <w:bCs w:val="0"/>
          <w:color w:val="000000" w:themeColor="text1"/>
          <w14:textFill>
            <w14:solidFill>
              <w14:schemeClr w14:val="tx1"/>
            </w14:solidFill>
          </w14:textFill>
        </w:rPr>
        <w:t>、</w:t>
      </w:r>
      <w:r>
        <w:rPr>
          <w:rFonts w:ascii="黑体" w:hAnsi="黑体" w:eastAsia="黑体" w:cs="黑体"/>
          <w:b w:val="0"/>
          <w:bCs w:val="0"/>
          <w:color w:val="000000" w:themeColor="text1"/>
          <w14:textFill>
            <w14:solidFill>
              <w14:schemeClr w14:val="tx1"/>
            </w14:solidFill>
          </w14:textFill>
        </w:rPr>
        <w:t>优化产业空间供给，强化专业平台支撑</w:t>
      </w:r>
      <w:bookmarkEnd w:id="155"/>
      <w:bookmarkEnd w:id="156"/>
      <w:bookmarkEnd w:id="157"/>
    </w:p>
    <w:p>
      <w:pPr>
        <w:tabs>
          <w:tab w:val="left" w:pos="720"/>
        </w:tabs>
        <w:ind w:firstLine="643"/>
        <w:rPr>
          <w:rFonts w:ascii="仿宋_GB2312" w:hAnsi="仿宋_GB2312" w:cs="仿宋_GB2312"/>
          <w:b/>
          <w:bCs/>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一是培育特色“园中园”。</w:t>
      </w:r>
      <w:r>
        <w:rPr>
          <w:rFonts w:hint="eastAsia" w:ascii="仿宋_GB2312" w:hAnsi="仿宋_GB2312" w:cs="仿宋_GB2312"/>
          <w:color w:val="000000" w:themeColor="text1"/>
          <w:szCs w:val="32"/>
          <w:lang w:bidi="ar"/>
          <w14:textFill>
            <w14:solidFill>
              <w14:schemeClr w14:val="tx1"/>
            </w14:solidFill>
          </w14:textFill>
        </w:rPr>
        <w:t>依托重点园区与特色小镇，聚焦城市科技、创新设计、演艺数据、艺术创意、网络安全、医药健康、种业科技等方向，培育一批定位清晰、功能专业、配套完善的特色载体和“园中园”。</w:t>
      </w:r>
    </w:p>
    <w:p>
      <w:pPr>
        <w:tabs>
          <w:tab w:val="left" w:pos="720"/>
        </w:tabs>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二是完善标准化专业化空间供给。</w:t>
      </w:r>
      <w:r>
        <w:rPr>
          <w:rFonts w:hint="eastAsia" w:ascii="仿宋_GB2312" w:hAnsi="仿宋_GB2312" w:cs="仿宋_GB2312"/>
          <w:color w:val="000000" w:themeColor="text1"/>
          <w:szCs w:val="32"/>
          <w:lang w:bidi="ar"/>
          <w14:textFill>
            <w14:solidFill>
              <w14:schemeClr w14:val="tx1"/>
            </w14:solidFill>
          </w14:textFill>
        </w:rPr>
        <w:t>结合医药健康、智能制造等产业发展需求，布局GMP车间、洁净车间等专业空间，满足不同企业在研发试制、规模生产等阶段的差异化需求。推行标准厂房和定制化厂房，助力企业“拎包入驻”，提高空间供给的灵活性和适配性，缩短企业落地周期。</w:t>
      </w:r>
    </w:p>
    <w:p>
      <w:pPr>
        <w:tabs>
          <w:tab w:val="left" w:pos="720"/>
        </w:tabs>
        <w:ind w:firstLine="643"/>
        <w:rPr>
          <w:rFonts w:ascii="仿宋_GB2312" w:hAnsi="仿宋_GB2312" w:cs="仿宋_GB2312"/>
          <w:b/>
          <w:bCs/>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三是搭建公共技术服务平台。</w:t>
      </w:r>
      <w:r>
        <w:rPr>
          <w:rFonts w:hint="eastAsia" w:ascii="仿宋_GB2312" w:hAnsi="仿宋_GB2312" w:cs="仿宋_GB2312"/>
          <w:color w:val="000000" w:themeColor="text1"/>
          <w:szCs w:val="32"/>
          <w:lang w:bidi="ar"/>
          <w14:textFill>
            <w14:solidFill>
              <w14:schemeClr w14:val="tx1"/>
            </w14:solidFill>
          </w14:textFill>
        </w:rPr>
        <w:t>围绕网络安全、人工智能、医药健康等领域，建设检验检测、认证评价、标准验证平台，推动公共技术服务平台向开放共享转型，为中小企业提供低成本、高效率的技术支撑服务，降低创新成本，形成全链条综合服务体系。</w:t>
      </w:r>
    </w:p>
    <w:p>
      <w:pPr>
        <w:pStyle w:val="4"/>
        <w:spacing w:before="0" w:after="0"/>
        <w:ind w:firstLine="640"/>
        <w:rPr>
          <w:rFonts w:hint="default" w:ascii="黑体" w:hAnsi="黑体" w:eastAsia="黑体" w:cs="黑体"/>
          <w:b w:val="0"/>
          <w:bCs w:val="0"/>
          <w:color w:val="000000" w:themeColor="text1"/>
          <w14:textFill>
            <w14:solidFill>
              <w14:schemeClr w14:val="tx1"/>
            </w14:solidFill>
          </w14:textFill>
        </w:rPr>
      </w:pPr>
      <w:bookmarkStart w:id="170" w:name="_Toc32377"/>
      <w:bookmarkStart w:id="171" w:name="_Toc228193703"/>
      <w:bookmarkStart w:id="172" w:name="_Toc26340"/>
      <w:r>
        <w:rPr>
          <w:rFonts w:ascii="黑体" w:hAnsi="黑体" w:eastAsia="黑体" w:cs="黑体"/>
          <w:b w:val="0"/>
          <w:bCs w:val="0"/>
          <w:color w:val="000000" w:themeColor="text1"/>
          <w14:textFill>
            <w14:solidFill>
              <w14:schemeClr w14:val="tx1"/>
            </w14:solidFill>
          </w14:textFill>
        </w:rPr>
        <w:t>三</w:t>
      </w:r>
      <w:r>
        <w:rPr>
          <w:rFonts w:hint="default" w:ascii="黑体" w:hAnsi="黑体" w:eastAsia="黑体" w:cs="黑体"/>
          <w:b w:val="0"/>
          <w:bCs w:val="0"/>
          <w:color w:val="000000" w:themeColor="text1"/>
          <w14:textFill>
            <w14:solidFill>
              <w14:schemeClr w14:val="tx1"/>
            </w14:solidFill>
          </w14:textFill>
        </w:rPr>
        <w:t>、</w:t>
      </w:r>
      <w:r>
        <w:rPr>
          <w:rFonts w:ascii="黑体" w:hAnsi="黑体" w:eastAsia="黑体" w:cs="黑体"/>
          <w:b w:val="0"/>
          <w:bCs w:val="0"/>
          <w:color w:val="000000" w:themeColor="text1"/>
          <w14:textFill>
            <w14:solidFill>
              <w14:schemeClr w14:val="tx1"/>
            </w14:solidFill>
          </w14:textFill>
        </w:rPr>
        <w:t>打造新型产业社区，产城人</w:t>
      </w:r>
      <w:r>
        <w:rPr>
          <w:rFonts w:ascii="黑体" w:hAnsi="黑体" w:eastAsia="黑体" w:cs="黑体"/>
          <w:b w:val="0"/>
          <w:bCs w:val="0"/>
          <w:color w:val="000000" w:themeColor="text1"/>
          <w:lang w:eastAsia="zh"/>
          <w14:textFill>
            <w14:solidFill>
              <w14:schemeClr w14:val="tx1"/>
            </w14:solidFill>
          </w14:textFill>
        </w:rPr>
        <w:t>一体化</w:t>
      </w:r>
      <w:bookmarkEnd w:id="170"/>
      <w:bookmarkEnd w:id="171"/>
      <w:r>
        <w:rPr>
          <w:rFonts w:ascii="黑体" w:hAnsi="黑体" w:eastAsia="黑体" w:cs="黑体"/>
          <w:b w:val="0"/>
          <w:bCs w:val="0"/>
          <w:color w:val="000000" w:themeColor="text1"/>
          <w14:textFill>
            <w14:solidFill>
              <w14:schemeClr w14:val="tx1"/>
            </w14:solidFill>
          </w14:textFill>
        </w:rPr>
        <w:t>发展</w:t>
      </w:r>
      <w:bookmarkEnd w:id="172"/>
    </w:p>
    <w:p>
      <w:pPr>
        <w:tabs>
          <w:tab w:val="left" w:pos="720"/>
        </w:tabs>
        <w:ind w:firstLine="643"/>
        <w:rPr>
          <w:rFonts w:ascii="仿宋_GB2312" w:hAnsi="仿宋_GB2312" w:cs="仿宋_GB2312"/>
          <w:color w:val="000000" w:themeColor="text1"/>
          <w:szCs w:val="32"/>
          <w:lang w:bidi="ar"/>
          <w14:textFill>
            <w14:solidFill>
              <w14:schemeClr w14:val="tx1"/>
            </w14:solidFill>
          </w14:textFill>
        </w:rPr>
      </w:pPr>
      <w:r>
        <w:rPr>
          <w:rFonts w:ascii="仿宋_GB2312" w:hAnsi="仿宋_GB2312" w:cs="仿宋_GB2312"/>
          <w:b/>
          <w:bCs/>
          <w:color w:val="000000" w:themeColor="text1"/>
          <w:szCs w:val="32"/>
          <w:lang w:bidi="ar"/>
          <w14:textFill>
            <w14:solidFill>
              <w14:schemeClr w14:val="tx1"/>
            </w14:solidFill>
          </w14:textFill>
        </w:rPr>
        <w:t>一是完善公共服务配套。</w:t>
      </w:r>
      <w:r>
        <w:rPr>
          <w:rFonts w:ascii="仿宋_GB2312" w:hAnsi="仿宋_GB2312" w:cs="仿宋_GB2312"/>
          <w:color w:val="000000" w:themeColor="text1"/>
          <w:szCs w:val="32"/>
          <w:lang w:bidi="ar"/>
          <w14:textFill>
            <w14:solidFill>
              <w14:schemeClr w14:val="tx1"/>
            </w14:solidFill>
          </w14:textFill>
        </w:rPr>
        <w:t>围绕重点园区和产业片区发展需求，</w:t>
      </w:r>
      <w:r>
        <w:rPr>
          <w:rFonts w:hint="eastAsia" w:ascii="仿宋_GB2312" w:hAnsi="仿宋_GB2312" w:cs="仿宋_GB2312"/>
          <w:color w:val="000000" w:themeColor="text1"/>
          <w:szCs w:val="32"/>
          <w:lang w:bidi="ar"/>
          <w14:textFill>
            <w14:solidFill>
              <w14:schemeClr w14:val="tx1"/>
            </w14:solidFill>
          </w14:textFill>
        </w:rPr>
        <w:t>提升</w:t>
      </w:r>
      <w:r>
        <w:rPr>
          <w:rFonts w:ascii="仿宋_GB2312" w:hAnsi="仿宋_GB2312" w:cs="仿宋_GB2312"/>
          <w:color w:val="000000" w:themeColor="text1"/>
          <w:szCs w:val="32"/>
          <w:lang w:bidi="ar"/>
          <w14:textFill>
            <w14:solidFill>
              <w14:schemeClr w14:val="tx1"/>
            </w14:solidFill>
          </w14:textFill>
        </w:rPr>
        <w:t>义务教育、医疗卫生、商业服务、文化休闲等公共服务</w:t>
      </w:r>
      <w:r>
        <w:rPr>
          <w:rFonts w:hint="eastAsia" w:ascii="仿宋_GB2312" w:hAnsi="仿宋_GB2312" w:cs="仿宋_GB2312"/>
          <w:color w:val="000000" w:themeColor="text1"/>
          <w:szCs w:val="32"/>
          <w:lang w:bidi="ar"/>
          <w14:textFill>
            <w14:solidFill>
              <w14:schemeClr w14:val="tx1"/>
            </w14:solidFill>
          </w14:textFill>
        </w:rPr>
        <w:t>水平</w:t>
      </w:r>
      <w:r>
        <w:rPr>
          <w:rFonts w:ascii="仿宋_GB2312" w:hAnsi="仿宋_GB2312" w:cs="仿宋_GB2312"/>
          <w:color w:val="000000" w:themeColor="text1"/>
          <w:szCs w:val="32"/>
          <w:lang w:bidi="ar"/>
          <w14:textFill>
            <w14:solidFill>
              <w14:schemeClr w14:val="tx1"/>
            </w14:solidFill>
          </w14:textFill>
        </w:rPr>
        <w:t>，推动形成与产业发展相匹配、与人口导入相适应的综合服务体系。因地制宜布局家园中心等综合服务载体，</w:t>
      </w:r>
      <w:r>
        <w:rPr>
          <w:rFonts w:hint="eastAsia" w:ascii="仿宋_GB2312" w:hAnsi="仿宋_GB2312" w:cs="仿宋_GB2312"/>
          <w:color w:val="000000" w:themeColor="text1"/>
          <w:szCs w:val="32"/>
          <w:lang w:bidi="ar"/>
          <w14:textFill>
            <w14:solidFill>
              <w14:schemeClr w14:val="tx1"/>
            </w14:solidFill>
          </w14:textFill>
        </w:rPr>
        <w:t>打造15分钟生活圈，构建与产业发展、人口集聚相匹配的服务体系</w:t>
      </w:r>
      <w:r>
        <w:rPr>
          <w:rFonts w:ascii="仿宋_GB2312" w:hAnsi="仿宋_GB2312" w:cs="仿宋_GB2312"/>
          <w:color w:val="000000" w:themeColor="text1"/>
          <w:szCs w:val="32"/>
          <w:lang w:bidi="ar"/>
          <w14:textFill>
            <w14:solidFill>
              <w14:schemeClr w14:val="tx1"/>
            </w14:solidFill>
          </w14:textFill>
        </w:rPr>
        <w:t>。</w:t>
      </w:r>
    </w:p>
    <w:p>
      <w:pPr>
        <w:tabs>
          <w:tab w:val="left" w:pos="720"/>
        </w:tabs>
        <w:ind w:firstLine="643"/>
        <w:rPr>
          <w:rFonts w:ascii="仿宋_GB2312" w:hAnsi="仿宋_GB2312" w:cs="仿宋_GB2312"/>
          <w:color w:val="000000" w:themeColor="text1"/>
          <w:szCs w:val="32"/>
          <w:lang w:bidi="ar"/>
          <w14:textFill>
            <w14:solidFill>
              <w14:schemeClr w14:val="tx1"/>
            </w14:solidFill>
          </w14:textFill>
        </w:rPr>
      </w:pPr>
      <w:r>
        <w:rPr>
          <w:rFonts w:ascii="仿宋_GB2312" w:hAnsi="仿宋_GB2312" w:cs="仿宋_GB2312"/>
          <w:b/>
          <w:bCs/>
          <w:color w:val="000000" w:themeColor="text1"/>
          <w:szCs w:val="32"/>
          <w:lang w:bidi="ar"/>
          <w14:textFill>
            <w14:solidFill>
              <w14:schemeClr w14:val="tx1"/>
            </w14:solidFill>
          </w14:textFill>
        </w:rPr>
        <w:t>二是</w:t>
      </w:r>
      <w:r>
        <w:rPr>
          <w:rFonts w:hint="eastAsia" w:ascii="仿宋_GB2312" w:hAnsi="仿宋_GB2312" w:cs="仿宋_GB2312"/>
          <w:b/>
          <w:bCs/>
          <w:color w:val="000000" w:themeColor="text1"/>
          <w:szCs w:val="32"/>
          <w:lang w:bidi="ar"/>
          <w14:textFill>
            <w14:solidFill>
              <w14:schemeClr w14:val="tx1"/>
            </w14:solidFill>
          </w14:textFill>
        </w:rPr>
        <w:t>推动功能复合与空间融合。</w:t>
      </w:r>
      <w:r>
        <w:rPr>
          <w:rFonts w:hint="eastAsia" w:ascii="仿宋_GB2312" w:hAnsi="仿宋_GB2312" w:cs="仿宋_GB2312"/>
          <w:color w:val="000000" w:themeColor="text1"/>
          <w:szCs w:val="32"/>
          <w:lang w:bidi="ar"/>
          <w14:textFill>
            <w14:solidFill>
              <w14:schemeClr w14:val="tx1"/>
            </w14:solidFill>
          </w14:textFill>
        </w:rPr>
        <w:t>依托六环高线公园、城市绿心、大运河滨水空间、路县故城遗址公园等城市活力空间，优化办公、研发、生活、休闲功能复合布局，融合生态、文化、休闲场景，增强人才归属感</w:t>
      </w:r>
      <w:r>
        <w:rPr>
          <w:rFonts w:ascii="仿宋_GB2312" w:hAnsi="仿宋_GB2312" w:cs="仿宋_GB2312"/>
          <w:color w:val="000000" w:themeColor="text1"/>
          <w:szCs w:val="32"/>
          <w:lang w:bidi="ar"/>
          <w14:textFill>
            <w14:solidFill>
              <w14:schemeClr w14:val="tx1"/>
            </w14:solidFill>
          </w14:textFill>
        </w:rPr>
        <w:t>。</w:t>
      </w:r>
      <w:r>
        <w:rPr>
          <w:rFonts w:hint="eastAsia" w:ascii="仿宋_GB2312" w:hAnsi="仿宋_GB2312" w:cs="仿宋_GB2312"/>
          <w:color w:val="000000" w:themeColor="text1"/>
          <w:szCs w:val="32"/>
          <w:lang w:bidi="ar"/>
          <w14:textFill>
            <w14:solidFill>
              <w14:schemeClr w14:val="tx1"/>
            </w14:solidFill>
          </w14:textFill>
        </w:rPr>
        <w:t>加快推动产业社区建设，持续推进“两区三镇多园”建设和专业化运营服务提升，</w:t>
      </w:r>
      <w:r>
        <w:rPr>
          <w:rFonts w:ascii="仿宋_GB2312" w:hAnsi="仿宋_GB2312" w:cs="仿宋_GB2312"/>
          <w:color w:val="000000" w:themeColor="text1"/>
          <w:szCs w:val="32"/>
          <w:lang w:bidi="ar"/>
          <w14:textFill>
            <w14:solidFill>
              <w14:schemeClr w14:val="tx1"/>
            </w14:solidFill>
          </w14:textFill>
        </w:rPr>
        <w:t>支持建设面向OPC发展的复合型产业社区，完善创新创业空间、公共服务设施和生活配套体系，提升载体综合承载能力与环境品质。以数字经济智城园为重点，推进OPC集聚发展载体建设。</w:t>
      </w:r>
      <w:bookmarkEnd w:id="158"/>
      <w:bookmarkEnd w:id="159"/>
      <w:bookmarkEnd w:id="160"/>
      <w:bookmarkEnd w:id="161"/>
      <w:bookmarkEnd w:id="162"/>
      <w:bookmarkEnd w:id="163"/>
      <w:bookmarkEnd w:id="164"/>
      <w:bookmarkEnd w:id="165"/>
      <w:bookmarkEnd w:id="166"/>
      <w:bookmarkStart w:id="173" w:name="_Toc30702"/>
      <w:bookmarkStart w:id="174" w:name="_Toc15740"/>
      <w:bookmarkStart w:id="175" w:name="_Toc26394"/>
      <w:bookmarkStart w:id="176" w:name="_Toc228193704"/>
    </w:p>
    <w:bookmarkEnd w:id="173"/>
    <w:p>
      <w:pPr>
        <w:ind w:firstLine="720"/>
        <w:rPr>
          <w:rFonts w:ascii="方正小标宋简体" w:hAnsi="方正小标宋简体" w:eastAsia="方正小标宋简体" w:cs="方正小标宋简体"/>
          <w:color w:val="000000" w:themeColor="text1"/>
          <w:kern w:val="44"/>
          <w:sz w:val="36"/>
          <w:szCs w:val="36"/>
          <w14:textFill>
            <w14:solidFill>
              <w14:schemeClr w14:val="tx1"/>
            </w14:solidFill>
          </w14:textFill>
        </w:rPr>
      </w:pPr>
    </w:p>
    <w:p>
      <w:pPr>
        <w:pStyle w:val="2"/>
        <w:keepNext w:val="0"/>
        <w:keepLines w:val="0"/>
        <w:ind w:firstLine="0" w:firstLineChars="0"/>
        <w:jc w:val="center"/>
        <w:rPr>
          <w:rFonts w:hint="default" w:ascii="方正小标宋简体" w:hAnsi="方正小标宋简体" w:eastAsia="方正小标宋简体" w:cs="方正小标宋简体"/>
          <w:bCs w:val="0"/>
          <w:kern w:val="44"/>
          <w:sz w:val="36"/>
          <w:szCs w:val="36"/>
        </w:rPr>
      </w:pPr>
      <w:bookmarkStart w:id="177" w:name="_Toc23468"/>
      <w:bookmarkStart w:id="178" w:name="_Toc12901"/>
      <w:r>
        <w:rPr>
          <w:rFonts w:ascii="方正小标宋简体" w:hAnsi="方正小标宋简体" w:eastAsia="方正小标宋简体" w:cs="方正小标宋简体"/>
          <w:bCs w:val="0"/>
          <w:kern w:val="44"/>
          <w:sz w:val="36"/>
          <w:szCs w:val="36"/>
        </w:rPr>
        <w:t>第</w:t>
      </w:r>
      <w:bookmarkEnd w:id="167"/>
      <w:bookmarkEnd w:id="168"/>
      <w:r>
        <w:rPr>
          <w:rFonts w:ascii="方正小标宋简体" w:hAnsi="方正小标宋简体" w:eastAsia="方正小标宋简体" w:cs="方正小标宋简体"/>
          <w:bCs w:val="0"/>
          <w:kern w:val="44"/>
          <w:sz w:val="36"/>
          <w:szCs w:val="36"/>
        </w:rPr>
        <w:t>三篇</w:t>
      </w:r>
      <w:r>
        <w:rPr>
          <w:rFonts w:hint="default" w:ascii="方正小标宋简体" w:hAnsi="方正小标宋简体" w:eastAsia="方正小标宋简体" w:cs="方正小标宋简体"/>
          <w:bCs w:val="0"/>
          <w:kern w:val="44"/>
          <w:sz w:val="36"/>
          <w:szCs w:val="36"/>
        </w:rPr>
        <w:t xml:space="preserve"> </w:t>
      </w:r>
      <w:bookmarkEnd w:id="169"/>
      <w:r>
        <w:rPr>
          <w:rFonts w:ascii="方正小标宋简体" w:hAnsi="方正小标宋简体" w:eastAsia="方正小标宋简体" w:cs="方正小标宋简体"/>
          <w:bCs w:val="0"/>
          <w:kern w:val="44"/>
          <w:sz w:val="36"/>
          <w:szCs w:val="36"/>
        </w:rPr>
        <w:t>做强优势产业</w:t>
      </w:r>
      <w:bookmarkEnd w:id="174"/>
      <w:bookmarkEnd w:id="175"/>
      <w:r>
        <w:rPr>
          <w:rFonts w:hint="default" w:ascii="方正小标宋简体" w:hAnsi="方正小标宋简体" w:eastAsia="方正小标宋简体" w:cs="方正小标宋简体"/>
          <w:bCs w:val="0"/>
          <w:kern w:val="44"/>
          <w:sz w:val="36"/>
          <w:szCs w:val="36"/>
        </w:rPr>
        <w:t xml:space="preserve"> </w:t>
      </w:r>
      <w:r>
        <w:rPr>
          <w:rFonts w:ascii="方正小标宋简体" w:hAnsi="方正小标宋简体" w:eastAsia="方正小标宋简体" w:cs="方正小标宋简体"/>
          <w:bCs w:val="0"/>
          <w:kern w:val="44"/>
          <w:sz w:val="36"/>
          <w:szCs w:val="36"/>
        </w:rPr>
        <w:t>前瞻布局未来产业</w:t>
      </w:r>
      <w:bookmarkEnd w:id="176"/>
      <w:bookmarkEnd w:id="177"/>
      <w:bookmarkEnd w:id="178"/>
    </w:p>
    <w:p>
      <w:pPr>
        <w:pStyle w:val="3"/>
        <w:spacing w:before="0" w:after="0"/>
        <w:ind w:firstLine="0" w:firstLineChars="0"/>
        <w:jc w:val="center"/>
        <w:rPr>
          <w:rFonts w:hint="default" w:ascii="黑体" w:hAnsi="黑体" w:eastAsia="黑体" w:cs="黑体"/>
          <w:b w:val="0"/>
          <w:bCs w:val="0"/>
          <w:color w:val="000000" w:themeColor="text1"/>
          <w:sz w:val="32"/>
          <w:szCs w:val="32"/>
          <w14:textFill>
            <w14:solidFill>
              <w14:schemeClr w14:val="tx1"/>
            </w14:solidFill>
          </w14:textFill>
        </w:rPr>
      </w:pPr>
      <w:bookmarkStart w:id="179" w:name="_Toc11745"/>
      <w:bookmarkEnd w:id="179"/>
      <w:bookmarkStart w:id="180" w:name="_Toc24752"/>
      <w:bookmarkEnd w:id="180"/>
      <w:bookmarkStart w:id="181" w:name="_Toc25580"/>
      <w:bookmarkStart w:id="182" w:name="_Toc15010"/>
      <w:bookmarkStart w:id="183" w:name="_Toc228193705"/>
      <w:bookmarkStart w:id="184" w:name="_Toc30061"/>
      <w:bookmarkStart w:id="185" w:name="_Toc25581"/>
      <w:bookmarkStart w:id="186" w:name="_Toc27050"/>
      <w:r>
        <w:rPr>
          <w:rFonts w:hint="default" w:ascii="黑体" w:hAnsi="黑体" w:eastAsia="黑体" w:cs="黑体"/>
          <w:b w:val="0"/>
          <w:bCs w:val="0"/>
          <w:color w:val="000000" w:themeColor="text1"/>
          <w:sz w:val="32"/>
          <w:szCs w:val="32"/>
          <w14:textFill>
            <w14:solidFill>
              <w14:schemeClr w14:val="tx1"/>
            </w14:solidFill>
          </w14:textFill>
        </w:rPr>
        <w:t>第</w:t>
      </w:r>
      <w:r>
        <w:rPr>
          <w:rFonts w:ascii="黑体" w:hAnsi="黑体" w:eastAsia="黑体" w:cs="黑体"/>
          <w:b w:val="0"/>
          <w:bCs w:val="0"/>
          <w:color w:val="000000" w:themeColor="text1"/>
          <w:sz w:val="32"/>
          <w:szCs w:val="32"/>
          <w14:textFill>
            <w14:solidFill>
              <w14:schemeClr w14:val="tx1"/>
            </w14:solidFill>
          </w14:textFill>
        </w:rPr>
        <w:t>六</w:t>
      </w:r>
      <w:r>
        <w:rPr>
          <w:rFonts w:hint="default" w:ascii="黑体" w:hAnsi="黑体" w:eastAsia="黑体" w:cs="黑体"/>
          <w:b w:val="0"/>
          <w:bCs w:val="0"/>
          <w:color w:val="000000" w:themeColor="text1"/>
          <w:sz w:val="32"/>
          <w:szCs w:val="32"/>
          <w14:textFill>
            <w14:solidFill>
              <w14:schemeClr w14:val="tx1"/>
            </w14:solidFill>
          </w14:textFill>
        </w:rPr>
        <w:t>章</w:t>
      </w:r>
      <w:r>
        <w:rPr>
          <w:rFonts w:ascii="黑体" w:hAnsi="黑体" w:eastAsia="黑体" w:cs="黑体"/>
          <w:b w:val="0"/>
          <w:bCs w:val="0"/>
          <w:color w:val="000000" w:themeColor="text1"/>
          <w:sz w:val="32"/>
          <w:szCs w:val="32"/>
          <w14:textFill>
            <w14:solidFill>
              <w14:schemeClr w14:val="tx1"/>
            </w14:solidFill>
          </w14:textFill>
        </w:rPr>
        <w:t xml:space="preserve"> 先进制造：构筑智造引领产链协同发展新生态</w:t>
      </w:r>
      <w:bookmarkEnd w:id="181"/>
      <w:bookmarkEnd w:id="182"/>
      <w:bookmarkEnd w:id="183"/>
      <w:bookmarkEnd w:id="184"/>
      <w:bookmarkEnd w:id="185"/>
      <w:bookmarkEnd w:id="186"/>
    </w:p>
    <w:p>
      <w:pPr>
        <w:pStyle w:val="4"/>
        <w:spacing w:before="0" w:after="0"/>
        <w:ind w:firstLine="640"/>
        <w:rPr>
          <w:rFonts w:hint="default" w:ascii="仿宋_GB2312" w:hAnsi="仿宋_GB2312" w:eastAsia="仿宋_GB2312" w:cs="仿宋_GB2312"/>
          <w:color w:val="000000" w:themeColor="text1"/>
          <w14:textFill>
            <w14:solidFill>
              <w14:schemeClr w14:val="tx1"/>
            </w14:solidFill>
          </w14:textFill>
        </w:rPr>
      </w:pPr>
      <w:bookmarkStart w:id="187" w:name="_Toc6081"/>
      <w:bookmarkStart w:id="188" w:name="_Toc14065"/>
      <w:bookmarkStart w:id="189" w:name="_Toc9724"/>
      <w:bookmarkStart w:id="190" w:name="_Toc27715"/>
      <w:bookmarkStart w:id="191" w:name="_Toc228193706"/>
      <w:bookmarkStart w:id="192" w:name="_Toc27167"/>
      <w:r>
        <w:rPr>
          <w:rFonts w:ascii="黑体" w:hAnsi="黑体" w:eastAsia="黑体" w:cs="黑体"/>
          <w:b w:val="0"/>
          <w:bCs w:val="0"/>
          <w:color w:val="000000" w:themeColor="text1"/>
          <w14:textFill>
            <w14:solidFill>
              <w14:schemeClr w14:val="tx1"/>
            </w14:solidFill>
          </w14:textFill>
        </w:rPr>
        <w:t>一、聚力强链补链，打造</w:t>
      </w:r>
      <w:bookmarkEnd w:id="187"/>
      <w:bookmarkEnd w:id="188"/>
      <w:bookmarkEnd w:id="189"/>
      <w:r>
        <w:rPr>
          <w:rFonts w:ascii="黑体" w:hAnsi="黑体" w:eastAsia="黑体" w:cs="黑体"/>
          <w:b w:val="0"/>
          <w:bCs w:val="0"/>
          <w:color w:val="000000" w:themeColor="text1"/>
          <w14:textFill>
            <w14:solidFill>
              <w14:schemeClr w14:val="tx1"/>
            </w14:solidFill>
          </w14:textFill>
        </w:rPr>
        <w:t>智能网联新能源汽车核心引擎</w:t>
      </w:r>
      <w:bookmarkEnd w:id="190"/>
      <w:bookmarkEnd w:id="191"/>
      <w:bookmarkEnd w:id="192"/>
    </w:p>
    <w:p>
      <w:pPr>
        <w:ind w:firstLine="643"/>
        <w:rPr>
          <w:rFonts w:ascii="仿宋_GB2312" w:hAnsi="仿宋_GB2312" w:cs="仿宋_GB2312"/>
          <w:color w:val="000000" w:themeColor="text1"/>
          <w14:textFill>
            <w14:solidFill>
              <w14:schemeClr w14:val="tx1"/>
            </w14:solidFill>
          </w14:textFill>
        </w:rPr>
      </w:pPr>
      <w:r>
        <w:rPr>
          <w:rFonts w:ascii="仿宋_GB2312" w:hAnsi="仿宋_GB2312" w:cs="仿宋_GB2312"/>
          <w:b/>
          <w:bCs/>
          <w:color w:val="000000" w:themeColor="text1"/>
          <w14:textFill>
            <w14:solidFill>
              <w14:schemeClr w14:val="tx1"/>
            </w14:solidFill>
          </w14:textFill>
        </w:rPr>
        <w:t>一是</w:t>
      </w:r>
      <w:r>
        <w:rPr>
          <w:rFonts w:hint="eastAsia" w:ascii="仿宋_GB2312" w:hAnsi="仿宋_GB2312" w:cs="仿宋_GB2312"/>
          <w:b/>
          <w:bCs/>
          <w:color w:val="000000" w:themeColor="text1"/>
          <w14:textFill>
            <w14:solidFill>
              <w14:schemeClr w14:val="tx1"/>
            </w14:solidFill>
          </w14:textFill>
        </w:rPr>
        <w:t>强化</w:t>
      </w:r>
      <w:r>
        <w:rPr>
          <w:rFonts w:ascii="仿宋_GB2312" w:hAnsi="仿宋_GB2312" w:cs="仿宋_GB2312"/>
          <w:b/>
          <w:bCs/>
          <w:color w:val="000000" w:themeColor="text1"/>
          <w14:textFill>
            <w14:solidFill>
              <w14:schemeClr w14:val="tx1"/>
            </w14:solidFill>
          </w14:textFill>
        </w:rPr>
        <w:t>整车牵引，系统完善产业链配套体系。</w:t>
      </w:r>
      <w:r>
        <w:rPr>
          <w:rFonts w:hint="eastAsia" w:ascii="仿宋_GB2312" w:hAnsi="仿宋_GB2312" w:cs="仿宋_GB2312"/>
          <w:color w:val="000000" w:themeColor="text1"/>
          <w14:textFill>
            <w14:solidFill>
              <w14:schemeClr w14:val="tx1"/>
            </w14:solidFill>
          </w14:textFill>
        </w:rPr>
        <w:t>依托小米汽车、北汽动力总成等链主企业，围绕整车制造关键环节，智能网联、新能源双向发力。智能网联方向，聚焦车规级芯片、智能座舱软件、自动驾驶算法、车载操作系统、高精度地图等领域，精准引入关键配套企业；支持传统零部件企业实施智能化技术改造，提升产业数字化水平。</w:t>
      </w:r>
    </w:p>
    <w:p>
      <w:pPr>
        <w:ind w:firstLine="643"/>
        <w:rPr>
          <w:rFonts w:ascii="仿宋_GB2312" w:hAnsi="仿宋_GB2312" w:cs="仿宋_GB2312"/>
          <w:color w:val="000000" w:themeColor="text1"/>
          <w14:textFill>
            <w14:solidFill>
              <w14:schemeClr w14:val="tx1"/>
            </w14:solidFill>
          </w14:textFill>
        </w:rPr>
      </w:pPr>
      <w:r>
        <w:rPr>
          <w:rFonts w:hint="eastAsia" w:ascii="仿宋_GB2312" w:hAnsi="仿宋_GB2312" w:cs="仿宋_GB2312"/>
          <w:b/>
          <w:bCs/>
          <w:color w:val="000000" w:themeColor="text1"/>
          <w14:textFill>
            <w14:solidFill>
              <w14:schemeClr w14:val="tx1"/>
            </w14:solidFill>
          </w14:textFill>
        </w:rPr>
        <w:t>二</w:t>
      </w:r>
      <w:r>
        <w:rPr>
          <w:rFonts w:ascii="仿宋_GB2312" w:hAnsi="仿宋_GB2312" w:cs="仿宋_GB2312"/>
          <w:b/>
          <w:bCs/>
          <w:color w:val="000000" w:themeColor="text1"/>
          <w14:textFill>
            <w14:solidFill>
              <w14:schemeClr w14:val="tx1"/>
            </w14:solidFill>
          </w14:textFill>
        </w:rPr>
        <w:t>是延伸服务链条，构建多元融合产业生态。</w:t>
      </w:r>
      <w:r>
        <w:rPr>
          <w:rFonts w:ascii="仿宋_GB2312" w:hAnsi="仿宋_GB2312" w:cs="仿宋_GB2312"/>
          <w:color w:val="000000" w:themeColor="text1"/>
          <w14:textFill>
            <w14:solidFill>
              <w14:schemeClr w14:val="tx1"/>
            </w14:solidFill>
          </w14:textFill>
        </w:rPr>
        <w:t>推动产业链向高附加值服务环节延伸，积极布局汽车金融、电池回收利用、充换电基础设施、智能维保、检测认证等后市场服务体系，提升产业附加值。强化应用场景牵引，推动</w:t>
      </w:r>
      <w:r>
        <w:rPr>
          <w:rFonts w:hint="eastAsia" w:ascii="仿宋_GB2312" w:hAnsi="仿宋_GB2312" w:cs="仿宋_GB2312"/>
          <w:color w:val="000000" w:themeColor="text1"/>
          <w14:textFill>
            <w14:solidFill>
              <w14:schemeClr w14:val="tx1"/>
            </w14:solidFill>
          </w14:textFill>
        </w:rPr>
        <w:t>智能网联新能源汽车</w:t>
      </w:r>
      <w:r>
        <w:rPr>
          <w:rFonts w:ascii="仿宋_GB2312" w:hAnsi="仿宋_GB2312" w:cs="仿宋_GB2312"/>
          <w:color w:val="000000" w:themeColor="text1"/>
          <w14:textFill>
            <w14:solidFill>
              <w14:schemeClr w14:val="tx1"/>
            </w14:solidFill>
          </w14:textFill>
        </w:rPr>
        <w:t>在智慧物流、城市配送等领域示范应用，促进技术迭代和商业模式创新。依托自动驾驶示范区建设基础，支持企业与高校院所共建研发平台，开展关键技术联合攻关，推动汽车产业与数字经济、智慧交通、信息服务等领域融合发展，培育具有持续竞争力的产业生态体系。</w:t>
      </w:r>
    </w:p>
    <w:p>
      <w:pPr>
        <w:ind w:firstLine="643"/>
        <w:rPr>
          <w:rFonts w:ascii="仿宋_GB2312" w:hAnsi="仿宋_GB2312" w:cs="仿宋_GB2312"/>
          <w:color w:val="000000" w:themeColor="text1"/>
          <w14:textFill>
            <w14:solidFill>
              <w14:schemeClr w14:val="tx1"/>
            </w14:solidFill>
          </w14:textFill>
        </w:rPr>
      </w:pPr>
      <w:r>
        <w:rPr>
          <w:rFonts w:hint="eastAsia" w:ascii="仿宋_GB2312" w:hAnsi="仿宋_GB2312" w:cs="仿宋_GB2312"/>
          <w:b/>
          <w:bCs/>
          <w:color w:val="000000" w:themeColor="text1"/>
          <w14:textFill>
            <w14:solidFill>
              <w14:schemeClr w14:val="tx1"/>
            </w14:solidFill>
          </w14:textFill>
        </w:rPr>
        <w:t>三是构建“半小时配套圈”，深化产业协同发展。</w:t>
      </w:r>
      <w:r>
        <w:rPr>
          <w:rFonts w:hint="eastAsia" w:ascii="仿宋_GB2312" w:hAnsi="仿宋_GB2312" w:cs="仿宋_GB2312"/>
          <w:color w:val="000000" w:themeColor="text1"/>
          <w14:textFill>
            <w14:solidFill>
              <w14:schemeClr w14:val="tx1"/>
            </w14:solidFill>
          </w14:textFill>
        </w:rPr>
        <w:t>发挥东南部智造廊的区位优势，强化“通亦”协同，聚焦马驹桥镇等区域，加快建设智能网联新能源汽车智造基地，着力打造“未来出行小镇”，统筹布局研发设计、整车制造、测试验证等功能板块，推动产业要素集中集聚，并逐步向周边区域延伸布局，形成“核心制造</w:t>
      </w:r>
      <w:r>
        <w:rPr>
          <w:rFonts w:ascii="仿宋_GB2312" w:hAnsi="仿宋_GB2312" w:cs="仿宋_GB2312"/>
          <w:color w:val="000000" w:themeColor="text1"/>
          <w14:textFill>
            <w14:solidFill>
              <w14:schemeClr w14:val="tx1"/>
            </w14:solidFill>
          </w14:textFill>
        </w:rPr>
        <w:t>+</w:t>
      </w:r>
      <w:r>
        <w:rPr>
          <w:rFonts w:hint="eastAsia" w:ascii="仿宋_GB2312" w:hAnsi="仿宋_GB2312" w:cs="仿宋_GB2312"/>
          <w:color w:val="000000" w:themeColor="text1"/>
          <w14:textFill>
            <w14:solidFill>
              <w14:schemeClr w14:val="tx1"/>
            </w14:solidFill>
          </w14:textFill>
        </w:rPr>
        <w:t>区域协同”的发展格局，辐射带动周边区域一体化发展。</w:t>
      </w:r>
    </w:p>
    <w:p>
      <w:pPr>
        <w:pStyle w:val="4"/>
        <w:spacing w:before="0" w:after="0"/>
        <w:ind w:firstLine="640"/>
        <w:rPr>
          <w:rFonts w:hint="default" w:ascii="黑体" w:hAnsi="黑体" w:eastAsia="黑体" w:cs="黑体"/>
          <w:b w:val="0"/>
          <w:bCs w:val="0"/>
          <w:color w:val="000000" w:themeColor="text1"/>
          <w14:textFill>
            <w14:solidFill>
              <w14:schemeClr w14:val="tx1"/>
            </w14:solidFill>
          </w14:textFill>
        </w:rPr>
      </w:pPr>
      <w:bookmarkStart w:id="193" w:name="_Toc25339"/>
      <w:bookmarkStart w:id="194" w:name="_Toc32108"/>
      <w:bookmarkStart w:id="195" w:name="_Toc31911"/>
      <w:bookmarkStart w:id="196" w:name="_Toc25141"/>
      <w:bookmarkStart w:id="197" w:name="_Toc228193707"/>
      <w:bookmarkStart w:id="198" w:name="_Toc23327"/>
      <w:r>
        <w:rPr>
          <w:rFonts w:ascii="黑体" w:hAnsi="黑体" w:eastAsia="黑体" w:cs="黑体"/>
          <w:b w:val="0"/>
          <w:bCs w:val="0"/>
          <w:color w:val="000000" w:themeColor="text1"/>
          <w14:textFill>
            <w14:solidFill>
              <w14:schemeClr w14:val="tx1"/>
            </w14:solidFill>
          </w14:textFill>
        </w:rPr>
        <w:t>二、深化医产协同，构筑医药健康全链条产业生态</w:t>
      </w:r>
      <w:bookmarkEnd w:id="193"/>
      <w:bookmarkEnd w:id="194"/>
      <w:bookmarkEnd w:id="195"/>
      <w:bookmarkEnd w:id="196"/>
      <w:bookmarkEnd w:id="197"/>
      <w:bookmarkEnd w:id="198"/>
    </w:p>
    <w:p>
      <w:pPr>
        <w:ind w:firstLine="643"/>
        <w:rPr>
          <w:rFonts w:ascii="仿宋_GB2312" w:hAnsi="等线" w:cs="仿宋_GB2312"/>
          <w:color w:val="000000" w:themeColor="text1"/>
          <w:szCs w:val="32"/>
          <w:lang w:bidi="ar"/>
          <w14:textFill>
            <w14:solidFill>
              <w14:schemeClr w14:val="tx1"/>
            </w14:solidFill>
          </w14:textFill>
        </w:rPr>
      </w:pPr>
      <w:r>
        <w:rPr>
          <w:rFonts w:hint="eastAsia" w:ascii="仿宋_GB2312" w:hAnsi="等线" w:cs="仿宋_GB2312"/>
          <w:b/>
          <w:bCs/>
          <w:color w:val="000000" w:themeColor="text1"/>
          <w:szCs w:val="32"/>
          <w:lang w:bidi="ar"/>
          <w14:textFill>
            <w14:solidFill>
              <w14:schemeClr w14:val="tx1"/>
            </w14:solidFill>
          </w14:textFill>
        </w:rPr>
        <w:t>一是强化区域联动，构建“北研南产”双线发展格局。</w:t>
      </w:r>
      <w:r>
        <w:rPr>
          <w:rFonts w:hint="eastAsia" w:ascii="仿宋_GB2312" w:hAnsi="等线" w:cs="仿宋_GB2312"/>
          <w:color w:val="000000" w:themeColor="text1"/>
          <w:szCs w:val="32"/>
          <w:lang w:bidi="ar"/>
          <w14:textFill>
            <w14:solidFill>
              <w14:schemeClr w14:val="tx1"/>
            </w14:solidFill>
          </w14:textFill>
        </w:rPr>
        <w:t>紧扣南北双线发展布局，南部以漷县医药健康产业集聚区为核心，聚焦医药制造，打造研发、中试、制造、应用全生命周期产业生态；北部医产协同带依托北京安贞医院、北京友谊医院、北京胸科医院、首都儿科研究所等优质医疗资源及永顺医疗健康产业基地等载体，发展临床转化、医学创新与企业总部，促进医产协同发展，着力打造集研发创新、医药制造、医疗器械智造、医药流通、健康服务为一体的医药健康产业体系，形成“北研南产、医产融合”双线发展格局。</w:t>
      </w:r>
    </w:p>
    <w:p>
      <w:pPr>
        <w:ind w:firstLine="643"/>
        <w:rPr>
          <w:rFonts w:ascii="仿宋_GB2312" w:hAnsi="等线" w:cs="仿宋_GB2312"/>
          <w:color w:val="000000" w:themeColor="text1"/>
          <w:szCs w:val="32"/>
          <w:lang w:bidi="ar"/>
          <w14:textFill>
            <w14:solidFill>
              <w14:schemeClr w14:val="tx1"/>
            </w14:solidFill>
          </w14:textFill>
        </w:rPr>
      </w:pPr>
      <w:r>
        <w:rPr>
          <w:rFonts w:hint="eastAsia" w:ascii="仿宋_GB2312" w:hAnsi="等线" w:cs="仿宋_GB2312"/>
          <w:b/>
          <w:bCs/>
          <w:color w:val="000000" w:themeColor="text1"/>
          <w:szCs w:val="32"/>
          <w:lang w:bidi="ar"/>
          <w14:textFill>
            <w14:solidFill>
              <w14:schemeClr w14:val="tx1"/>
            </w14:solidFill>
          </w14:textFill>
        </w:rPr>
        <w:t>二是壮大医药制造集群，夯实产业发展根基。</w:t>
      </w:r>
      <w:r>
        <w:rPr>
          <w:rFonts w:hint="eastAsia" w:ascii="仿宋_GB2312" w:hAnsi="等线" w:cs="仿宋_GB2312"/>
          <w:color w:val="000000" w:themeColor="text1"/>
          <w:szCs w:val="32"/>
          <w:lang w:bidi="ar"/>
          <w14:textFill>
            <w14:solidFill>
              <w14:schemeClr w14:val="tx1"/>
            </w14:solidFill>
          </w14:textFill>
        </w:rPr>
        <w:t>依托甘李药业、福元医药、春立正达、萌蒂等龙头企业，巩固提升医药制造业优势。重点推动第四代胰岛素、小核酸药物、人工智能医疗器械等前沿项目攻关突破，提升产品核心竞争力和市场占有率。聚焦肿瘤、心脑血管等重大疾病领域，加快创新药研发及产业化，推动仿制药向创新药转型升级。在植入介入器械、医学影像设备、体外诊断试剂等细分领域，引导企业加大研发投入，提升产品附加值。鼓励企业利用人工智能技术赋能药械研发、辅助诊断、健康管理等场景，推动医药健康产品智能化升级。</w:t>
      </w:r>
    </w:p>
    <w:p>
      <w:pPr>
        <w:ind w:firstLine="643"/>
        <w:rPr>
          <w:rFonts w:ascii="仿宋_GB2312" w:hAnsi="等线" w:cs="仿宋_GB2312"/>
          <w:color w:val="000000" w:themeColor="text1"/>
          <w:szCs w:val="32"/>
          <w:lang w:bidi="ar"/>
          <w14:textFill>
            <w14:solidFill>
              <w14:schemeClr w14:val="tx1"/>
            </w14:solidFill>
          </w14:textFill>
        </w:rPr>
      </w:pPr>
      <w:r>
        <w:rPr>
          <w:rFonts w:hint="eastAsia" w:ascii="仿宋_GB2312" w:hAnsi="等线" w:cs="仿宋_GB2312"/>
          <w:b/>
          <w:bCs/>
          <w:color w:val="000000" w:themeColor="text1"/>
          <w:szCs w:val="32"/>
          <w:lang w:bidi="ar"/>
          <w14:textFill>
            <w14:solidFill>
              <w14:schemeClr w14:val="tx1"/>
            </w14:solidFill>
          </w14:textFill>
        </w:rPr>
        <w:t>三是深化医产协同创新，畅通科技成果转化通道。</w:t>
      </w:r>
      <w:r>
        <w:rPr>
          <w:rFonts w:hint="eastAsia" w:ascii="仿宋_GB2312" w:hAnsi="等线" w:cs="仿宋_GB2312"/>
          <w:color w:val="000000" w:themeColor="text1"/>
          <w:szCs w:val="32"/>
          <w:lang w:bidi="ar"/>
          <w14:textFill>
            <w14:solidFill>
              <w14:schemeClr w14:val="tx1"/>
            </w14:solidFill>
          </w14:textFill>
        </w:rPr>
        <w:t>聚焦科技成果转化关键环节，发挥北京市医疗器械检验研究院技术优势和泰格医药、诺思格等CRO龙头专业服务能力，加快建设医产协同创新平台、药械研发中试平台、成果转化概念验证中心等公共服务载体。</w:t>
      </w:r>
    </w:p>
    <w:p>
      <w:pPr>
        <w:pStyle w:val="4"/>
        <w:spacing w:before="0" w:after="0"/>
        <w:ind w:firstLine="640"/>
        <w:rPr>
          <w:rFonts w:hint="default" w:ascii="黑体" w:hAnsi="黑体" w:eastAsia="黑体" w:cs="黑体"/>
          <w:b w:val="0"/>
          <w:bCs w:val="0"/>
          <w:color w:val="000000" w:themeColor="text1"/>
          <w14:textFill>
            <w14:solidFill>
              <w14:schemeClr w14:val="tx1"/>
            </w14:solidFill>
          </w14:textFill>
        </w:rPr>
      </w:pPr>
      <w:bookmarkStart w:id="199" w:name="_Toc2199"/>
      <w:bookmarkStart w:id="200" w:name="_Toc12765"/>
      <w:bookmarkStart w:id="201" w:name="_Toc228193708"/>
      <w:bookmarkStart w:id="202" w:name="_Toc8565"/>
      <w:bookmarkStart w:id="203" w:name="_Toc11710"/>
      <w:bookmarkStart w:id="204" w:name="_Toc7157"/>
      <w:r>
        <w:rPr>
          <w:rFonts w:hint="eastAsia" w:ascii="黑体" w:hAnsi="黑体" w:eastAsia="黑体" w:cs="黑体"/>
          <w:b w:val="0"/>
          <w:bCs w:val="0"/>
          <w:color w:val="000000" w:themeColor="text1"/>
          <w:lang w:val="en-US" w:eastAsia="zh-CN"/>
          <w14:textFill>
            <w14:solidFill>
              <w14:schemeClr w14:val="tx1"/>
            </w14:solidFill>
          </w14:textFill>
        </w:rPr>
        <w:t>三</w:t>
      </w:r>
      <w:r>
        <w:rPr>
          <w:rFonts w:ascii="黑体" w:hAnsi="黑体" w:eastAsia="黑体" w:cs="黑体"/>
          <w:b w:val="0"/>
          <w:bCs w:val="0"/>
          <w:color w:val="000000" w:themeColor="text1"/>
          <w14:textFill>
            <w14:solidFill>
              <w14:schemeClr w14:val="tx1"/>
            </w14:solidFill>
          </w14:textFill>
        </w:rPr>
        <w:t>、攻坚高端</w:t>
      </w:r>
      <w:r>
        <w:rPr>
          <w:rFonts w:ascii="黑体" w:hAnsi="黑体" w:eastAsia="黑体" w:cs="黑体"/>
          <w:b w:val="0"/>
          <w:bCs w:val="0"/>
          <w:color w:val="000000" w:themeColor="text1"/>
          <w:lang w:eastAsia="zh"/>
          <w14:textFill>
            <w14:solidFill>
              <w14:schemeClr w14:val="tx1"/>
            </w14:solidFill>
          </w14:textFill>
        </w:rPr>
        <w:t>制造</w:t>
      </w:r>
      <w:r>
        <w:rPr>
          <w:rFonts w:ascii="黑体" w:hAnsi="黑体" w:eastAsia="黑体" w:cs="黑体"/>
          <w:b w:val="0"/>
          <w:bCs w:val="0"/>
          <w:color w:val="000000" w:themeColor="text1"/>
          <w14:textFill>
            <w14:solidFill>
              <w14:schemeClr w14:val="tx1"/>
            </w14:solidFill>
          </w14:textFill>
        </w:rPr>
        <w:t>，筑造智能装备产业新优势</w:t>
      </w:r>
      <w:bookmarkEnd w:id="199"/>
      <w:bookmarkEnd w:id="200"/>
      <w:bookmarkEnd w:id="201"/>
      <w:bookmarkEnd w:id="202"/>
      <w:bookmarkEnd w:id="203"/>
      <w:bookmarkEnd w:id="204"/>
    </w:p>
    <w:p>
      <w:pPr>
        <w:ind w:firstLine="643"/>
        <w:rPr>
          <w:rFonts w:ascii="仿宋_GB2312" w:hAnsi="仿宋_GB2312" w:cs="仿宋_GB2312"/>
          <w:color w:val="000000" w:themeColor="text1"/>
          <w:szCs w:val="32"/>
          <w:lang w:bidi="ar"/>
          <w14:textFill>
            <w14:solidFill>
              <w14:schemeClr w14:val="tx1"/>
            </w14:solidFill>
          </w14:textFill>
        </w:rPr>
      </w:pPr>
      <w:r>
        <w:rPr>
          <w:rFonts w:ascii="仿宋_GB2312" w:hAnsi="仿宋_GB2312" w:cs="仿宋_GB2312"/>
          <w:b/>
          <w:bCs/>
          <w:color w:val="000000" w:themeColor="text1"/>
          <w:szCs w:val="32"/>
          <w:lang w:bidi="ar"/>
          <w14:textFill>
            <w14:solidFill>
              <w14:schemeClr w14:val="tx1"/>
            </w14:solidFill>
          </w14:textFill>
        </w:rPr>
        <w:t>一是夯实专用装备基础，强化细分领域产业链优势。</w:t>
      </w:r>
      <w:r>
        <w:rPr>
          <w:rFonts w:ascii="仿宋_GB2312" w:hAnsi="仿宋_GB2312" w:cs="仿宋_GB2312"/>
          <w:color w:val="000000" w:themeColor="text1"/>
          <w:szCs w:val="32"/>
          <w:lang w:bidi="ar"/>
          <w14:textFill>
            <w14:solidFill>
              <w14:schemeClr w14:val="tx1"/>
            </w14:solidFill>
          </w14:textFill>
        </w:rPr>
        <w:t>依托高空作业设备、特种导电装备等既有产业基础，推动优势企业在核心零部件、整机系统及关键工艺等环节持续提升，增强产业链关键环节控制能力。围绕电气设备、精密仪器、新能源装备等方向，完善上下游配套体系，推动专用装备向高端化、成套化、系列化发展，逐步形成具有通州特色的智能装备产业链。</w:t>
      </w:r>
    </w:p>
    <w:p>
      <w:pPr>
        <w:ind w:firstLine="643"/>
        <w:rPr>
          <w:rFonts w:ascii="仿宋_GB2312" w:hAnsi="仿宋_GB2312" w:cs="仿宋_GB2312"/>
          <w:color w:val="000000" w:themeColor="text1"/>
          <w:szCs w:val="32"/>
          <w:lang w:bidi="ar"/>
          <w14:textFill>
            <w14:solidFill>
              <w14:schemeClr w14:val="tx1"/>
            </w14:solidFill>
          </w14:textFill>
        </w:rPr>
      </w:pPr>
      <w:r>
        <w:rPr>
          <w:rFonts w:ascii="仿宋_GB2312" w:hAnsi="仿宋_GB2312" w:cs="仿宋_GB2312"/>
          <w:b/>
          <w:bCs/>
          <w:color w:val="000000" w:themeColor="text1"/>
          <w:szCs w:val="32"/>
          <w:lang w:bidi="ar"/>
          <w14:textFill>
            <w14:solidFill>
              <w14:schemeClr w14:val="tx1"/>
            </w14:solidFill>
          </w14:textFill>
        </w:rPr>
        <w:t>二是推进制造体系升级，培育智能装备新兴赛道。</w:t>
      </w:r>
      <w:r>
        <w:rPr>
          <w:rFonts w:ascii="仿宋_GB2312" w:hAnsi="仿宋_GB2312" w:cs="仿宋_GB2312"/>
          <w:color w:val="000000" w:themeColor="text1"/>
          <w:szCs w:val="32"/>
          <w:lang w:bidi="ar"/>
          <w14:textFill>
            <w14:solidFill>
              <w14:schemeClr w14:val="tx1"/>
            </w14:solidFill>
          </w14:textFill>
        </w:rPr>
        <w:t>围绕装备制造全流程，推动设计研发、生产制造、检测运维等关键环节的数字化与智能化升级，提升产品性能和生产效率。依托区内智能工厂和示范企业，强化设备互联、在线检测、质量控制等能力建设，形成可复制的智能制造应用模式。聚焦台湖镇等重点区域，前瞻布局具身智能、特种机器人等新兴领域，以北京人形机器人创新中心等平台为载体，强化技术研发、场景验证与成果转化联动，打造机器人应用场景展示与迭代验证高地，推动新技术加快向产业化演进。</w:t>
      </w:r>
    </w:p>
    <w:p>
      <w:pPr>
        <w:ind w:firstLine="643"/>
        <w:rPr>
          <w:rFonts w:ascii="仿宋_GB2312" w:hAnsi="仿宋_GB2312" w:cs="仿宋_GB2312"/>
          <w:color w:val="000000" w:themeColor="text1"/>
          <w:szCs w:val="32"/>
          <w:lang w:bidi="ar"/>
          <w14:textFill>
            <w14:solidFill>
              <w14:schemeClr w14:val="tx1"/>
            </w14:solidFill>
          </w14:textFill>
        </w:rPr>
      </w:pPr>
      <w:r>
        <w:rPr>
          <w:rFonts w:ascii="仿宋_GB2312" w:hAnsi="仿宋_GB2312" w:cs="仿宋_GB2312"/>
          <w:b/>
          <w:bCs/>
          <w:color w:val="000000" w:themeColor="text1"/>
          <w:szCs w:val="32"/>
          <w:lang w:bidi="ar"/>
          <w14:textFill>
            <w14:solidFill>
              <w14:schemeClr w14:val="tx1"/>
            </w14:solidFill>
          </w14:textFill>
        </w:rPr>
        <w:t>三是拓展应用场景牵引，推动服务化转型与集群化发展。</w:t>
      </w:r>
      <w:r>
        <w:rPr>
          <w:rFonts w:ascii="仿宋_GB2312" w:hAnsi="仿宋_GB2312" w:cs="仿宋_GB2312"/>
          <w:color w:val="000000" w:themeColor="text1"/>
          <w:szCs w:val="32"/>
          <w:lang w:bidi="ar"/>
          <w14:textFill>
            <w14:solidFill>
              <w14:schemeClr w14:val="tx1"/>
            </w14:solidFill>
          </w14:textFill>
        </w:rPr>
        <w:t>引导企业由单一设备制造向系统集成和整体解决方案提供转型，提升“装备+软件+服务”综合能力。依托城市副中心在城市运行、公共服务、能源保障等领域的场景优势，推动智能装备在运维保障、监测检测等领域规模化应用，形成以场景应用带动产品迭代、以服务延伸提升附加值的发展路径。促进龙头企业与配套企业协同发展，推动产业由单点突破向集群化、生态化方向演进。</w:t>
      </w:r>
    </w:p>
    <w:p>
      <w:pPr>
        <w:pStyle w:val="4"/>
        <w:spacing w:before="0" w:after="0"/>
        <w:ind w:firstLine="640" w:firstLineChars="0"/>
        <w:rPr>
          <w:rFonts w:hint="default" w:ascii="黑体" w:hAnsi="黑体" w:eastAsia="黑体" w:cs="黑体"/>
          <w:b w:val="0"/>
          <w:bCs w:val="0"/>
          <w:color w:val="000000" w:themeColor="text1"/>
          <w:lang w:bidi="ar"/>
          <w14:textFill>
            <w14:solidFill>
              <w14:schemeClr w14:val="tx1"/>
            </w14:solidFill>
          </w14:textFill>
        </w:rPr>
      </w:pPr>
      <w:bookmarkStart w:id="205" w:name="_Toc228193710"/>
      <w:bookmarkStart w:id="206" w:name="_Toc29672"/>
      <w:bookmarkStart w:id="207" w:name="_Toc7457"/>
      <w:r>
        <w:rPr>
          <w:rFonts w:hint="eastAsia" w:ascii="黑体" w:hAnsi="黑体" w:eastAsia="黑体" w:cs="黑体"/>
          <w:b w:val="0"/>
          <w:bCs w:val="0"/>
          <w:color w:val="000000" w:themeColor="text1"/>
          <w:lang w:val="en-US" w:eastAsia="zh-CN"/>
          <w14:textFill>
            <w14:solidFill>
              <w14:schemeClr w14:val="tx1"/>
            </w14:solidFill>
          </w14:textFill>
        </w:rPr>
        <w:t>四</w:t>
      </w:r>
      <w:r>
        <w:rPr>
          <w:rFonts w:ascii="黑体" w:hAnsi="黑体" w:eastAsia="黑体" w:cs="黑体"/>
          <w:b w:val="0"/>
          <w:bCs w:val="0"/>
          <w:color w:val="000000" w:themeColor="text1"/>
          <w14:textFill>
            <w14:solidFill>
              <w14:schemeClr w14:val="tx1"/>
            </w14:solidFill>
          </w14:textFill>
        </w:rPr>
        <w:t>、服务城市高品质运行，发展绿色都市型产业</w:t>
      </w:r>
      <w:bookmarkEnd w:id="205"/>
      <w:bookmarkEnd w:id="206"/>
      <w:bookmarkEnd w:id="207"/>
    </w:p>
    <w:p>
      <w:pPr>
        <w:ind w:firstLine="643"/>
        <w:rPr>
          <w:rFonts w:ascii="仿宋_GB2312" w:hAnsi="仿宋_GB2312" w:cs="仿宋_GB2312"/>
          <w:b/>
          <w:bCs/>
          <w:color w:val="000000" w:themeColor="text1"/>
          <w:szCs w:val="32"/>
          <w:lang w:bidi="ar"/>
          <w14:textFill>
            <w14:solidFill>
              <w14:schemeClr w14:val="tx1"/>
            </w14:solidFill>
          </w14:textFill>
        </w:rPr>
      </w:pPr>
      <w:r>
        <w:rPr>
          <w:rFonts w:ascii="仿宋_GB2312" w:hAnsi="仿宋_GB2312" w:cs="仿宋_GB2312"/>
          <w:b/>
          <w:bCs/>
          <w:color w:val="000000" w:themeColor="text1"/>
          <w:szCs w:val="32"/>
          <w:lang w:bidi="ar"/>
          <w14:textFill>
            <w14:solidFill>
              <w14:schemeClr w14:val="tx1"/>
            </w14:solidFill>
          </w14:textFill>
        </w:rPr>
        <w:t>一是夯实产业基础，构建绿色都市产业体系。</w:t>
      </w:r>
      <w:r>
        <w:rPr>
          <w:rFonts w:ascii="仿宋_GB2312" w:hAnsi="仿宋_GB2312" w:cs="仿宋_GB2312"/>
          <w:color w:val="000000" w:themeColor="text1"/>
          <w:szCs w:val="32"/>
          <w:lang w:bidi="ar"/>
          <w14:textFill>
            <w14:solidFill>
              <w14:schemeClr w14:val="tx1"/>
            </w14:solidFill>
          </w14:textFill>
        </w:rPr>
        <w:t>围绕城市运行保障和品质消费需求，聚焦食品科技、家居设计等重点领域，发展高科技、高效能、高质量的绿色都市产业。推动产业由生产制造向研发设计、品牌运营、展示交易和供应链管理等高附加值环节延伸，提升产业对城市运行和居民生活的支撑能力，构建与</w:t>
      </w:r>
      <w:r>
        <w:rPr>
          <w:rFonts w:hint="eastAsia" w:ascii="仿宋_GB2312" w:hAnsi="仿宋_GB2312" w:cs="仿宋_GB2312"/>
          <w:color w:val="000000" w:themeColor="text1"/>
          <w:szCs w:val="32"/>
          <w:lang w:bidi="ar"/>
          <w14:textFill>
            <w14:solidFill>
              <w14:schemeClr w14:val="tx1"/>
            </w14:solidFill>
          </w14:textFill>
        </w:rPr>
        <w:t>城市</w:t>
      </w:r>
      <w:r>
        <w:rPr>
          <w:rFonts w:ascii="仿宋_GB2312" w:hAnsi="仿宋_GB2312" w:cs="仿宋_GB2312"/>
          <w:color w:val="000000" w:themeColor="text1"/>
          <w:szCs w:val="32"/>
          <w:lang w:bidi="ar"/>
          <w14:textFill>
            <w14:solidFill>
              <w14:schemeClr w14:val="tx1"/>
            </w14:solidFill>
          </w14:textFill>
        </w:rPr>
        <w:t>副中心功能定位相适应的都市产业体系。</w:t>
      </w:r>
    </w:p>
    <w:p>
      <w:pPr>
        <w:ind w:firstLine="643"/>
        <w:rPr>
          <w:rFonts w:ascii="仿宋_GB2312" w:hAnsi="仿宋_GB2312" w:cs="仿宋_GB2312"/>
          <w:color w:val="000000" w:themeColor="text1"/>
          <w:szCs w:val="32"/>
          <w:lang w:bidi="ar"/>
          <w14:textFill>
            <w14:solidFill>
              <w14:schemeClr w14:val="tx1"/>
            </w14:solidFill>
          </w14:textFill>
        </w:rPr>
      </w:pPr>
      <w:r>
        <w:rPr>
          <w:rFonts w:ascii="仿宋_GB2312" w:hAnsi="仿宋_GB2312" w:cs="仿宋_GB2312"/>
          <w:b/>
          <w:bCs/>
          <w:color w:val="000000" w:themeColor="text1"/>
          <w:szCs w:val="32"/>
          <w:lang w:bidi="ar"/>
          <w14:textFill>
            <w14:solidFill>
              <w14:schemeClr w14:val="tx1"/>
            </w14:solidFill>
          </w14:textFill>
        </w:rPr>
        <w:t>二是强化科技赋能，提升产业创新与品质供给能力。</w:t>
      </w:r>
      <w:r>
        <w:rPr>
          <w:rFonts w:ascii="仿宋_GB2312" w:hAnsi="仿宋_GB2312" w:cs="仿宋_GB2312"/>
          <w:color w:val="000000" w:themeColor="text1"/>
          <w:szCs w:val="32"/>
          <w:lang w:bidi="ar"/>
          <w14:textFill>
            <w14:solidFill>
              <w14:schemeClr w14:val="tx1"/>
            </w14:solidFill>
          </w14:textFill>
        </w:rPr>
        <w:t>以技术创新为引领，推动食品科技领域在营养设计、品质提升和绿色生产等方面实现突破，发展高端配料、精深加工和生物技术等方向，提升产品附加值和供给质量。引导家居产业向设计驱动和服务导向转型，强化定制设计、产品研发和品牌建设，培育以设计引领、服务延伸为特征的现代家居产业形态。</w:t>
      </w:r>
    </w:p>
    <w:p>
      <w:pPr>
        <w:ind w:firstLine="643"/>
        <w:rPr>
          <w:rFonts w:ascii="仿宋_GB2312" w:hAnsi="仿宋_GB2312" w:cs="仿宋_GB2312"/>
          <w:color w:val="000000" w:themeColor="text1"/>
          <w:szCs w:val="32"/>
          <w:lang w:bidi="ar"/>
          <w14:textFill>
            <w14:solidFill>
              <w14:schemeClr w14:val="tx1"/>
            </w14:solidFill>
          </w14:textFill>
        </w:rPr>
      </w:pPr>
      <w:r>
        <w:rPr>
          <w:rFonts w:ascii="仿宋_GB2312" w:hAnsi="仿宋_GB2312" w:cs="仿宋_GB2312"/>
          <w:b/>
          <w:bCs/>
          <w:color w:val="000000" w:themeColor="text1"/>
          <w:szCs w:val="32"/>
          <w:lang w:bidi="ar"/>
          <w14:textFill>
            <w14:solidFill>
              <w14:schemeClr w14:val="tx1"/>
            </w14:solidFill>
          </w14:textFill>
        </w:rPr>
        <w:t>三是</w:t>
      </w:r>
      <w:r>
        <w:rPr>
          <w:rFonts w:hint="eastAsia" w:ascii="仿宋_GB2312" w:hAnsi="仿宋_GB2312" w:cs="仿宋_GB2312"/>
          <w:b/>
          <w:bCs/>
          <w:color w:val="000000" w:themeColor="text1"/>
          <w:szCs w:val="32"/>
          <w:lang w:bidi="ar"/>
          <w14:textFill>
            <w14:solidFill>
              <w14:schemeClr w14:val="tx1"/>
            </w14:solidFill>
          </w14:textFill>
        </w:rPr>
        <w:t>强化</w:t>
      </w:r>
      <w:r>
        <w:rPr>
          <w:rFonts w:ascii="仿宋_GB2312" w:hAnsi="仿宋_GB2312" w:cs="仿宋_GB2312"/>
          <w:b/>
          <w:bCs/>
          <w:color w:val="000000" w:themeColor="text1"/>
          <w:szCs w:val="32"/>
          <w:lang w:bidi="ar"/>
          <w14:textFill>
            <w14:solidFill>
              <w14:schemeClr w14:val="tx1"/>
            </w14:solidFill>
          </w14:textFill>
        </w:rPr>
        <w:t>产业载体</w:t>
      </w:r>
      <w:r>
        <w:rPr>
          <w:rFonts w:hint="eastAsia" w:ascii="仿宋_GB2312" w:hAnsi="仿宋_GB2312" w:cs="仿宋_GB2312"/>
          <w:b/>
          <w:bCs/>
          <w:color w:val="000000" w:themeColor="text1"/>
          <w:szCs w:val="32"/>
          <w:lang w:bidi="ar"/>
          <w14:textFill>
            <w14:solidFill>
              <w14:schemeClr w14:val="tx1"/>
            </w14:solidFill>
          </w14:textFill>
        </w:rPr>
        <w:t>建设</w:t>
      </w:r>
      <w:r>
        <w:rPr>
          <w:rFonts w:ascii="仿宋_GB2312" w:hAnsi="仿宋_GB2312" w:cs="仿宋_GB2312"/>
          <w:b/>
          <w:bCs/>
          <w:color w:val="000000" w:themeColor="text1"/>
          <w:szCs w:val="32"/>
          <w:lang w:bidi="ar"/>
          <w14:textFill>
            <w14:solidFill>
              <w14:schemeClr w14:val="tx1"/>
            </w14:solidFill>
          </w14:textFill>
        </w:rPr>
        <w:t>，推动产业集聚与链条完善。</w:t>
      </w:r>
      <w:r>
        <w:rPr>
          <w:rFonts w:ascii="仿宋_GB2312" w:hAnsi="仿宋_GB2312" w:cs="仿宋_GB2312"/>
          <w:color w:val="000000" w:themeColor="text1"/>
          <w:szCs w:val="32"/>
          <w:lang w:bidi="ar"/>
          <w14:textFill>
            <w14:solidFill>
              <w14:schemeClr w14:val="tx1"/>
            </w14:solidFill>
          </w14:textFill>
        </w:rPr>
        <w:t>依托潞城</w:t>
      </w:r>
      <w:r>
        <w:rPr>
          <w:rFonts w:hint="eastAsia" w:ascii="仿宋_GB2312" w:hAnsi="仿宋_GB2312" w:cs="仿宋_GB2312"/>
          <w:color w:val="000000" w:themeColor="text1"/>
          <w:szCs w:val="32"/>
          <w:lang w:bidi="ar"/>
          <w14:textFill>
            <w14:solidFill>
              <w14:schemeClr w14:val="tx1"/>
            </w14:solidFill>
          </w14:textFill>
        </w:rPr>
        <w:t>镇</w:t>
      </w:r>
      <w:r>
        <w:rPr>
          <w:rFonts w:ascii="仿宋_GB2312" w:hAnsi="仿宋_GB2312" w:cs="仿宋_GB2312"/>
          <w:color w:val="000000" w:themeColor="text1"/>
          <w:szCs w:val="32"/>
          <w:lang w:bidi="ar"/>
          <w14:textFill>
            <w14:solidFill>
              <w14:schemeClr w14:val="tx1"/>
            </w14:solidFill>
          </w14:textFill>
        </w:rPr>
        <w:t>等重点区域，完善研发、展示、仓储配送等功能布局，推动食品科技产业集聚发展，打造具有规模效应的产业载体</w:t>
      </w:r>
      <w:r>
        <w:rPr>
          <w:rFonts w:hint="eastAsia" w:ascii="仿宋_GB2312" w:hAnsi="仿宋_GB2312" w:cs="仿宋_GB2312"/>
          <w:color w:val="000000" w:themeColor="text1"/>
          <w:szCs w:val="32"/>
          <w:lang w:bidi="ar"/>
          <w14:textFill>
            <w14:solidFill>
              <w14:schemeClr w14:val="tx1"/>
            </w14:solidFill>
          </w14:textFill>
        </w:rPr>
        <w:t>；</w:t>
      </w:r>
      <w:r>
        <w:rPr>
          <w:rFonts w:ascii="仿宋_GB2312" w:hAnsi="仿宋_GB2312" w:cs="仿宋_GB2312"/>
          <w:color w:val="000000" w:themeColor="text1"/>
          <w:szCs w:val="32"/>
          <w:lang w:bidi="ar"/>
          <w14:textFill>
            <w14:solidFill>
              <w14:schemeClr w14:val="tx1"/>
            </w14:solidFill>
          </w14:textFill>
        </w:rPr>
        <w:t>引导家居产业集聚设计机构、品牌企业和展示平台，强化与外部制造基地协同联动，推动绿色都市产业向集群化、网络化方向发展。</w:t>
      </w:r>
    </w:p>
    <w:p>
      <w:pPr>
        <w:pStyle w:val="3"/>
        <w:spacing w:before="0" w:after="0"/>
        <w:ind w:firstLine="0" w:firstLineChars="0"/>
        <w:jc w:val="center"/>
        <w:rPr>
          <w:rFonts w:hint="default" w:ascii="黑体" w:hAnsi="黑体" w:eastAsia="黑体" w:cs="黑体"/>
          <w:b w:val="0"/>
          <w:bCs w:val="0"/>
          <w:color w:val="000000" w:themeColor="text1"/>
          <w:sz w:val="32"/>
          <w:szCs w:val="32"/>
          <w14:textFill>
            <w14:solidFill>
              <w14:schemeClr w14:val="tx1"/>
            </w14:solidFill>
          </w14:textFill>
        </w:rPr>
      </w:pPr>
      <w:bookmarkStart w:id="208" w:name="_Toc9582"/>
      <w:bookmarkStart w:id="209" w:name="_Toc13926"/>
      <w:bookmarkStart w:id="210" w:name="_Toc28332"/>
      <w:bookmarkStart w:id="211" w:name="_Toc228193711"/>
      <w:bookmarkStart w:id="212" w:name="_Toc15112"/>
      <w:bookmarkStart w:id="213" w:name="_Toc4356"/>
      <w:r>
        <w:rPr>
          <w:rFonts w:hint="default" w:ascii="黑体" w:hAnsi="黑体" w:eastAsia="黑体" w:cs="黑体"/>
          <w:b w:val="0"/>
          <w:bCs w:val="0"/>
          <w:color w:val="000000" w:themeColor="text1"/>
          <w:sz w:val="32"/>
          <w:szCs w:val="32"/>
          <w14:textFill>
            <w14:solidFill>
              <w14:schemeClr w14:val="tx1"/>
            </w14:solidFill>
          </w14:textFill>
        </w:rPr>
        <w:t>第七章 数字经济：</w:t>
      </w:r>
      <w:bookmarkEnd w:id="208"/>
      <w:bookmarkEnd w:id="209"/>
      <w:bookmarkEnd w:id="210"/>
      <w:r>
        <w:rPr>
          <w:rFonts w:hint="default" w:ascii="黑体" w:hAnsi="黑体" w:eastAsia="黑体" w:cs="黑体"/>
          <w:b w:val="0"/>
          <w:bCs w:val="0"/>
          <w:color w:val="000000" w:themeColor="text1"/>
          <w:sz w:val="32"/>
          <w:szCs w:val="32"/>
          <w14:textFill>
            <w14:solidFill>
              <w14:schemeClr w14:val="tx1"/>
            </w14:solidFill>
          </w14:textFill>
        </w:rPr>
        <w:t>打造首都东部数字经济发展高地</w:t>
      </w:r>
      <w:bookmarkEnd w:id="211"/>
      <w:bookmarkEnd w:id="212"/>
      <w:bookmarkEnd w:id="213"/>
    </w:p>
    <w:p>
      <w:pPr>
        <w:pStyle w:val="4"/>
        <w:spacing w:before="0" w:after="0"/>
        <w:ind w:firstLine="640"/>
        <w:rPr>
          <w:rFonts w:hint="default" w:ascii="仿宋_GB2312" w:hAnsi="仿宋_GB2312" w:eastAsia="黑体" w:cs="仿宋_GB2312"/>
          <w:color w:val="000000" w:themeColor="text1"/>
          <w14:textFill>
            <w14:solidFill>
              <w14:schemeClr w14:val="tx1"/>
            </w14:solidFill>
          </w14:textFill>
        </w:rPr>
      </w:pPr>
      <w:bookmarkStart w:id="214" w:name="_Toc27840"/>
      <w:bookmarkStart w:id="215" w:name="_Toc228193712"/>
      <w:bookmarkStart w:id="216" w:name="_Toc4761"/>
      <w:bookmarkStart w:id="217" w:name="_Toc10589"/>
      <w:bookmarkStart w:id="218" w:name="_Toc10921"/>
      <w:bookmarkStart w:id="219" w:name="_Toc18392"/>
      <w:r>
        <w:rPr>
          <w:rFonts w:ascii="黑体" w:hAnsi="黑体" w:eastAsia="黑体" w:cs="黑体"/>
          <w:b w:val="0"/>
          <w:bCs w:val="0"/>
          <w:color w:val="000000" w:themeColor="text1"/>
          <w14:textFill>
            <w14:solidFill>
              <w14:schemeClr w14:val="tx1"/>
            </w14:solidFill>
          </w14:textFill>
        </w:rPr>
        <w:t>一、聚力人工智能发展，做强赋能全局的核心引擎</w:t>
      </w:r>
      <w:bookmarkEnd w:id="214"/>
      <w:bookmarkEnd w:id="215"/>
      <w:bookmarkEnd w:id="216"/>
      <w:bookmarkEnd w:id="217"/>
      <w:bookmarkEnd w:id="218"/>
      <w:bookmarkEnd w:id="219"/>
    </w:p>
    <w:p>
      <w:pPr>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一是夯实基础支撑，构建“算力—算法—数据”协同体系。</w:t>
      </w:r>
      <w:r>
        <w:rPr>
          <w:rFonts w:hint="eastAsia" w:ascii="仿宋_GB2312" w:hAnsi="仿宋_GB2312" w:cs="仿宋_GB2312"/>
          <w:color w:val="000000" w:themeColor="text1"/>
          <w:szCs w:val="32"/>
          <w:lang w:bidi="ar"/>
          <w14:textFill>
            <w14:solidFill>
              <w14:schemeClr w14:val="tx1"/>
            </w14:solidFill>
          </w14:textFill>
        </w:rPr>
        <w:t>依托数据基础制度先行区、数智北京创新中心等核心载体，加快构建高质量行业数据集、开放式算力服务平台和公共应用平台，推动算力、算法、数据协同供给。强化通用大模型与行业垂直模型协同发展，支持龙头企业开展大模型底座研发与评测验证，为人工智能深度赋能产业提供坚实底座。</w:t>
      </w:r>
    </w:p>
    <w:p>
      <w:pPr>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二是聚焦重点领域，打造“人工智能+”赋能引擎。</w:t>
      </w:r>
      <w:r>
        <w:rPr>
          <w:rFonts w:hint="eastAsia" w:ascii="仿宋_GB2312" w:hAnsi="仿宋_GB2312" w:cs="仿宋_GB2312"/>
          <w:color w:val="000000" w:themeColor="text1"/>
          <w:szCs w:val="32"/>
          <w:lang w:bidi="ar"/>
          <w14:textFill>
            <w14:solidFill>
              <w14:schemeClr w14:val="tx1"/>
            </w14:solidFill>
          </w14:textFill>
        </w:rPr>
        <w:t>重点围绕“人工智能+政务”“人工智能+医药健康”“人工智能+文旅”等领域，推动人工智能与先进制造、医疗康养、智能交通等主导产业深度融合，加快培育一批具有行业影响力的解决方案，赋能重点产业转型升级。</w:t>
      </w:r>
    </w:p>
    <w:p>
      <w:pPr>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三是培育创新主体，壮大人工智能产业集群。</w:t>
      </w:r>
      <w:r>
        <w:rPr>
          <w:rFonts w:hint="eastAsia" w:ascii="仿宋_GB2312" w:hAnsi="仿宋_GB2312" w:cs="仿宋_GB2312"/>
          <w:color w:val="000000" w:themeColor="text1"/>
          <w:szCs w:val="32"/>
          <w:lang w:bidi="ar"/>
          <w14:textFill>
            <w14:solidFill>
              <w14:schemeClr w14:val="tx1"/>
            </w14:solidFill>
          </w14:textFill>
        </w:rPr>
        <w:t>支持龙头企业联动西北工业大学北京研究院等科研力量，重点推动文旅、高端装备、通信安全等领域垂直行业大模型研发应用，加快形成“平台+应用+服务”的产业生态。依托数智北京创新中心等平台，引育计算机视觉、自然语言处理、智能硬件等领域高成长性企业，构建数据、算法、算力、场景协同验证转化体系。支持龙头企业联合科研机构共建联合实验室、中试平台等创新载体，举办“人工智能+”品牌活动，推动关键技术攻关与成果转化。</w:t>
      </w:r>
    </w:p>
    <w:p>
      <w:pPr>
        <w:pStyle w:val="4"/>
        <w:spacing w:before="0" w:after="0"/>
        <w:ind w:firstLine="640"/>
        <w:rPr>
          <w:rFonts w:hint="default" w:ascii="黑体" w:hAnsi="黑体" w:eastAsia="黑体" w:cs="黑体"/>
          <w:b w:val="0"/>
          <w:bCs w:val="0"/>
          <w:color w:val="000000" w:themeColor="text1"/>
          <w14:textFill>
            <w14:solidFill>
              <w14:schemeClr w14:val="tx1"/>
            </w14:solidFill>
          </w14:textFill>
        </w:rPr>
      </w:pPr>
      <w:bookmarkStart w:id="220" w:name="_Toc1058"/>
      <w:bookmarkStart w:id="221" w:name="_Toc29409"/>
      <w:bookmarkStart w:id="222" w:name="_Toc228193713"/>
      <w:bookmarkStart w:id="223" w:name="_Toc13178"/>
      <w:bookmarkStart w:id="224" w:name="_Toc16050"/>
      <w:bookmarkStart w:id="225" w:name="_Toc16852"/>
      <w:r>
        <w:rPr>
          <w:rFonts w:ascii="黑体" w:hAnsi="黑体" w:eastAsia="黑体" w:cs="黑体"/>
          <w:b w:val="0"/>
          <w:bCs w:val="0"/>
          <w:color w:val="000000" w:themeColor="text1"/>
          <w14:textFill>
            <w14:solidFill>
              <w14:schemeClr w14:val="tx1"/>
            </w14:solidFill>
          </w14:textFill>
        </w:rPr>
        <w:t>二、</w:t>
      </w:r>
      <w:r>
        <w:rPr>
          <w:rFonts w:ascii="黑体" w:hAnsi="黑体" w:eastAsia="黑体" w:cs="黑体"/>
          <w:b w:val="0"/>
          <w:bCs w:val="0"/>
          <w:color w:val="000000" w:themeColor="text1"/>
          <w:lang w:eastAsia="zh"/>
          <w14:textFill>
            <w14:solidFill>
              <w14:schemeClr w14:val="tx1"/>
            </w14:solidFill>
          </w14:textFill>
        </w:rPr>
        <w:t>筑牢网络安全屏障</w:t>
      </w:r>
      <w:r>
        <w:rPr>
          <w:rFonts w:ascii="黑体" w:hAnsi="黑体" w:eastAsia="黑体" w:cs="黑体"/>
          <w:b w:val="0"/>
          <w:bCs w:val="0"/>
          <w:color w:val="000000" w:themeColor="text1"/>
          <w14:textFill>
            <w14:solidFill>
              <w14:schemeClr w14:val="tx1"/>
            </w14:solidFill>
          </w14:textFill>
        </w:rPr>
        <w:t>，</w:t>
      </w:r>
      <w:r>
        <w:rPr>
          <w:rFonts w:ascii="黑体" w:hAnsi="黑体" w:eastAsia="黑体" w:cs="黑体"/>
          <w:b w:val="0"/>
          <w:bCs w:val="0"/>
          <w:color w:val="000000" w:themeColor="text1"/>
          <w:lang w:eastAsia="zh"/>
          <w14:textFill>
            <w14:solidFill>
              <w14:schemeClr w14:val="tx1"/>
            </w14:solidFill>
          </w14:textFill>
        </w:rPr>
        <w:t>夯实数字经济根基</w:t>
      </w:r>
      <w:bookmarkEnd w:id="220"/>
      <w:bookmarkEnd w:id="221"/>
      <w:bookmarkEnd w:id="222"/>
      <w:bookmarkEnd w:id="223"/>
      <w:bookmarkEnd w:id="224"/>
      <w:bookmarkEnd w:id="225"/>
    </w:p>
    <w:p>
      <w:pPr>
        <w:ind w:firstLine="643"/>
        <w:rPr>
          <w:rFonts w:ascii="仿宋_GB2312" w:hAnsi="仿宋_GB2312" w:cs="仿宋_GB2312"/>
          <w:color w:val="000000" w:themeColor="text1"/>
          <w:szCs w:val="32"/>
          <w:lang w:bidi="ar"/>
          <w14:textFill>
            <w14:solidFill>
              <w14:schemeClr w14:val="tx1"/>
            </w14:solidFill>
          </w14:textFill>
        </w:rPr>
      </w:pPr>
      <w:r>
        <w:rPr>
          <w:rFonts w:ascii="仿宋_GB2312" w:hAnsi="仿宋_GB2312" w:cs="仿宋_GB2312"/>
          <w:b/>
          <w:bCs/>
          <w:color w:val="000000" w:themeColor="text1"/>
          <w:szCs w:val="32"/>
          <w:lang w:bidi="ar"/>
          <w14:textFill>
            <w14:solidFill>
              <w14:schemeClr w14:val="tx1"/>
            </w14:solidFill>
          </w14:textFill>
        </w:rPr>
        <w:t>一是夯实数字底座，构建新一代信息基础设施体系。</w:t>
      </w:r>
      <w:r>
        <w:rPr>
          <w:rFonts w:ascii="仿宋_GB2312" w:hAnsi="仿宋_GB2312" w:cs="仿宋_GB2312"/>
          <w:color w:val="000000" w:themeColor="text1"/>
          <w:szCs w:val="32"/>
          <w:lang w:bidi="ar"/>
          <w14:textFill>
            <w14:solidFill>
              <w14:schemeClr w14:val="tx1"/>
            </w14:solidFill>
          </w14:textFill>
        </w:rPr>
        <w:t>坚持基础设施先行，</w:t>
      </w:r>
      <w:r>
        <w:rPr>
          <w:rFonts w:hint="eastAsia" w:ascii="仿宋_GB2312" w:hAnsi="仿宋_GB2312" w:cs="仿宋_GB2312"/>
          <w:color w:val="000000" w:themeColor="text1"/>
          <w:szCs w:val="32"/>
          <w:lang w:bidi="ar"/>
          <w14:textFill>
            <w14:solidFill>
              <w14:schemeClr w14:val="tx1"/>
            </w14:solidFill>
          </w14:textFill>
        </w:rPr>
        <w:t>建设中国信通院“国家信息通信技术产业创新基地”</w:t>
      </w:r>
      <w:r>
        <w:rPr>
          <w:rFonts w:ascii="仿宋_GB2312" w:hAnsi="仿宋_GB2312" w:cs="仿宋_GB2312"/>
          <w:color w:val="000000" w:themeColor="text1"/>
          <w:szCs w:val="32"/>
          <w:lang w:bidi="ar"/>
          <w14:textFill>
            <w14:solidFill>
              <w14:schemeClr w14:val="tx1"/>
            </w14:solidFill>
          </w14:textFill>
        </w:rPr>
        <w:t>等重大平台，加快推进5G</w:t>
      </w:r>
      <w:r>
        <w:rPr>
          <w:rFonts w:hint="eastAsia" w:ascii="仿宋_GB2312" w:hAnsi="仿宋_GB2312" w:cs="仿宋_GB2312"/>
          <w:color w:val="000000" w:themeColor="text1"/>
          <w:szCs w:val="32"/>
          <w:lang w:bidi="ar"/>
          <w14:textFill>
            <w14:solidFill>
              <w14:schemeClr w14:val="tx1"/>
            </w14:solidFill>
          </w14:textFill>
        </w:rPr>
        <w:t>-</w:t>
      </w:r>
      <w:r>
        <w:rPr>
          <w:rFonts w:ascii="仿宋_GB2312" w:hAnsi="仿宋_GB2312" w:cs="仿宋_GB2312"/>
          <w:color w:val="000000" w:themeColor="text1"/>
          <w:szCs w:val="32"/>
          <w:lang w:bidi="ar"/>
          <w14:textFill>
            <w14:solidFill>
              <w14:schemeClr w14:val="tx1"/>
            </w14:solidFill>
          </w14:textFill>
        </w:rPr>
        <w:t>A、F5G</w:t>
      </w:r>
      <w:r>
        <w:rPr>
          <w:rFonts w:hint="eastAsia" w:ascii="仿宋_GB2312" w:hAnsi="仿宋_GB2312" w:cs="仿宋_GB2312"/>
          <w:color w:val="000000" w:themeColor="text1"/>
          <w:szCs w:val="32"/>
          <w:lang w:bidi="ar"/>
          <w14:textFill>
            <w14:solidFill>
              <w14:schemeClr w14:val="tx1"/>
            </w14:solidFill>
          </w14:textFill>
        </w:rPr>
        <w:t>-</w:t>
      </w:r>
      <w:r>
        <w:rPr>
          <w:rFonts w:ascii="仿宋_GB2312" w:hAnsi="仿宋_GB2312" w:cs="仿宋_GB2312"/>
          <w:color w:val="000000" w:themeColor="text1"/>
          <w:szCs w:val="32"/>
          <w:lang w:bidi="ar"/>
          <w14:textFill>
            <w14:solidFill>
              <w14:schemeClr w14:val="tx1"/>
            </w14:solidFill>
          </w14:textFill>
        </w:rPr>
        <w:t>A等新一代网络部署，推动IPv6规模化应用。</w:t>
      </w:r>
    </w:p>
    <w:p>
      <w:pPr>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二是打造自主可控信创生态，推动产业链集聚发展。</w:t>
      </w:r>
      <w:r>
        <w:rPr>
          <w:rFonts w:hint="eastAsia" w:ascii="仿宋_GB2312" w:hAnsi="仿宋_GB2312" w:cs="仿宋_GB2312"/>
          <w:color w:val="000000" w:themeColor="text1"/>
          <w:szCs w:val="32"/>
          <w:lang w:bidi="ar"/>
          <w14:textFill>
            <w14:solidFill>
              <w14:schemeClr w14:val="tx1"/>
            </w14:solidFill>
          </w14:textFill>
        </w:rPr>
        <w:t>以京津冀信创小镇为依托，聚焦芯片、整机、操作系统等关键环节，加快引育龙头企业和“专精特新”企业，推动形成覆盖基础软硬件到应用服务的信创产业链。发挥西北工业大学北京研究院等创新资源优势，推动自主工业软件、信创适配验证等领域技术突破和成果转化。</w:t>
      </w:r>
    </w:p>
    <w:p>
      <w:pPr>
        <w:pStyle w:val="4"/>
        <w:spacing w:before="0" w:after="0"/>
        <w:ind w:firstLine="640"/>
        <w:rPr>
          <w:rFonts w:hint="default" w:ascii="黑体" w:hAnsi="黑体" w:eastAsia="黑体" w:cs="黑体"/>
          <w:b w:val="0"/>
          <w:bCs w:val="0"/>
          <w:color w:val="000000" w:themeColor="text1"/>
          <w14:textFill>
            <w14:solidFill>
              <w14:schemeClr w14:val="tx1"/>
            </w14:solidFill>
          </w14:textFill>
        </w:rPr>
      </w:pPr>
      <w:bookmarkStart w:id="226" w:name="_Toc17099"/>
      <w:bookmarkStart w:id="227" w:name="_Toc12192"/>
      <w:bookmarkStart w:id="228" w:name="_Toc228193714"/>
      <w:bookmarkStart w:id="229" w:name="_Toc7015"/>
      <w:bookmarkStart w:id="230" w:name="_Toc24858"/>
      <w:bookmarkStart w:id="231" w:name="_Toc13989"/>
      <w:r>
        <w:rPr>
          <w:rFonts w:ascii="黑体" w:hAnsi="黑体" w:eastAsia="黑体" w:cs="黑体"/>
          <w:b w:val="0"/>
          <w:bCs w:val="0"/>
          <w:color w:val="000000" w:themeColor="text1"/>
          <w14:textFill>
            <w14:solidFill>
              <w14:schemeClr w14:val="tx1"/>
            </w14:solidFill>
          </w14:textFill>
        </w:rPr>
        <w:t>三</w:t>
      </w:r>
      <w:r>
        <w:rPr>
          <w:rFonts w:hint="default" w:ascii="黑体" w:hAnsi="黑体" w:eastAsia="黑体" w:cs="黑体"/>
          <w:b w:val="0"/>
          <w:bCs w:val="0"/>
          <w:color w:val="000000" w:themeColor="text1"/>
          <w14:textFill>
            <w14:solidFill>
              <w14:schemeClr w14:val="tx1"/>
            </w14:solidFill>
          </w14:textFill>
        </w:rPr>
        <w:t>、做</w:t>
      </w:r>
      <w:r>
        <w:rPr>
          <w:rFonts w:ascii="黑体" w:hAnsi="黑体" w:eastAsia="黑体" w:cs="黑体"/>
          <w:b w:val="0"/>
          <w:bCs w:val="0"/>
          <w:color w:val="000000" w:themeColor="text1"/>
          <w14:textFill>
            <w14:solidFill>
              <w14:schemeClr w14:val="tx1"/>
            </w14:solidFill>
          </w14:textFill>
        </w:rPr>
        <w:t>优</w:t>
      </w:r>
      <w:r>
        <w:rPr>
          <w:rFonts w:hint="default" w:ascii="黑体" w:hAnsi="黑体" w:eastAsia="黑体" w:cs="黑体"/>
          <w:b w:val="0"/>
          <w:bCs w:val="0"/>
          <w:color w:val="000000" w:themeColor="text1"/>
          <w14:textFill>
            <w14:solidFill>
              <w14:schemeClr w14:val="tx1"/>
            </w14:solidFill>
          </w14:textFill>
        </w:rPr>
        <w:t>数据产业，打造</w:t>
      </w:r>
      <w:r>
        <w:rPr>
          <w:rFonts w:hint="default" w:ascii="黑体" w:hAnsi="黑体" w:eastAsia="黑体" w:cs="黑体"/>
          <w:b w:val="0"/>
          <w:bCs w:val="0"/>
          <w:color w:val="000000" w:themeColor="text1"/>
          <w:lang w:eastAsia="zh"/>
          <w14:textFill>
            <w14:solidFill>
              <w14:schemeClr w14:val="tx1"/>
            </w14:solidFill>
          </w14:textFill>
        </w:rPr>
        <w:t>首都</w:t>
      </w:r>
      <w:r>
        <w:rPr>
          <w:rFonts w:hint="default" w:ascii="黑体" w:hAnsi="黑体" w:eastAsia="黑体" w:cs="黑体"/>
          <w:b w:val="0"/>
          <w:bCs w:val="0"/>
          <w:color w:val="000000" w:themeColor="text1"/>
          <w14:textFill>
            <w14:solidFill>
              <w14:schemeClr w14:val="tx1"/>
            </w14:solidFill>
          </w14:textFill>
        </w:rPr>
        <w:t>数据流通</w:t>
      </w:r>
      <w:r>
        <w:rPr>
          <w:rFonts w:ascii="黑体" w:hAnsi="黑体" w:eastAsia="黑体" w:cs="黑体"/>
          <w:b w:val="0"/>
          <w:bCs w:val="0"/>
          <w:color w:val="000000" w:themeColor="text1"/>
          <w:lang w:eastAsia="zh"/>
          <w14:textFill>
            <w14:solidFill>
              <w14:schemeClr w14:val="tx1"/>
            </w14:solidFill>
          </w14:textFill>
        </w:rPr>
        <w:t>枢纽</w:t>
      </w:r>
      <w:bookmarkEnd w:id="226"/>
      <w:bookmarkEnd w:id="227"/>
      <w:bookmarkEnd w:id="228"/>
      <w:bookmarkEnd w:id="229"/>
      <w:bookmarkEnd w:id="230"/>
      <w:bookmarkEnd w:id="231"/>
    </w:p>
    <w:p>
      <w:pPr>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一是夯实数据基础，激活数据要素产业动能。</w:t>
      </w:r>
      <w:r>
        <w:rPr>
          <w:rFonts w:hint="eastAsia" w:ascii="仿宋_GB2312" w:hAnsi="仿宋_GB2312" w:cs="仿宋_GB2312"/>
          <w:color w:val="000000" w:themeColor="text1"/>
          <w:szCs w:val="32"/>
          <w:lang w:bidi="ar"/>
          <w14:textFill>
            <w14:solidFill>
              <w14:schemeClr w14:val="tx1"/>
            </w14:solidFill>
          </w14:textFill>
        </w:rPr>
        <w:t>发挥北京数据基础制度先行示范区核心载体优势，推动政务、公共事业、空间地理等重点领域数据汇聚与有序开放。加快推进</w:t>
      </w:r>
      <w:r>
        <w:rPr>
          <w:rFonts w:ascii="仿宋_GB2312" w:hAnsi="仿宋_GB2312" w:cs="仿宋_GB2312"/>
          <w:color w:val="000000" w:themeColor="text1"/>
          <w:szCs w:val="32"/>
          <w:lang w:bidi="ar"/>
          <w14:textFill>
            <w14:solidFill>
              <w14:schemeClr w14:val="tx1"/>
            </w14:solidFill>
          </w14:textFill>
        </w:rPr>
        <w:t>21</w:t>
      </w:r>
      <w:r>
        <w:rPr>
          <w:rFonts w:hint="eastAsia" w:ascii="仿宋_GB2312" w:hAnsi="仿宋_GB2312" w:cs="仿宋_GB2312"/>
          <w:color w:val="000000" w:themeColor="text1"/>
          <w:szCs w:val="32"/>
          <w:lang w:bidi="ar"/>
          <w14:textFill>
            <w14:solidFill>
              <w14:schemeClr w14:val="tx1"/>
            </w14:solidFill>
          </w14:textFill>
        </w:rPr>
        <w:t>世纪空间技术平台项目建设，打造卫星数据应用示范，带动空间信息产业发展。前瞻布局</w:t>
      </w:r>
      <w:r>
        <w:rPr>
          <w:rFonts w:ascii="仿宋_GB2312" w:hAnsi="仿宋_GB2312" w:cs="仿宋_GB2312"/>
          <w:color w:val="000000" w:themeColor="text1"/>
          <w:szCs w:val="32"/>
          <w:lang w:bidi="ar"/>
          <w14:textFill>
            <w14:solidFill>
              <w14:schemeClr w14:val="tx1"/>
            </w14:solidFill>
          </w14:textFill>
        </w:rPr>
        <w:t>6G</w:t>
      </w:r>
      <w:r>
        <w:rPr>
          <w:rFonts w:hint="eastAsia" w:ascii="仿宋_GB2312" w:hAnsi="仿宋_GB2312" w:cs="仿宋_GB2312"/>
          <w:color w:val="000000" w:themeColor="text1"/>
          <w:szCs w:val="32"/>
          <w:lang w:bidi="ar"/>
          <w14:textFill>
            <w14:solidFill>
              <w14:schemeClr w14:val="tx1"/>
            </w14:solidFill>
          </w14:textFill>
        </w:rPr>
        <w:t>微型基站、智能传感器和边缘算力节点，构建全域感知、实时交互的城市数字感知网络，带动感知终端、通信设备、边缘计算等相关产业协同发展，夯实数据要素流通基础。</w:t>
      </w:r>
    </w:p>
    <w:p>
      <w:pPr>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二是强化算力支撑，构建高效算力服务体系</w:t>
      </w:r>
      <w:r>
        <w:rPr>
          <w:rFonts w:hint="eastAsia" w:ascii="仿宋_GB2312" w:hAnsi="仿宋_GB2312" w:cs="仿宋_GB2312"/>
          <w:color w:val="000000" w:themeColor="text1"/>
          <w:szCs w:val="32"/>
          <w:lang w:bidi="ar"/>
          <w14:textFill>
            <w14:solidFill>
              <w14:schemeClr w14:val="tx1"/>
            </w14:solidFill>
          </w14:textFill>
        </w:rPr>
        <w:t>。统筹区内现有算力资源，构建面向人工智能、网安信创等产业的算力支撑体系。支持算力调度中心建设，推动算力资源与产业需求精准对接，重点保障人工智能大模型训练、行业垂类模型研发、网安产业创新等领域算力需求。依托城市大脑基础支撑平台和数字孪生平台，推进产业大脑、算力调度等平台协同运行，赋能产业智能化升级。</w:t>
      </w:r>
    </w:p>
    <w:p>
      <w:pPr>
        <w:pStyle w:val="3"/>
        <w:spacing w:before="0" w:after="0"/>
        <w:ind w:firstLine="0" w:firstLineChars="0"/>
        <w:jc w:val="center"/>
        <w:rPr>
          <w:rFonts w:hint="default" w:ascii="黑体" w:hAnsi="黑体" w:eastAsia="黑体" w:cs="黑体"/>
          <w:b w:val="0"/>
          <w:bCs w:val="0"/>
          <w:color w:val="000000" w:themeColor="text1"/>
          <w:sz w:val="32"/>
          <w:szCs w:val="32"/>
          <w:lang w:eastAsia="zh"/>
          <w14:textFill>
            <w14:solidFill>
              <w14:schemeClr w14:val="tx1"/>
            </w14:solidFill>
          </w14:textFill>
        </w:rPr>
      </w:pPr>
      <w:bookmarkStart w:id="232" w:name="_Toc14564"/>
      <w:bookmarkEnd w:id="232"/>
      <w:bookmarkStart w:id="233" w:name="_Toc20524"/>
      <w:bookmarkEnd w:id="233"/>
      <w:bookmarkStart w:id="234" w:name="_Toc30044"/>
      <w:bookmarkEnd w:id="234"/>
      <w:bookmarkStart w:id="235" w:name="_Toc7932"/>
      <w:bookmarkEnd w:id="235"/>
      <w:bookmarkStart w:id="236" w:name="_Toc223085218"/>
      <w:bookmarkEnd w:id="236"/>
      <w:bookmarkStart w:id="237" w:name="_Toc3036"/>
      <w:bookmarkEnd w:id="237"/>
      <w:bookmarkStart w:id="238" w:name="_Toc27911"/>
      <w:bookmarkEnd w:id="238"/>
      <w:bookmarkStart w:id="239" w:name="_Toc10449"/>
      <w:bookmarkEnd w:id="239"/>
      <w:bookmarkStart w:id="240" w:name="_Toc5329"/>
      <w:bookmarkEnd w:id="240"/>
      <w:bookmarkStart w:id="241" w:name="_Toc15414"/>
      <w:bookmarkEnd w:id="241"/>
      <w:bookmarkStart w:id="242" w:name="_Toc3758"/>
      <w:bookmarkStart w:id="243" w:name="_Toc9133"/>
      <w:bookmarkStart w:id="244" w:name="_Toc26484"/>
      <w:bookmarkStart w:id="245" w:name="_Toc13849"/>
      <w:bookmarkStart w:id="246" w:name="_Toc228193715"/>
      <w:bookmarkStart w:id="247" w:name="_Toc13658"/>
      <w:r>
        <w:rPr>
          <w:rFonts w:hint="default" w:ascii="黑体" w:hAnsi="黑体" w:eastAsia="黑体" w:cs="黑体"/>
          <w:b w:val="0"/>
          <w:bCs w:val="0"/>
          <w:color w:val="000000" w:themeColor="text1"/>
          <w:sz w:val="32"/>
          <w:szCs w:val="32"/>
          <w14:textFill>
            <w14:solidFill>
              <w14:schemeClr w14:val="tx1"/>
            </w14:solidFill>
          </w14:textFill>
        </w:rPr>
        <w:t xml:space="preserve">第八章 </w:t>
      </w:r>
      <w:r>
        <w:rPr>
          <w:rFonts w:hint="default" w:ascii="黑体" w:hAnsi="黑体" w:eastAsia="黑体" w:cs="黑体"/>
          <w:b w:val="0"/>
          <w:bCs w:val="0"/>
          <w:color w:val="000000" w:themeColor="text1"/>
          <w:sz w:val="32"/>
          <w:szCs w:val="32"/>
          <w:lang w:eastAsia="zh"/>
          <w14:textFill>
            <w14:solidFill>
              <w14:schemeClr w14:val="tx1"/>
            </w14:solidFill>
          </w14:textFill>
        </w:rPr>
        <w:t>现代金融：</w:t>
      </w:r>
      <w:bookmarkEnd w:id="242"/>
      <w:bookmarkEnd w:id="243"/>
      <w:bookmarkEnd w:id="244"/>
      <w:r>
        <w:rPr>
          <w:rFonts w:ascii="黑体" w:hAnsi="黑体" w:eastAsia="黑体" w:cs="黑体"/>
          <w:b w:val="0"/>
          <w:bCs w:val="0"/>
          <w:color w:val="000000" w:themeColor="text1"/>
          <w:sz w:val="32"/>
          <w:szCs w:val="32"/>
          <w14:textFill>
            <w14:solidFill>
              <w14:schemeClr w14:val="tx1"/>
            </w14:solidFill>
          </w14:textFill>
        </w:rPr>
        <w:t>建设</w:t>
      </w:r>
      <w:r>
        <w:rPr>
          <w:rFonts w:hint="default" w:ascii="黑体" w:hAnsi="黑体" w:eastAsia="黑体" w:cs="黑体"/>
          <w:b w:val="0"/>
          <w:bCs w:val="0"/>
          <w:color w:val="000000" w:themeColor="text1"/>
          <w:sz w:val="32"/>
          <w:szCs w:val="32"/>
          <w:lang w:eastAsia="zh"/>
          <w14:textFill>
            <w14:solidFill>
              <w14:schemeClr w14:val="tx1"/>
            </w14:solidFill>
          </w14:textFill>
        </w:rPr>
        <w:t>财富管理</w:t>
      </w:r>
      <w:r>
        <w:rPr>
          <w:rFonts w:ascii="黑体" w:hAnsi="黑体" w:eastAsia="黑体" w:cs="黑体"/>
          <w:b w:val="0"/>
          <w:bCs w:val="0"/>
          <w:color w:val="000000" w:themeColor="text1"/>
          <w:sz w:val="32"/>
          <w:szCs w:val="32"/>
          <w14:textFill>
            <w14:solidFill>
              <w14:schemeClr w14:val="tx1"/>
            </w14:solidFill>
          </w14:textFill>
        </w:rPr>
        <w:t>与</w:t>
      </w:r>
      <w:r>
        <w:rPr>
          <w:rFonts w:hint="default" w:ascii="黑体" w:hAnsi="黑体" w:eastAsia="黑体" w:cs="黑体"/>
          <w:b w:val="0"/>
          <w:bCs w:val="0"/>
          <w:color w:val="000000" w:themeColor="text1"/>
          <w:sz w:val="32"/>
          <w:szCs w:val="32"/>
          <w:lang w:eastAsia="zh"/>
          <w14:textFill>
            <w14:solidFill>
              <w14:schemeClr w14:val="tx1"/>
            </w14:solidFill>
          </w14:textFill>
        </w:rPr>
        <w:t>绿色金融重要承载区</w:t>
      </w:r>
      <w:bookmarkEnd w:id="245"/>
      <w:bookmarkEnd w:id="246"/>
      <w:bookmarkEnd w:id="247"/>
    </w:p>
    <w:p>
      <w:pPr>
        <w:pStyle w:val="4"/>
        <w:spacing w:before="0" w:after="0"/>
        <w:ind w:firstLine="640"/>
        <w:rPr>
          <w:rFonts w:hint="default" w:ascii="黑体" w:hAnsi="黑体" w:eastAsia="黑体" w:cs="黑体"/>
          <w:b w:val="0"/>
          <w:bCs w:val="0"/>
          <w:color w:val="000000" w:themeColor="text1"/>
          <w:lang w:eastAsia="zh"/>
          <w14:textFill>
            <w14:solidFill>
              <w14:schemeClr w14:val="tx1"/>
            </w14:solidFill>
          </w14:textFill>
        </w:rPr>
      </w:pPr>
      <w:bookmarkStart w:id="248" w:name="_Toc20172"/>
      <w:bookmarkStart w:id="249" w:name="_Toc32448"/>
      <w:bookmarkStart w:id="250" w:name="_Toc29043"/>
      <w:bookmarkStart w:id="251" w:name="_Toc10124"/>
      <w:bookmarkStart w:id="252" w:name="_Toc228193716"/>
      <w:bookmarkStart w:id="253" w:name="_Toc20850"/>
      <w:r>
        <w:rPr>
          <w:rFonts w:ascii="黑体" w:hAnsi="黑体" w:eastAsia="黑体" w:cs="黑体"/>
          <w:b w:val="0"/>
          <w:bCs w:val="0"/>
          <w:color w:val="000000" w:themeColor="text1"/>
          <w14:textFill>
            <w14:solidFill>
              <w14:schemeClr w14:val="tx1"/>
            </w14:solidFill>
          </w14:textFill>
        </w:rPr>
        <w:t>一、</w:t>
      </w:r>
      <w:bookmarkEnd w:id="248"/>
      <w:r>
        <w:rPr>
          <w:rFonts w:hint="default" w:ascii="黑体" w:hAnsi="黑体" w:eastAsia="黑体" w:cs="黑体"/>
          <w:b w:val="0"/>
          <w:bCs w:val="0"/>
          <w:color w:val="000000" w:themeColor="text1"/>
          <w14:textFill>
            <w14:solidFill>
              <w14:schemeClr w14:val="tx1"/>
            </w14:solidFill>
          </w14:textFill>
        </w:rPr>
        <w:t>集聚一流优质金融机构，构建财富管理生态体系</w:t>
      </w:r>
      <w:bookmarkEnd w:id="249"/>
      <w:bookmarkEnd w:id="250"/>
      <w:bookmarkEnd w:id="251"/>
      <w:bookmarkEnd w:id="252"/>
      <w:bookmarkEnd w:id="253"/>
    </w:p>
    <w:p>
      <w:pPr>
        <w:ind w:firstLine="643"/>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bCs/>
          <w:color w:val="000000" w:themeColor="text1"/>
          <w:szCs w:val="32"/>
          <w14:textFill>
            <w14:solidFill>
              <w14:schemeClr w14:val="tx1"/>
            </w14:solidFill>
          </w14:textFill>
        </w:rPr>
        <w:t>一是集聚财富管理新兴机构。</w:t>
      </w:r>
      <w:r>
        <w:rPr>
          <w:rFonts w:hint="eastAsia" w:ascii="仿宋_GB2312" w:hAnsi="仿宋_GB2312" w:cs="仿宋_GB2312"/>
          <w:color w:val="000000" w:themeColor="text1"/>
          <w:szCs w:val="32"/>
          <w14:textFill>
            <w14:solidFill>
              <w14:schemeClr w14:val="tx1"/>
            </w14:solidFill>
          </w14:textFill>
        </w:rPr>
        <w:t>紧盯首都金融业发展全局，抢抓国家金融业扩大开放、供给侧改革政策机遇，在非首都功能加快疏解进程中，以运河商务区为重要承载区，落地一批国内外商业银行理财公司、保险及证券资管公司、资产管理机构、专业投资机构等金融业态。</w:t>
      </w:r>
    </w:p>
    <w:p>
      <w:pPr>
        <w:ind w:firstLine="643"/>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bCs/>
          <w:color w:val="000000" w:themeColor="text1"/>
          <w:szCs w:val="32"/>
          <w14:textFill>
            <w14:solidFill>
              <w14:schemeClr w14:val="tx1"/>
            </w14:solidFill>
          </w14:textFill>
        </w:rPr>
        <w:t>二是支持财富管理服务创新。</w:t>
      </w:r>
      <w:r>
        <w:rPr>
          <w:rFonts w:hint="eastAsia" w:ascii="仿宋_GB2312" w:hAnsi="仿宋_GB2312" w:cs="仿宋_GB2312"/>
          <w:color w:val="000000" w:themeColor="text1"/>
          <w:szCs w:val="32"/>
          <w14:textFill>
            <w14:solidFill>
              <w14:schemeClr w14:val="tx1"/>
            </w14:solidFill>
          </w14:textFill>
        </w:rPr>
        <w:t>鼓励会计、审计、税务、法律等基础性服务机构与财富管理机构展业合作，发展财富顾问服务、税务合规计划、资产配置、投融资规划等专业化业务，培育面向高净值客户、机构客户的新型财富管理服务链。依托“两区”建设政策优势，便利金融机构开展跨境资产管理。</w:t>
      </w:r>
    </w:p>
    <w:p>
      <w:pPr>
        <w:pStyle w:val="4"/>
        <w:spacing w:before="0" w:after="0"/>
        <w:ind w:firstLine="640"/>
        <w:rPr>
          <w:rFonts w:hint="default" w:ascii="黑体" w:hAnsi="黑体" w:eastAsia="黑体" w:cs="黑体"/>
          <w:b w:val="0"/>
          <w:bCs w:val="0"/>
          <w:color w:val="000000" w:themeColor="text1"/>
          <w:lang w:eastAsia="zh"/>
          <w14:textFill>
            <w14:solidFill>
              <w14:schemeClr w14:val="tx1"/>
            </w14:solidFill>
          </w14:textFill>
        </w:rPr>
      </w:pPr>
      <w:bookmarkStart w:id="254" w:name="_Toc12993"/>
      <w:bookmarkStart w:id="255" w:name="_Toc31444"/>
      <w:bookmarkStart w:id="256" w:name="_Toc7355"/>
      <w:bookmarkStart w:id="257" w:name="_Toc6404"/>
      <w:bookmarkStart w:id="258" w:name="_Toc228193717"/>
      <w:bookmarkStart w:id="259" w:name="_Toc25972"/>
      <w:r>
        <w:rPr>
          <w:rFonts w:ascii="黑体" w:hAnsi="黑体" w:eastAsia="黑体" w:cs="黑体"/>
          <w:b w:val="0"/>
          <w:bCs w:val="0"/>
          <w:color w:val="000000" w:themeColor="text1"/>
          <w14:textFill>
            <w14:solidFill>
              <w14:schemeClr w14:val="tx1"/>
            </w14:solidFill>
          </w14:textFill>
        </w:rPr>
        <w:t>二</w:t>
      </w:r>
      <w:r>
        <w:rPr>
          <w:rFonts w:hint="default" w:ascii="黑体" w:hAnsi="黑体" w:eastAsia="黑体" w:cs="黑体"/>
          <w:b w:val="0"/>
          <w:bCs w:val="0"/>
          <w:color w:val="000000" w:themeColor="text1"/>
          <w14:textFill>
            <w14:solidFill>
              <w14:schemeClr w14:val="tx1"/>
            </w14:solidFill>
          </w14:textFill>
        </w:rPr>
        <w:t>、</w:t>
      </w:r>
      <w:bookmarkEnd w:id="254"/>
      <w:r>
        <w:rPr>
          <w:rFonts w:hint="default" w:ascii="黑体" w:hAnsi="黑体" w:eastAsia="黑体" w:cs="黑体"/>
          <w:b w:val="0"/>
          <w:bCs w:val="0"/>
          <w:color w:val="000000" w:themeColor="text1"/>
          <w14:textFill>
            <w14:solidFill>
              <w14:schemeClr w14:val="tx1"/>
            </w14:solidFill>
          </w14:textFill>
        </w:rPr>
        <w:t>强化绿色金融创新功能，打造首都绿色金融高地</w:t>
      </w:r>
      <w:bookmarkEnd w:id="255"/>
      <w:bookmarkEnd w:id="256"/>
      <w:bookmarkEnd w:id="257"/>
      <w:bookmarkEnd w:id="258"/>
      <w:bookmarkEnd w:id="259"/>
    </w:p>
    <w:p>
      <w:pPr>
        <w:ind w:firstLine="643"/>
        <w:rPr>
          <w:rFonts w:ascii="仿宋_GB2312" w:hAnsi="仿宋_GB2312" w:cs="仿宋_GB2312"/>
          <w:b/>
          <w:bCs/>
          <w:color w:val="000000" w:themeColor="text1"/>
          <w:szCs w:val="32"/>
          <w14:textFill>
            <w14:solidFill>
              <w14:schemeClr w14:val="tx1"/>
            </w14:solidFill>
          </w14:textFill>
        </w:rPr>
      </w:pPr>
      <w:r>
        <w:rPr>
          <w:rFonts w:hint="eastAsia" w:ascii="仿宋_GB2312" w:hAnsi="仿宋_GB2312" w:cs="仿宋_GB2312"/>
          <w:b/>
          <w:bCs/>
          <w:color w:val="000000" w:themeColor="text1"/>
          <w:szCs w:val="32"/>
          <w14:textFill>
            <w14:solidFill>
              <w14:schemeClr w14:val="tx1"/>
            </w14:solidFill>
          </w14:textFill>
        </w:rPr>
        <w:t>一是加快发展绿色金融特色机构。</w:t>
      </w:r>
      <w:r>
        <w:rPr>
          <w:rFonts w:hint="eastAsia" w:ascii="仿宋_GB2312" w:hAnsi="仿宋_GB2312" w:cs="仿宋_GB2312"/>
          <w:color w:val="000000" w:themeColor="text1"/>
          <w:szCs w:val="32"/>
          <w14:textFill>
            <w14:solidFill>
              <w14:schemeClr w14:val="tx1"/>
            </w14:solidFill>
          </w14:textFill>
        </w:rPr>
        <w:t>推动银行机构在城市副中心升级或设立绿色金融特色机构，增加绿色金融供给。加快培育绿色金融智库机构，鼓励绿色金融智库机构参与绿色金融研究，开办绿色金融有关论坛及活动，提升城市副中心绿色金融影响力。</w:t>
      </w:r>
    </w:p>
    <w:p>
      <w:pPr>
        <w:ind w:firstLine="643"/>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bCs/>
          <w:color w:val="000000" w:themeColor="text1"/>
          <w:szCs w:val="32"/>
          <w14:textFill>
            <w14:solidFill>
              <w14:schemeClr w14:val="tx1"/>
            </w14:solidFill>
          </w14:textFill>
        </w:rPr>
        <w:t>二是深化绿色金融产品服务创新。</w:t>
      </w:r>
      <w:r>
        <w:rPr>
          <w:rFonts w:hint="eastAsia" w:ascii="仿宋_GB2312" w:hAnsi="仿宋_GB2312" w:cs="仿宋_GB2312"/>
          <w:color w:val="000000" w:themeColor="text1"/>
          <w:szCs w:val="32"/>
          <w14:textFill>
            <w14:solidFill>
              <w14:schemeClr w14:val="tx1"/>
            </w14:solidFill>
          </w14:textFill>
        </w:rPr>
        <w:t>支持驻区银行、保险等企业在气候投融资、碳交易领域开展产品与服务创新，打造绿色信贷、绿色债券、绿色保险等门类齐全的绿色金融服务体系。依托北京绿色交易所，探索碳排放权、碳汇、用能权等环境权益类资产金融化路径，开展绿色金融认证、环境信息披露、气候投融资等配套机制创新。</w:t>
      </w:r>
    </w:p>
    <w:p>
      <w:pPr>
        <w:pStyle w:val="4"/>
        <w:spacing w:before="0" w:after="0"/>
        <w:ind w:firstLine="640"/>
        <w:rPr>
          <w:rFonts w:hint="default" w:ascii="黑体" w:hAnsi="黑体" w:eastAsia="黑体" w:cs="黑体"/>
          <w:b w:val="0"/>
          <w:bCs w:val="0"/>
          <w:color w:val="000000" w:themeColor="text1"/>
          <w14:textFill>
            <w14:solidFill>
              <w14:schemeClr w14:val="tx1"/>
            </w14:solidFill>
          </w14:textFill>
        </w:rPr>
      </w:pPr>
      <w:bookmarkStart w:id="260" w:name="_Toc25316"/>
      <w:bookmarkStart w:id="261" w:name="_Toc2755"/>
      <w:bookmarkStart w:id="262" w:name="_Toc27753"/>
      <w:bookmarkStart w:id="263" w:name="_Toc228193718"/>
      <w:bookmarkStart w:id="264" w:name="_Toc29243"/>
      <w:bookmarkStart w:id="265" w:name="_Toc7615"/>
      <w:r>
        <w:rPr>
          <w:rFonts w:ascii="黑体" w:hAnsi="黑体" w:eastAsia="黑体" w:cs="黑体"/>
          <w:b w:val="0"/>
          <w:bCs w:val="0"/>
          <w:color w:val="000000" w:themeColor="text1"/>
          <w14:textFill>
            <w14:solidFill>
              <w14:schemeClr w14:val="tx1"/>
            </w14:solidFill>
          </w14:textFill>
        </w:rPr>
        <w:t>三、</w:t>
      </w:r>
      <w:bookmarkEnd w:id="260"/>
      <w:r>
        <w:rPr>
          <w:rFonts w:hint="default" w:ascii="黑体" w:hAnsi="黑体" w:eastAsia="黑体" w:cs="黑体"/>
          <w:b w:val="0"/>
          <w:bCs w:val="0"/>
          <w:color w:val="000000" w:themeColor="text1"/>
          <w14:textFill>
            <w14:solidFill>
              <w14:schemeClr w14:val="tx1"/>
            </w14:solidFill>
          </w14:textFill>
        </w:rPr>
        <w:t>完善金融科技生态体系，激发数字金融发展动能</w:t>
      </w:r>
      <w:bookmarkEnd w:id="261"/>
      <w:bookmarkEnd w:id="262"/>
      <w:bookmarkEnd w:id="263"/>
      <w:bookmarkEnd w:id="264"/>
      <w:bookmarkEnd w:id="265"/>
    </w:p>
    <w:p>
      <w:pPr>
        <w:ind w:firstLine="643"/>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bCs/>
          <w:color w:val="000000" w:themeColor="text1"/>
          <w:szCs w:val="32"/>
          <w14:textFill>
            <w14:solidFill>
              <w14:schemeClr w14:val="tx1"/>
            </w14:solidFill>
          </w14:textFill>
        </w:rPr>
        <w:t>一是健全金融科技发展生态。</w:t>
      </w:r>
      <w:r>
        <w:rPr>
          <w:rFonts w:hint="eastAsia" w:ascii="仿宋_GB2312" w:hAnsi="仿宋_GB2312" w:cs="仿宋_GB2312"/>
          <w:color w:val="000000" w:themeColor="text1"/>
          <w:szCs w:val="32"/>
          <w14:textFill>
            <w14:solidFill>
              <w14:schemeClr w14:val="tx1"/>
            </w14:solidFill>
          </w14:textFill>
        </w:rPr>
        <w:t>引导驻区银行服务网点进行智能化改造升级，集成大数据、人工智能、生物识别等金融科技优势，为群众打造更具科技感、未来感、温度感的金融服务体验。支持以数字孪生城市为基础的新型智慧城市建设，适度超前布局智能基础设施，引导各类金融资本支持特高压、新能源汽车充电桩、数据中心、工业互联网等新基建建设。</w:t>
      </w:r>
    </w:p>
    <w:p>
      <w:pPr>
        <w:ind w:firstLine="643"/>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bCs/>
          <w:color w:val="000000" w:themeColor="text1"/>
          <w:szCs w:val="32"/>
          <w14:textFill>
            <w14:solidFill>
              <w14:schemeClr w14:val="tx1"/>
            </w14:solidFill>
          </w14:textFill>
        </w:rPr>
        <w:t>二是深耕科创金融服务体系。</w:t>
      </w:r>
      <w:r>
        <w:rPr>
          <w:rFonts w:hint="eastAsia" w:ascii="仿宋_GB2312" w:hAnsi="仿宋_GB2312" w:cs="仿宋_GB2312"/>
          <w:color w:val="000000" w:themeColor="text1"/>
          <w:szCs w:val="32"/>
          <w14:textFill>
            <w14:solidFill>
              <w14:schemeClr w14:val="tx1"/>
            </w14:solidFill>
          </w14:textFill>
        </w:rPr>
        <w:t>探索实施科技创新贷款风险补偿措施，引导商业银行改善运作机制和业务流程，积极开展信用贷款、知识产权质押贷款、股权质押贷款、应收账款质押贷款、商业票据质押贷款等融资业务，加大对科创企业的信贷投放力度。实施补贴、补偿等支持和风险分担措施，鼓励保险机构开发关键设备、重大技术财产保险、专利保险等产品，为科技创新、重大科技项目提供保险保障服务。</w:t>
      </w:r>
    </w:p>
    <w:p>
      <w:pPr>
        <w:keepNext/>
        <w:keepLines/>
        <w:ind w:firstLine="640"/>
        <w:outlineLvl w:val="2"/>
        <w:rPr>
          <w:rFonts w:ascii="黑体" w:hAnsi="黑体" w:eastAsia="黑体" w:cs="黑体"/>
          <w:color w:val="000000" w:themeColor="text1"/>
          <w:szCs w:val="32"/>
          <w14:textFill>
            <w14:solidFill>
              <w14:schemeClr w14:val="tx1"/>
            </w14:solidFill>
          </w14:textFill>
        </w:rPr>
      </w:pPr>
      <w:bookmarkStart w:id="266" w:name="_Toc616"/>
      <w:bookmarkStart w:id="267" w:name="_Toc8316"/>
      <w:bookmarkStart w:id="268" w:name="_Toc22459"/>
      <w:bookmarkStart w:id="269" w:name="_Toc25938"/>
      <w:bookmarkStart w:id="270" w:name="_Toc18147"/>
      <w:bookmarkStart w:id="271" w:name="_Toc20565"/>
      <w:r>
        <w:rPr>
          <w:rFonts w:hint="eastAsia" w:ascii="黑体" w:hAnsi="黑体" w:eastAsia="黑体" w:cs="黑体"/>
          <w:color w:val="000000" w:themeColor="text1"/>
          <w:szCs w:val="32"/>
          <w14:textFill>
            <w14:solidFill>
              <w14:schemeClr w14:val="tx1"/>
            </w14:solidFill>
          </w14:textFill>
        </w:rPr>
        <w:t>四</w:t>
      </w:r>
      <w:r>
        <w:rPr>
          <w:rFonts w:ascii="黑体" w:hAnsi="黑体" w:eastAsia="黑体" w:cs="黑体"/>
          <w:color w:val="000000" w:themeColor="text1"/>
          <w:szCs w:val="32"/>
          <w14:textFill>
            <w14:solidFill>
              <w14:schemeClr w14:val="tx1"/>
            </w14:solidFill>
          </w14:textFill>
        </w:rPr>
        <w:t>、</w:t>
      </w:r>
      <w:bookmarkEnd w:id="266"/>
      <w:r>
        <w:rPr>
          <w:rFonts w:ascii="黑体" w:hAnsi="黑体" w:eastAsia="黑体" w:cs="黑体"/>
          <w:color w:val="000000" w:themeColor="text1"/>
          <w:szCs w:val="32"/>
          <w14:textFill>
            <w14:solidFill>
              <w14:schemeClr w14:val="tx1"/>
            </w14:solidFill>
          </w14:textFill>
        </w:rPr>
        <w:t>提升金融服务实体能力，促进产业协同发展</w:t>
      </w:r>
      <w:bookmarkEnd w:id="267"/>
      <w:bookmarkEnd w:id="268"/>
      <w:bookmarkEnd w:id="269"/>
      <w:bookmarkEnd w:id="270"/>
      <w:bookmarkEnd w:id="271"/>
    </w:p>
    <w:p>
      <w:pPr>
        <w:ind w:firstLine="643"/>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bCs/>
          <w:color w:val="000000" w:themeColor="text1"/>
          <w:szCs w:val="32"/>
          <w14:textFill>
            <w14:solidFill>
              <w14:schemeClr w14:val="tx1"/>
            </w14:solidFill>
          </w14:textFill>
        </w:rPr>
        <w:t>一是拓宽普惠金融服务维度。</w:t>
      </w:r>
      <w:r>
        <w:rPr>
          <w:rFonts w:hint="eastAsia" w:ascii="仿宋_GB2312" w:hAnsi="仿宋_GB2312" w:cs="仿宋_GB2312"/>
          <w:color w:val="000000" w:themeColor="text1"/>
          <w:szCs w:val="32"/>
          <w14:textFill>
            <w14:solidFill>
              <w14:schemeClr w14:val="tx1"/>
            </w14:solidFill>
          </w14:textFill>
        </w:rPr>
        <w:t>鼓励银行机构延伸服务网络，探索设立小微企业专营支行、社区支行、农村金融便利店等服务网点，开发针对小微企业、高校毕业生、创业群体、特殊群体、新农户等的小额贷款产品，为小微企业、“三农”和城镇居民提供优质金融服务。支持银行保险机构合作，开发金融机构贷款损失信用保险、知识产权保险等产品，为中小企业融资提供保险保障。</w:t>
      </w:r>
    </w:p>
    <w:p>
      <w:pPr>
        <w:ind w:firstLine="643"/>
        <w:rPr>
          <w:rFonts w:ascii="仿宋_GB2312" w:hAnsi="等线"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14:textFill>
            <w14:solidFill>
              <w14:schemeClr w14:val="tx1"/>
            </w14:solidFill>
          </w14:textFill>
        </w:rPr>
        <w:t>二是深化投融资保障机制。</w:t>
      </w:r>
      <w:r>
        <w:rPr>
          <w:rFonts w:hint="eastAsia" w:ascii="仿宋_GB2312" w:hAnsi="仿宋_GB2312" w:cs="仿宋_GB2312"/>
          <w:color w:val="000000" w:themeColor="text1"/>
          <w:szCs w:val="32"/>
          <w14:textFill>
            <w14:solidFill>
              <w14:schemeClr w14:val="tx1"/>
            </w14:solidFill>
          </w14:textFill>
        </w:rPr>
        <w:t>依托重大项目投融资对接机制、金融惠企系列活动，推动各类驻区金融企业深度参与城市副中心重大项目、重点企业建设，引导各类社会资本参与重大项目建设，助力城市副中心千亿级规模投资加速落地。加大企业上市培育力度，组织拟上市企业参加上市系列培训活动，做好上市挂牌企业储备。支持已上市企业合规经营、快速发展，通过交易所市场、银行间市场开展各类增资、发债等再融资活动。积极拓展知识产权、艺术品、影视发行权等贷款抵质押范围，引导信贷资源精准支持文旅消费、文艺演出、城市设计、原创艺术等重点领域</w:t>
      </w:r>
      <w:r>
        <w:rPr>
          <w:rFonts w:hint="eastAsia" w:ascii="仿宋_GB2312" w:hAnsi="等线" w:cs="仿宋_GB2312"/>
          <w:color w:val="000000" w:themeColor="text1"/>
          <w:szCs w:val="32"/>
          <w:lang w:bidi="ar"/>
          <w14:textFill>
            <w14:solidFill>
              <w14:schemeClr w14:val="tx1"/>
            </w14:solidFill>
          </w14:textFill>
        </w:rPr>
        <w:t>。</w:t>
      </w:r>
    </w:p>
    <w:p>
      <w:pPr>
        <w:pStyle w:val="3"/>
        <w:spacing w:before="0" w:after="0"/>
        <w:ind w:firstLine="0" w:firstLineChars="0"/>
        <w:jc w:val="center"/>
        <w:rPr>
          <w:rFonts w:hint="default" w:ascii="黑体" w:hAnsi="黑体" w:eastAsia="黑体" w:cs="黑体"/>
          <w:b w:val="0"/>
          <w:bCs w:val="0"/>
          <w:color w:val="000000" w:themeColor="text1"/>
          <w:sz w:val="32"/>
          <w:szCs w:val="32"/>
          <w14:textFill>
            <w14:solidFill>
              <w14:schemeClr w14:val="tx1"/>
            </w14:solidFill>
          </w14:textFill>
        </w:rPr>
      </w:pPr>
      <w:bookmarkStart w:id="272" w:name="_Toc10545"/>
      <w:bookmarkEnd w:id="272"/>
      <w:bookmarkStart w:id="273" w:name="_Toc24120"/>
      <w:bookmarkEnd w:id="273"/>
      <w:bookmarkStart w:id="274" w:name="_Toc11712"/>
      <w:bookmarkEnd w:id="274"/>
      <w:bookmarkStart w:id="275" w:name="_Toc21800"/>
      <w:bookmarkEnd w:id="275"/>
      <w:bookmarkStart w:id="276" w:name="_Toc10197"/>
      <w:bookmarkEnd w:id="276"/>
      <w:bookmarkStart w:id="277" w:name="_Toc27032"/>
      <w:bookmarkEnd w:id="277"/>
      <w:bookmarkStart w:id="278" w:name="_Toc24885"/>
      <w:bookmarkEnd w:id="278"/>
      <w:bookmarkStart w:id="279" w:name="_Toc30282"/>
      <w:bookmarkEnd w:id="279"/>
      <w:bookmarkStart w:id="280" w:name="_Toc223085219"/>
      <w:bookmarkEnd w:id="280"/>
      <w:bookmarkStart w:id="281" w:name="_Toc10234"/>
      <w:bookmarkEnd w:id="281"/>
      <w:bookmarkStart w:id="282" w:name="_Toc228193719"/>
      <w:bookmarkStart w:id="283" w:name="_Toc32638"/>
      <w:bookmarkStart w:id="284" w:name="_Toc2110"/>
      <w:bookmarkStart w:id="285" w:name="_Toc23013"/>
      <w:bookmarkStart w:id="286" w:name="_Toc4668"/>
      <w:bookmarkStart w:id="287" w:name="_Toc15586"/>
      <w:r>
        <w:rPr>
          <w:rFonts w:hint="default" w:ascii="黑体" w:hAnsi="黑体" w:eastAsia="黑体" w:cs="黑体"/>
          <w:b w:val="0"/>
          <w:bCs w:val="0"/>
          <w:color w:val="000000" w:themeColor="text1"/>
          <w:sz w:val="32"/>
          <w:szCs w:val="32"/>
          <w14:textFill>
            <w14:solidFill>
              <w14:schemeClr w14:val="tx1"/>
            </w14:solidFill>
          </w14:textFill>
        </w:rPr>
        <w:t>第九章 商务服务：构建一流高端商务服务体系</w:t>
      </w:r>
      <w:bookmarkEnd w:id="282"/>
      <w:bookmarkEnd w:id="283"/>
      <w:bookmarkEnd w:id="284"/>
      <w:bookmarkEnd w:id="285"/>
      <w:bookmarkEnd w:id="286"/>
      <w:bookmarkEnd w:id="287"/>
    </w:p>
    <w:p>
      <w:pPr>
        <w:pStyle w:val="4"/>
        <w:spacing w:before="0" w:after="0"/>
        <w:ind w:firstLine="640"/>
        <w:rPr>
          <w:rFonts w:hint="default" w:ascii="黑体" w:hAnsi="黑体" w:eastAsia="黑体" w:cs="黑体"/>
          <w:b w:val="0"/>
          <w:bCs w:val="0"/>
          <w:color w:val="000000" w:themeColor="text1"/>
          <w14:textFill>
            <w14:solidFill>
              <w14:schemeClr w14:val="tx1"/>
            </w14:solidFill>
          </w14:textFill>
        </w:rPr>
      </w:pPr>
      <w:bookmarkStart w:id="288" w:name="_Toc19081"/>
      <w:bookmarkStart w:id="289" w:name="_Toc228193721"/>
      <w:bookmarkStart w:id="290" w:name="_Toc32501"/>
      <w:bookmarkStart w:id="291" w:name="_Toc1168"/>
      <w:bookmarkStart w:id="292" w:name="_Toc2279"/>
      <w:bookmarkStart w:id="293" w:name="_Toc26177"/>
      <w:r>
        <w:rPr>
          <w:rFonts w:ascii="黑体" w:hAnsi="黑体" w:eastAsia="黑体" w:cs="黑体"/>
          <w:b w:val="0"/>
          <w:bCs w:val="0"/>
          <w:color w:val="000000" w:themeColor="text1"/>
          <w14:textFill>
            <w14:solidFill>
              <w14:schemeClr w14:val="tx1"/>
            </w14:solidFill>
          </w14:textFill>
        </w:rPr>
        <w:t>一、</w:t>
      </w:r>
      <w:bookmarkEnd w:id="288"/>
      <w:bookmarkEnd w:id="289"/>
      <w:bookmarkEnd w:id="290"/>
      <w:bookmarkEnd w:id="291"/>
      <w:r>
        <w:rPr>
          <w:rFonts w:ascii="黑体" w:hAnsi="黑体" w:eastAsia="黑体" w:cs="黑体"/>
          <w:b w:val="0"/>
          <w:bCs w:val="0"/>
          <w:color w:val="000000" w:themeColor="text1"/>
          <w14:textFill>
            <w14:solidFill>
              <w14:schemeClr w14:val="tx1"/>
            </w14:solidFill>
          </w14:textFill>
        </w:rPr>
        <w:t>引培专业服务</w:t>
      </w:r>
      <w:r>
        <w:rPr>
          <w:rFonts w:ascii="黑体" w:hAnsi="黑体" w:eastAsia="黑体" w:cs="黑体"/>
          <w:b w:val="0"/>
          <w:bCs w:val="0"/>
          <w:color w:val="000000" w:themeColor="text1"/>
          <w:lang w:eastAsia="zh"/>
          <w14:textFill>
            <w14:solidFill>
              <w14:schemeClr w14:val="tx1"/>
            </w14:solidFill>
          </w14:textFill>
        </w:rPr>
        <w:t>业</w:t>
      </w:r>
      <w:r>
        <w:rPr>
          <w:rFonts w:ascii="黑体" w:hAnsi="黑体" w:eastAsia="黑体" w:cs="黑体"/>
          <w:b w:val="0"/>
          <w:bCs w:val="0"/>
          <w:color w:val="000000" w:themeColor="text1"/>
          <w14:textFill>
            <w14:solidFill>
              <w14:schemeClr w14:val="tx1"/>
            </w14:solidFill>
          </w14:textFill>
        </w:rPr>
        <w:t>，打造高质量服务集聚高地</w:t>
      </w:r>
      <w:bookmarkEnd w:id="292"/>
      <w:bookmarkEnd w:id="293"/>
    </w:p>
    <w:p>
      <w:pPr>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一是构建高品质法律服务体系，护航产业高质量发展。</w:t>
      </w:r>
      <w:r>
        <w:rPr>
          <w:rFonts w:hint="eastAsia" w:ascii="仿宋_GB2312" w:hAnsi="仿宋_GB2312" w:cs="仿宋_GB2312"/>
          <w:color w:val="000000" w:themeColor="text1"/>
          <w:szCs w:val="32"/>
          <w:lang w:bidi="ar"/>
          <w14:textFill>
            <w14:solidFill>
              <w14:schemeClr w14:val="tx1"/>
            </w14:solidFill>
          </w14:textFill>
        </w:rPr>
        <w:t>加快集聚优质法律服务机构，积极发展涉外法律服务，培育一批国际一流的仲裁机构、律师事务所，推动法律服务向专业化、高端化、国际化方向发展。</w:t>
      </w:r>
    </w:p>
    <w:p>
      <w:pPr>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二是打造一站式财税服务体系，提升咨询服务能级。</w:t>
      </w:r>
      <w:r>
        <w:rPr>
          <w:rFonts w:hint="eastAsia" w:ascii="仿宋_GB2312" w:hAnsi="仿宋_GB2312" w:cs="仿宋_GB2312"/>
          <w:color w:val="000000" w:themeColor="text1"/>
          <w:szCs w:val="32"/>
          <w:lang w:bidi="ar"/>
          <w14:textFill>
            <w14:solidFill>
              <w14:schemeClr w14:val="tx1"/>
            </w14:solidFill>
          </w14:textFill>
        </w:rPr>
        <w:t>围绕重点产业和涉外业务需求，集聚高水平会计、审计、税务及咨询机构，拓展跨境贸易、高技术领域和ESG等新兴业务，推动服务向专业化、精细化方向发展。</w:t>
      </w:r>
    </w:p>
    <w:p>
      <w:pPr>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三是完善人力资源服务体系，增强行业辐射带动能力。</w:t>
      </w:r>
      <w:r>
        <w:rPr>
          <w:rFonts w:hint="eastAsia" w:ascii="仿宋_GB2312" w:hAnsi="仿宋_GB2312" w:cs="仿宋_GB2312"/>
          <w:color w:val="000000" w:themeColor="text1"/>
          <w:szCs w:val="32"/>
          <w:lang w:bidi="ar"/>
          <w14:textFill>
            <w14:solidFill>
              <w14:schemeClr w14:val="tx1"/>
            </w14:solidFill>
          </w14:textFill>
        </w:rPr>
        <w:t>依托中国北京人力资源服务产业园通州园，构建覆盖人才引进、测评、配置、培养、绩效管理的全链条服务体系，实现精准配才、高效管才，提升人力资本配置效率。围绕重点产业需求，探索求职招聘大模型、虚拟现实培训等数字化应用，完善职业技能培训体系。</w:t>
      </w:r>
    </w:p>
    <w:p>
      <w:pPr>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四是深化“广告+”跨界融合，打造数字广告产业集聚高地。</w:t>
      </w:r>
      <w:r>
        <w:rPr>
          <w:rFonts w:hint="eastAsia" w:ascii="仿宋_GB2312" w:hAnsi="仿宋_GB2312" w:cs="仿宋_GB2312"/>
          <w:color w:val="000000" w:themeColor="text1"/>
          <w:szCs w:val="32"/>
          <w:lang w:bidi="ar"/>
          <w14:textFill>
            <w14:solidFill>
              <w14:schemeClr w14:val="tx1"/>
            </w14:solidFill>
          </w14:textFill>
        </w:rPr>
        <w:t>以数字赋能、创新引领、品牌提升为主线，构建龙头引领、中小集聚、融合发展的现代广告产业体系。重点推进数字广告产业园建设，引导广告产业与网络视听、文旅科技等产业深度融合，布局影视拍摄服务站等多元场景，吸引关联企业集聚。</w:t>
      </w:r>
    </w:p>
    <w:p>
      <w:pPr>
        <w:pStyle w:val="4"/>
        <w:spacing w:before="0" w:after="0"/>
        <w:ind w:firstLine="640"/>
        <w:rPr>
          <w:rFonts w:hint="default" w:ascii="黑体" w:hAnsi="黑体" w:eastAsia="黑体" w:cs="黑体"/>
          <w:b w:val="0"/>
          <w:bCs w:val="0"/>
          <w:color w:val="000000" w:themeColor="text1"/>
          <w14:textFill>
            <w14:solidFill>
              <w14:schemeClr w14:val="tx1"/>
            </w14:solidFill>
          </w14:textFill>
        </w:rPr>
      </w:pPr>
      <w:bookmarkStart w:id="294" w:name="_Toc9893"/>
      <w:bookmarkStart w:id="295" w:name="_Toc12673"/>
      <w:bookmarkStart w:id="296" w:name="_Toc28980"/>
      <w:bookmarkStart w:id="297" w:name="_Toc228193720"/>
      <w:bookmarkStart w:id="298" w:name="_Toc15570"/>
      <w:bookmarkStart w:id="299" w:name="_Toc26946"/>
      <w:r>
        <w:rPr>
          <w:rFonts w:ascii="黑体" w:hAnsi="黑体" w:eastAsia="黑体" w:cs="黑体"/>
          <w:b w:val="0"/>
          <w:bCs w:val="0"/>
          <w:color w:val="000000" w:themeColor="text1"/>
          <w14:textFill>
            <w14:solidFill>
              <w14:schemeClr w14:val="tx1"/>
            </w14:solidFill>
          </w14:textFill>
        </w:rPr>
        <w:t>二、</w:t>
      </w:r>
      <w:bookmarkEnd w:id="294"/>
      <w:bookmarkEnd w:id="295"/>
      <w:bookmarkEnd w:id="296"/>
      <w:bookmarkEnd w:id="297"/>
      <w:r>
        <w:rPr>
          <w:rFonts w:ascii="黑体" w:hAnsi="黑体" w:eastAsia="黑体" w:cs="黑体"/>
          <w:b w:val="0"/>
          <w:bCs w:val="0"/>
          <w:color w:val="000000" w:themeColor="text1"/>
          <w14:textFill>
            <w14:solidFill>
              <w14:schemeClr w14:val="tx1"/>
            </w14:solidFill>
          </w14:textFill>
        </w:rPr>
        <w:t>集聚总部会展资源，增强区域开放带动能力</w:t>
      </w:r>
      <w:bookmarkEnd w:id="298"/>
      <w:bookmarkEnd w:id="299"/>
    </w:p>
    <w:p>
      <w:pPr>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一是做强总部经济，打造高能级总部经济集群</w:t>
      </w:r>
      <w:r>
        <w:rPr>
          <w:rFonts w:hint="eastAsia" w:ascii="仿宋_GB2312" w:hAnsi="仿宋_GB2312" w:cs="仿宋_GB2312"/>
          <w:color w:val="000000" w:themeColor="text1"/>
          <w:szCs w:val="32"/>
          <w:lang w:bidi="ar"/>
          <w14:textFill>
            <w14:solidFill>
              <w14:schemeClr w14:val="tx1"/>
            </w14:solidFill>
          </w14:textFill>
        </w:rPr>
        <w:t>。以运河商务区为核心承载，推动跨国公司、央企及市属国企等企业总部落地，带动高端商务、金融服务等资源集聚，加快形成高能级总部经济集群。依</w:t>
      </w:r>
    </w:p>
    <w:p>
      <w:pPr>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二是推动会展业高水平发展</w:t>
      </w:r>
      <w:r>
        <w:rPr>
          <w:rFonts w:ascii="仿宋_GB2312" w:hAnsi="仿宋_GB2312" w:cs="仿宋_GB2312"/>
          <w:b/>
          <w:bCs/>
          <w:color w:val="000000" w:themeColor="text1"/>
          <w:szCs w:val="32"/>
          <w:lang w:bidi="ar"/>
          <w14:textFill>
            <w14:solidFill>
              <w14:schemeClr w14:val="tx1"/>
            </w14:solidFill>
          </w14:textFill>
        </w:rPr>
        <w:t>，构建“会展+”发展新格局</w:t>
      </w:r>
      <w:r>
        <w:rPr>
          <w:rFonts w:ascii="仿宋_GB2312" w:hAnsi="仿宋_GB2312" w:cs="仿宋_GB2312"/>
          <w:color w:val="000000" w:themeColor="text1"/>
          <w:szCs w:val="32"/>
          <w:lang w:bidi="ar"/>
          <w14:textFill>
            <w14:solidFill>
              <w14:schemeClr w14:val="tx1"/>
            </w14:solidFill>
          </w14:textFill>
        </w:rPr>
        <w:t>。</w:t>
      </w:r>
      <w:r>
        <w:rPr>
          <w:rFonts w:hint="eastAsia" w:ascii="仿宋_GB2312" w:hAnsi="仿宋_GB2312" w:cs="仿宋_GB2312"/>
          <w:color w:val="000000" w:themeColor="text1"/>
          <w:szCs w:val="32"/>
          <w:lang w:bidi="ar"/>
          <w14:textFill>
            <w14:solidFill>
              <w14:schemeClr w14:val="tx1"/>
            </w14:solidFill>
          </w14:textFill>
        </w:rPr>
        <w:t>依托北京国际设计周永久会址、诺金会展中心、北京国际财富会议中心及城市副中心三大文化设施等载体，完善会议展览功能配套，推动“会展+酒店”深度融合，提升会展承载能级。积</w:t>
      </w:r>
    </w:p>
    <w:p>
      <w:pPr>
        <w:pStyle w:val="4"/>
        <w:spacing w:before="0" w:after="0"/>
        <w:ind w:firstLine="640"/>
        <w:rPr>
          <w:rFonts w:hint="default" w:ascii="黑体" w:hAnsi="黑体" w:eastAsia="黑体" w:cs="黑体"/>
          <w:b w:val="0"/>
          <w:bCs w:val="0"/>
          <w:color w:val="000000" w:themeColor="text1"/>
          <w14:textFill>
            <w14:solidFill>
              <w14:schemeClr w14:val="tx1"/>
            </w14:solidFill>
          </w14:textFill>
        </w:rPr>
      </w:pPr>
      <w:bookmarkStart w:id="300" w:name="_Toc20283"/>
      <w:bookmarkStart w:id="301" w:name="_Toc762"/>
      <w:bookmarkStart w:id="302" w:name="_Toc228193722"/>
      <w:bookmarkStart w:id="303" w:name="_Toc8450"/>
      <w:bookmarkStart w:id="304" w:name="_Toc9782"/>
      <w:bookmarkStart w:id="305" w:name="_Toc15951"/>
      <w:r>
        <w:rPr>
          <w:rFonts w:ascii="黑体" w:hAnsi="黑体" w:eastAsia="黑体" w:cs="黑体"/>
          <w:b w:val="0"/>
          <w:bCs w:val="0"/>
          <w:color w:val="000000" w:themeColor="text1"/>
          <w14:textFill>
            <w14:solidFill>
              <w14:schemeClr w14:val="tx1"/>
            </w14:solidFill>
          </w14:textFill>
        </w:rPr>
        <w:t>三、</w:t>
      </w:r>
      <w:bookmarkEnd w:id="300"/>
      <w:bookmarkEnd w:id="301"/>
      <w:bookmarkEnd w:id="302"/>
      <w:bookmarkEnd w:id="303"/>
      <w:r>
        <w:rPr>
          <w:rFonts w:ascii="黑体" w:hAnsi="黑体" w:eastAsia="黑体" w:cs="黑体"/>
          <w:b w:val="0"/>
          <w:bCs w:val="0"/>
          <w:color w:val="000000" w:themeColor="text1"/>
          <w14:textFill>
            <w14:solidFill>
              <w14:schemeClr w14:val="tx1"/>
            </w14:solidFill>
          </w14:textFill>
        </w:rPr>
        <w:t>聚焦特色</w:t>
      </w:r>
      <w:r>
        <w:rPr>
          <w:rFonts w:ascii="黑体" w:hAnsi="黑体" w:eastAsia="黑体" w:cs="黑体"/>
          <w:b w:val="0"/>
          <w:bCs w:val="0"/>
          <w:color w:val="000000" w:themeColor="text1"/>
          <w:lang w:eastAsia="zh"/>
          <w14:textFill>
            <w14:solidFill>
              <w14:schemeClr w14:val="tx1"/>
            </w14:solidFill>
          </w14:textFill>
        </w:rPr>
        <w:t>商业</w:t>
      </w:r>
      <w:r>
        <w:rPr>
          <w:rFonts w:ascii="黑体" w:hAnsi="黑体" w:eastAsia="黑体" w:cs="黑体"/>
          <w:b w:val="0"/>
          <w:bCs w:val="0"/>
          <w:color w:val="000000" w:themeColor="text1"/>
          <w14:textFill>
            <w14:solidFill>
              <w14:schemeClr w14:val="tx1"/>
            </w14:solidFill>
          </w14:textFill>
        </w:rPr>
        <w:t>经济，提升区域</w:t>
      </w:r>
      <w:r>
        <w:rPr>
          <w:rFonts w:ascii="黑体" w:hAnsi="黑体" w:eastAsia="黑体" w:cs="黑体"/>
          <w:b w:val="0"/>
          <w:bCs w:val="0"/>
          <w:color w:val="000000" w:themeColor="text1"/>
          <w:lang w:eastAsia="zh"/>
          <w14:textFill>
            <w14:solidFill>
              <w14:schemeClr w14:val="tx1"/>
            </w14:solidFill>
          </w14:textFill>
        </w:rPr>
        <w:t>消费</w:t>
      </w:r>
      <w:r>
        <w:rPr>
          <w:rFonts w:ascii="黑体" w:hAnsi="黑体" w:eastAsia="黑体" w:cs="黑体"/>
          <w:b w:val="0"/>
          <w:bCs w:val="0"/>
          <w:color w:val="000000" w:themeColor="text1"/>
          <w14:textFill>
            <w14:solidFill>
              <w14:schemeClr w14:val="tx1"/>
            </w14:solidFill>
          </w14:textFill>
        </w:rPr>
        <w:t>服务能级</w:t>
      </w:r>
      <w:bookmarkEnd w:id="304"/>
      <w:bookmarkEnd w:id="305"/>
    </w:p>
    <w:p>
      <w:pPr>
        <w:ind w:firstLine="643"/>
        <w:rPr>
          <w:rFonts w:ascii="仿宋_GB2312" w:hAnsi="仿宋_GB2312" w:cs="仿宋_GB2312"/>
          <w:color w:val="000000" w:themeColor="text1"/>
          <w:szCs w:val="32"/>
          <w:lang w:bidi="ar"/>
          <w14:textFill>
            <w14:solidFill>
              <w14:schemeClr w14:val="tx1"/>
            </w14:solidFill>
          </w14:textFill>
        </w:rPr>
      </w:pPr>
      <w:r>
        <w:rPr>
          <w:rFonts w:ascii="仿宋_GB2312" w:hAnsi="仿宋_GB2312" w:cs="仿宋_GB2312"/>
          <w:b/>
          <w:bCs/>
          <w:color w:val="000000" w:themeColor="text1"/>
          <w:szCs w:val="32"/>
          <w:lang w:bidi="ar"/>
          <w14:textFill>
            <w14:solidFill>
              <w14:schemeClr w14:val="tx1"/>
            </w14:solidFill>
          </w14:textFill>
        </w:rPr>
        <w:t>一是强化枢纽引领，发展站城一体的枢纽经济。</w:t>
      </w:r>
      <w:r>
        <w:rPr>
          <w:rFonts w:ascii="仿宋_GB2312" w:hAnsi="仿宋_GB2312" w:cs="仿宋_GB2312"/>
          <w:color w:val="000000" w:themeColor="text1"/>
          <w:szCs w:val="32"/>
          <w:lang w:bidi="ar"/>
          <w14:textFill>
            <w14:solidFill>
              <w14:schemeClr w14:val="tx1"/>
            </w14:solidFill>
          </w14:textFill>
        </w:rPr>
        <w:t>依托</w:t>
      </w:r>
      <w:r>
        <w:rPr>
          <w:rFonts w:hint="eastAsia" w:ascii="仿宋_GB2312" w:hAnsi="仿宋_GB2312" w:cs="仿宋_GB2312"/>
          <w:color w:val="000000" w:themeColor="text1"/>
          <w:szCs w:val="32"/>
          <w:lang w:bidi="ar"/>
          <w14:textFill>
            <w14:solidFill>
              <w14:schemeClr w14:val="tx1"/>
            </w14:solidFill>
          </w14:textFill>
        </w:rPr>
        <w:t>城市副中心综合交通枢纽</w:t>
      </w:r>
      <w:r>
        <w:rPr>
          <w:rFonts w:ascii="仿宋_GB2312" w:hAnsi="仿宋_GB2312" w:cs="仿宋_GB2312"/>
          <w:color w:val="000000" w:themeColor="text1"/>
          <w:szCs w:val="32"/>
          <w:lang w:bidi="ar"/>
          <w14:textFill>
            <w14:solidFill>
              <w14:schemeClr w14:val="tx1"/>
            </w14:solidFill>
          </w14:textFill>
        </w:rPr>
        <w:t>，集聚枢纽商务、弹性办公、连锁商业、文旅零售等业态，</w:t>
      </w:r>
      <w:r>
        <w:rPr>
          <w:rFonts w:hint="eastAsia" w:ascii="仿宋_GB2312" w:hAnsi="仿宋_GB2312" w:cs="仿宋_GB2312"/>
          <w:color w:val="000000" w:themeColor="text1"/>
          <w:szCs w:val="32"/>
          <w:lang w:bidi="ar"/>
          <w14:textFill>
            <w14:solidFill>
              <w14:schemeClr w14:val="tx1"/>
            </w14:solidFill>
          </w14:textFill>
        </w:rPr>
        <w:t>打造交通功能与商务办公、文化娱乐、消费服务功能融合的北京东部区域商务功能新地标</w:t>
      </w:r>
      <w:r>
        <w:rPr>
          <w:rFonts w:ascii="仿宋_GB2312" w:hAnsi="仿宋_GB2312" w:cs="仿宋_GB2312"/>
          <w:color w:val="000000" w:themeColor="text1"/>
          <w:szCs w:val="32"/>
          <w:lang w:bidi="ar"/>
          <w14:textFill>
            <w14:solidFill>
              <w14:schemeClr w14:val="tx1"/>
            </w14:solidFill>
          </w14:textFill>
        </w:rPr>
        <w:t>。</w:t>
      </w:r>
    </w:p>
    <w:p>
      <w:pPr>
        <w:ind w:firstLine="643"/>
        <w:rPr>
          <w:rFonts w:ascii="仿宋_GB2312" w:hAnsi="仿宋_GB2312" w:cs="仿宋_GB2312"/>
          <w:b/>
          <w:bCs/>
          <w:color w:val="000000" w:themeColor="text1"/>
          <w:szCs w:val="32"/>
          <w:lang w:bidi="ar"/>
          <w14:textFill>
            <w14:solidFill>
              <w14:schemeClr w14:val="tx1"/>
            </w14:solidFill>
          </w14:textFill>
        </w:rPr>
      </w:pPr>
      <w:r>
        <w:rPr>
          <w:rFonts w:ascii="仿宋_GB2312" w:hAnsi="仿宋_GB2312" w:cs="仿宋_GB2312"/>
          <w:b/>
          <w:bCs/>
          <w:color w:val="000000" w:themeColor="text1"/>
          <w:szCs w:val="32"/>
          <w:lang w:bidi="ar"/>
          <w14:textFill>
            <w14:solidFill>
              <w14:schemeClr w14:val="tx1"/>
            </w14:solidFill>
          </w14:textFill>
        </w:rPr>
        <w:t>二是做优水岸空间，塑造特色滨水消费场景。</w:t>
      </w:r>
      <w:r>
        <w:rPr>
          <w:rFonts w:ascii="仿宋_GB2312" w:hAnsi="仿宋_GB2312" w:cs="仿宋_GB2312"/>
          <w:color w:val="000000" w:themeColor="text1"/>
          <w:szCs w:val="32"/>
          <w:lang w:bidi="ar"/>
          <w14:textFill>
            <w14:solidFill>
              <w14:schemeClr w14:val="tx1"/>
            </w14:solidFill>
          </w14:textFill>
        </w:rPr>
        <w:t>依托大运河及北运河、通惠河等滨水资源，推进岸线功能与品质整体提升，完善亲水平台、水上栈道、滨水绿地等空间设施，发展游船餐饮、水上演艺、水上运动等特色业态。</w:t>
      </w:r>
    </w:p>
    <w:p>
      <w:pPr>
        <w:ind w:firstLine="643"/>
        <w:rPr>
          <w:rFonts w:ascii="仿宋_GB2312" w:hAnsi="仿宋_GB2312" w:cs="仿宋_GB2312"/>
          <w:color w:val="000000" w:themeColor="text1"/>
          <w:szCs w:val="32"/>
          <w:lang w:bidi="ar"/>
          <w14:textFill>
            <w14:solidFill>
              <w14:schemeClr w14:val="tx1"/>
            </w14:solidFill>
          </w14:textFill>
        </w:rPr>
      </w:pPr>
      <w:r>
        <w:rPr>
          <w:rFonts w:ascii="仿宋_GB2312" w:hAnsi="仿宋_GB2312" w:cs="仿宋_GB2312"/>
          <w:b/>
          <w:bCs/>
          <w:color w:val="000000" w:themeColor="text1"/>
          <w:szCs w:val="32"/>
          <w:lang w:bidi="ar"/>
          <w14:textFill>
            <w14:solidFill>
              <w14:schemeClr w14:val="tx1"/>
            </w14:solidFill>
          </w14:textFill>
        </w:rPr>
        <w:t>三是</w:t>
      </w:r>
      <w:r>
        <w:rPr>
          <w:rFonts w:hint="eastAsia" w:ascii="仿宋_GB2312" w:hAnsi="仿宋_GB2312" w:cs="仿宋_GB2312"/>
          <w:b/>
          <w:bCs/>
          <w:color w:val="000000" w:themeColor="text1"/>
          <w:szCs w:val="32"/>
          <w:lang w:bidi="ar"/>
          <w14:textFill>
            <w14:solidFill>
              <w14:schemeClr w14:val="tx1"/>
            </w14:solidFill>
          </w14:textFill>
        </w:rPr>
        <w:t>推动重点商圈提质，培育多元消费新场景</w:t>
      </w:r>
      <w:r>
        <w:rPr>
          <w:rFonts w:ascii="仿宋_GB2312" w:hAnsi="仿宋_GB2312" w:cs="仿宋_GB2312"/>
          <w:b/>
          <w:bCs/>
          <w:color w:val="000000" w:themeColor="text1"/>
          <w:szCs w:val="32"/>
          <w:lang w:bidi="ar"/>
          <w14:textFill>
            <w14:solidFill>
              <w14:schemeClr w14:val="tx1"/>
            </w14:solidFill>
          </w14:textFill>
        </w:rPr>
        <w:t>。</w:t>
      </w:r>
      <w:r>
        <w:rPr>
          <w:rFonts w:hint="eastAsia" w:ascii="仿宋_GB2312" w:hAnsi="仿宋_GB2312" w:cs="仿宋_GB2312"/>
          <w:color w:val="000000" w:themeColor="text1"/>
          <w:szCs w:val="32"/>
          <w:lang w:bidi="ar"/>
          <w14:textFill>
            <w14:solidFill>
              <w14:schemeClr w14:val="tx1"/>
            </w14:solidFill>
          </w14:textFill>
        </w:rPr>
        <w:t>聚焦运河核心区、环球商圈等重点区域，依托“湾里”国际商业娱乐综合体、首开通州万象汇等载体，构建集购物、旅游、体验于一体的复合消费体系，打造地标性商业街区。推动存量商业设施“一店一策”改造提升，优化商圈场地环境，丰富体验场景，提升商业活跃度和消费吸引力。</w:t>
      </w:r>
    </w:p>
    <w:p>
      <w:pPr>
        <w:pStyle w:val="3"/>
        <w:spacing w:before="0" w:after="0"/>
        <w:ind w:firstLine="0" w:firstLineChars="0"/>
        <w:jc w:val="center"/>
        <w:rPr>
          <w:rFonts w:hint="default" w:ascii="黑体" w:hAnsi="黑体" w:eastAsia="黑体" w:cs="黑体"/>
          <w:b w:val="0"/>
          <w:bCs w:val="0"/>
          <w:color w:val="000000" w:themeColor="text1"/>
          <w:sz w:val="32"/>
          <w:szCs w:val="32"/>
          <w14:textFill>
            <w14:solidFill>
              <w14:schemeClr w14:val="tx1"/>
            </w14:solidFill>
          </w14:textFill>
        </w:rPr>
      </w:pPr>
      <w:bookmarkStart w:id="306" w:name="_Toc27345"/>
      <w:bookmarkEnd w:id="306"/>
      <w:bookmarkStart w:id="307" w:name="_Toc14732"/>
      <w:bookmarkEnd w:id="307"/>
      <w:bookmarkStart w:id="308" w:name="_Toc2965"/>
      <w:bookmarkEnd w:id="308"/>
      <w:bookmarkStart w:id="309" w:name="_Toc494"/>
      <w:bookmarkEnd w:id="309"/>
      <w:bookmarkStart w:id="310" w:name="_Toc28092"/>
      <w:bookmarkEnd w:id="310"/>
      <w:bookmarkStart w:id="311" w:name="_Toc30216"/>
      <w:bookmarkEnd w:id="311"/>
      <w:bookmarkStart w:id="312" w:name="_Toc10983"/>
      <w:bookmarkEnd w:id="312"/>
      <w:bookmarkStart w:id="313" w:name="_Toc22312"/>
      <w:bookmarkEnd w:id="313"/>
      <w:bookmarkStart w:id="314" w:name="_Toc22803"/>
      <w:bookmarkEnd w:id="314"/>
      <w:bookmarkStart w:id="315" w:name="_Toc223085220"/>
      <w:bookmarkEnd w:id="315"/>
      <w:bookmarkStart w:id="316" w:name="_Toc20964"/>
      <w:bookmarkStart w:id="317" w:name="_Toc13262"/>
      <w:bookmarkStart w:id="318" w:name="_Toc31711"/>
      <w:bookmarkStart w:id="319" w:name="_Toc228193723"/>
      <w:bookmarkStart w:id="320" w:name="_Toc9416"/>
      <w:bookmarkStart w:id="321" w:name="_Toc21162"/>
      <w:r>
        <w:rPr>
          <w:rFonts w:hint="default" w:ascii="黑体" w:hAnsi="黑体" w:eastAsia="黑体" w:cs="黑体"/>
          <w:b w:val="0"/>
          <w:bCs w:val="0"/>
          <w:color w:val="000000" w:themeColor="text1"/>
          <w:sz w:val="32"/>
          <w:szCs w:val="32"/>
          <w14:textFill>
            <w14:solidFill>
              <w14:schemeClr w14:val="tx1"/>
            </w14:solidFill>
          </w14:textFill>
        </w:rPr>
        <w:t>第十章 文化旅游：构筑文商旅体融合发展高地</w:t>
      </w:r>
      <w:bookmarkEnd w:id="316"/>
      <w:bookmarkEnd w:id="317"/>
      <w:bookmarkEnd w:id="318"/>
      <w:bookmarkEnd w:id="319"/>
      <w:bookmarkEnd w:id="320"/>
      <w:bookmarkEnd w:id="321"/>
    </w:p>
    <w:p>
      <w:pPr>
        <w:pStyle w:val="4"/>
        <w:spacing w:before="0" w:after="0"/>
        <w:ind w:firstLine="640"/>
        <w:rPr>
          <w:rFonts w:hint="default" w:ascii="黑体" w:hAnsi="黑体" w:eastAsia="黑体" w:cs="黑体"/>
          <w:b w:val="0"/>
          <w:bCs w:val="0"/>
          <w:color w:val="000000" w:themeColor="text1"/>
          <w14:textFill>
            <w14:solidFill>
              <w14:schemeClr w14:val="tx1"/>
            </w14:solidFill>
          </w14:textFill>
        </w:rPr>
      </w:pPr>
      <w:bookmarkStart w:id="322" w:name="_Toc6024"/>
      <w:bookmarkStart w:id="323" w:name="_Toc228193724"/>
      <w:bookmarkStart w:id="324" w:name="_Toc31325"/>
      <w:bookmarkStart w:id="325" w:name="_Toc25135"/>
      <w:bookmarkStart w:id="326" w:name="_Toc29015"/>
      <w:bookmarkStart w:id="327" w:name="_Toc4613"/>
      <w:r>
        <w:rPr>
          <w:rFonts w:ascii="黑体" w:hAnsi="黑体" w:eastAsia="黑体" w:cs="黑体"/>
          <w:b w:val="0"/>
          <w:bCs w:val="0"/>
          <w:color w:val="000000" w:themeColor="text1"/>
          <w14:textFill>
            <w14:solidFill>
              <w14:schemeClr w14:val="tx1"/>
            </w14:solidFill>
          </w14:textFill>
        </w:rPr>
        <w:t>一、深挖文化内核，擦亮运河文化特色品牌</w:t>
      </w:r>
      <w:bookmarkEnd w:id="322"/>
      <w:bookmarkEnd w:id="323"/>
      <w:bookmarkEnd w:id="324"/>
      <w:bookmarkEnd w:id="325"/>
      <w:bookmarkEnd w:id="326"/>
      <w:bookmarkEnd w:id="327"/>
    </w:p>
    <w:p>
      <w:pPr>
        <w:ind w:firstLine="643"/>
        <w:rPr>
          <w:rFonts w:ascii="仿宋_GB2312" w:hAnsi="仿宋_GB2312" w:cs="仿宋_GB2312"/>
          <w:color w:val="000000" w:themeColor="text1"/>
          <w:szCs w:val="32"/>
          <w:lang w:bidi="ar"/>
          <w14:textFill>
            <w14:solidFill>
              <w14:schemeClr w14:val="tx1"/>
            </w14:solidFill>
          </w14:textFill>
        </w:rPr>
      </w:pPr>
      <w:r>
        <w:rPr>
          <w:rFonts w:ascii="仿宋_GB2312" w:hAnsi="仿宋_GB2312" w:cs="仿宋_GB2312"/>
          <w:b/>
          <w:bCs/>
          <w:color w:val="000000" w:themeColor="text1"/>
          <w:szCs w:val="32"/>
          <w:lang w:bidi="ar"/>
          <w14:textFill>
            <w14:solidFill>
              <w14:schemeClr w14:val="tx1"/>
            </w14:solidFill>
          </w14:textFill>
        </w:rPr>
        <w:t>一是贯通水脉体系，构建串联全域的运河旅游网络</w:t>
      </w:r>
      <w:r>
        <w:rPr>
          <w:rFonts w:ascii="仿宋_GB2312" w:hAnsi="仿宋_GB2312" w:cs="仿宋_GB2312"/>
          <w:color w:val="000000" w:themeColor="text1"/>
          <w:szCs w:val="32"/>
          <w:lang w:bidi="ar"/>
          <w14:textFill>
            <w14:solidFill>
              <w14:schemeClr w14:val="tx1"/>
            </w14:solidFill>
          </w14:textFill>
        </w:rPr>
        <w:t>。依托大运河文化带，打造</w:t>
      </w:r>
      <w:r>
        <w:rPr>
          <w:rFonts w:hint="eastAsia" w:ascii="仿宋_GB2312" w:hAnsi="仿宋_GB2312" w:cs="仿宋_GB2312"/>
          <w:color w:val="000000" w:themeColor="text1"/>
          <w:szCs w:val="32"/>
          <w:lang w:bidi="ar"/>
          <w14:textFill>
            <w14:solidFill>
              <w14:schemeClr w14:val="tx1"/>
            </w14:solidFill>
          </w14:textFill>
        </w:rPr>
        <w:t>“串景成链”</w:t>
      </w:r>
      <w:r>
        <w:rPr>
          <w:rFonts w:ascii="仿宋_GB2312" w:hAnsi="仿宋_GB2312" w:cs="仿宋_GB2312"/>
          <w:color w:val="000000" w:themeColor="text1"/>
          <w:szCs w:val="32"/>
          <w:lang w:bidi="ar"/>
          <w14:textFill>
            <w14:solidFill>
              <w14:schemeClr w14:val="tx1"/>
            </w14:solidFill>
          </w14:textFill>
        </w:rPr>
        <w:t>的百里水廊，拓展游船航线，推进北运河与</w:t>
      </w:r>
      <w:r>
        <w:rPr>
          <w:rFonts w:hint="eastAsia" w:ascii="仿宋_GB2312" w:hAnsi="仿宋_GB2312" w:cs="仿宋_GB2312"/>
          <w:color w:val="000000" w:themeColor="text1"/>
          <w:szCs w:val="32"/>
          <w:lang w:bidi="ar"/>
          <w14:textFill>
            <w14:solidFill>
              <w14:schemeClr w14:val="tx1"/>
            </w14:solidFill>
          </w14:textFill>
        </w:rPr>
        <w:t>北京</w:t>
      </w:r>
      <w:r>
        <w:rPr>
          <w:rFonts w:ascii="仿宋_GB2312" w:hAnsi="仿宋_GB2312" w:cs="仿宋_GB2312"/>
          <w:color w:val="000000" w:themeColor="text1"/>
          <w:szCs w:val="32"/>
          <w:lang w:bidi="ar"/>
          <w14:textFill>
            <w14:solidFill>
              <w14:schemeClr w14:val="tx1"/>
            </w14:solidFill>
          </w14:textFill>
        </w:rPr>
        <w:t>环球</w:t>
      </w:r>
      <w:r>
        <w:rPr>
          <w:rFonts w:hint="eastAsia" w:ascii="仿宋_GB2312" w:hAnsi="仿宋_GB2312" w:cs="仿宋_GB2312"/>
          <w:color w:val="000000" w:themeColor="text1"/>
          <w:szCs w:val="32"/>
          <w:lang w:bidi="ar"/>
          <w14:textFill>
            <w14:solidFill>
              <w14:schemeClr w14:val="tx1"/>
            </w14:solidFill>
          </w14:textFill>
        </w:rPr>
        <w:t>度假区</w:t>
      </w:r>
      <w:r>
        <w:rPr>
          <w:rFonts w:ascii="仿宋_GB2312" w:hAnsi="仿宋_GB2312" w:cs="仿宋_GB2312"/>
          <w:color w:val="000000" w:themeColor="text1"/>
          <w:szCs w:val="32"/>
          <w:lang w:bidi="ar"/>
          <w14:textFill>
            <w14:solidFill>
              <w14:schemeClr w14:val="tx1"/>
            </w14:solidFill>
          </w14:textFill>
        </w:rPr>
        <w:t>水域连通。探索漷县、西集等区域通航可行路径，逐步恢复提升运河通航功能，串联沿岸生态、文化与农业资源，带动乡镇融入文旅发展体系，形成由核心景区向周边区域延伸的联动发展格局。</w:t>
      </w:r>
    </w:p>
    <w:p>
      <w:pPr>
        <w:ind w:firstLine="643"/>
        <w:rPr>
          <w:rFonts w:ascii="仿宋_GB2312" w:hAnsi="仿宋_GB2312" w:cs="仿宋_GB2312"/>
          <w:color w:val="000000" w:themeColor="text1"/>
          <w:szCs w:val="32"/>
          <w:lang w:bidi="ar"/>
          <w14:textFill>
            <w14:solidFill>
              <w14:schemeClr w14:val="tx1"/>
            </w14:solidFill>
          </w14:textFill>
        </w:rPr>
      </w:pPr>
      <w:r>
        <w:rPr>
          <w:rFonts w:ascii="仿宋_GB2312" w:hAnsi="仿宋_GB2312" w:cs="仿宋_GB2312"/>
          <w:b/>
          <w:bCs/>
          <w:color w:val="000000" w:themeColor="text1"/>
          <w:szCs w:val="32"/>
          <w:lang w:bidi="ar"/>
          <w14:textFill>
            <w14:solidFill>
              <w14:schemeClr w14:val="tx1"/>
            </w14:solidFill>
          </w14:textFill>
        </w:rPr>
        <w:t>二是提升空间品质，打造高能级滨水文旅场景</w:t>
      </w:r>
      <w:r>
        <w:rPr>
          <w:rFonts w:ascii="仿宋_GB2312" w:hAnsi="仿宋_GB2312" w:cs="仿宋_GB2312"/>
          <w:color w:val="000000" w:themeColor="text1"/>
          <w:szCs w:val="32"/>
          <w:lang w:bidi="ar"/>
          <w14:textFill>
            <w14:solidFill>
              <w14:schemeClr w14:val="tx1"/>
            </w14:solidFill>
          </w14:textFill>
        </w:rPr>
        <w:t>。高标准运营运河两岸滨水空间，完善亲水平台、休闲草坪与慢行系统，构建开放共享的水岸公共空间。深挖</w:t>
      </w:r>
      <w:r>
        <w:rPr>
          <w:rFonts w:hint="eastAsia" w:ascii="仿宋_GB2312" w:hAnsi="仿宋_GB2312" w:cs="仿宋_GB2312"/>
          <w:color w:val="000000" w:themeColor="text1"/>
          <w:szCs w:val="32"/>
          <w:lang w:bidi="ar"/>
          <w14:textFill>
            <w14:solidFill>
              <w14:schemeClr w14:val="tx1"/>
            </w14:solidFill>
          </w14:textFill>
        </w:rPr>
        <w:t>“三庙一塔”</w:t>
      </w:r>
      <w:r>
        <w:rPr>
          <w:rFonts w:ascii="仿宋_GB2312" w:hAnsi="仿宋_GB2312" w:cs="仿宋_GB2312"/>
          <w:color w:val="000000" w:themeColor="text1"/>
          <w:szCs w:val="32"/>
          <w:lang w:bidi="ar"/>
          <w14:textFill>
            <w14:solidFill>
              <w14:schemeClr w14:val="tx1"/>
            </w14:solidFill>
          </w14:textFill>
        </w:rPr>
        <w:t>等历史文化资源，丰富文化展示与活动内容，打造集观光游览、文化体验与休闲消费于一体的滨水文旅场景</w:t>
      </w:r>
      <w:r>
        <w:rPr>
          <w:rFonts w:hint="eastAsia" w:ascii="仿宋_GB2312" w:hAnsi="仿宋_GB2312" w:cs="仿宋_GB2312"/>
          <w:color w:val="000000" w:themeColor="text1"/>
          <w:szCs w:val="32"/>
          <w:lang w:bidi="ar"/>
          <w14:textFill>
            <w14:solidFill>
              <w14:schemeClr w14:val="tx1"/>
            </w14:solidFill>
          </w14:textFill>
        </w:rPr>
        <w:t>，</w:t>
      </w:r>
      <w:r>
        <w:rPr>
          <w:rFonts w:ascii="仿宋_GB2312" w:hAnsi="仿宋_GB2312" w:cs="仿宋_GB2312"/>
          <w:color w:val="000000" w:themeColor="text1"/>
          <w:szCs w:val="32"/>
          <w:lang w:bidi="ar"/>
          <w14:textFill>
            <w14:solidFill>
              <w14:schemeClr w14:val="tx1"/>
            </w14:solidFill>
          </w14:textFill>
        </w:rPr>
        <w:t>提升运河空间的吸引力与承载力。</w:t>
      </w:r>
    </w:p>
    <w:p>
      <w:pPr>
        <w:ind w:firstLine="643"/>
        <w:rPr>
          <w:rFonts w:ascii="仿宋_GB2312" w:hAnsi="仿宋_GB2312" w:cs="仿宋_GB2312"/>
          <w:color w:val="000000" w:themeColor="text1"/>
          <w:szCs w:val="32"/>
          <w:lang w:bidi="ar"/>
          <w14:textFill>
            <w14:solidFill>
              <w14:schemeClr w14:val="tx1"/>
            </w14:solidFill>
          </w14:textFill>
        </w:rPr>
      </w:pPr>
      <w:r>
        <w:rPr>
          <w:rFonts w:ascii="仿宋_GB2312" w:hAnsi="仿宋_GB2312" w:cs="仿宋_GB2312"/>
          <w:b/>
          <w:bCs/>
          <w:color w:val="000000" w:themeColor="text1"/>
          <w:szCs w:val="32"/>
          <w:lang w:bidi="ar"/>
          <w14:textFill>
            <w14:solidFill>
              <w14:schemeClr w14:val="tx1"/>
            </w14:solidFill>
          </w14:textFill>
        </w:rPr>
        <w:t>三是强化内容赋能，培育多元融合消费业态</w:t>
      </w:r>
      <w:r>
        <w:rPr>
          <w:rFonts w:ascii="仿宋_GB2312" w:hAnsi="仿宋_GB2312" w:cs="仿宋_GB2312"/>
          <w:color w:val="000000" w:themeColor="text1"/>
          <w:szCs w:val="32"/>
          <w:lang w:bidi="ar"/>
          <w14:textFill>
            <w14:solidFill>
              <w14:schemeClr w14:val="tx1"/>
            </w14:solidFill>
          </w14:textFill>
        </w:rPr>
        <w:t>。推动非遗活化与文旅消费深度融合，在</w:t>
      </w:r>
      <w:r>
        <w:rPr>
          <w:rFonts w:hint="eastAsia" w:ascii="仿宋_GB2312" w:hAnsi="仿宋_GB2312" w:cs="仿宋_GB2312"/>
          <w:color w:val="000000" w:themeColor="text1"/>
          <w:szCs w:val="32"/>
          <w:lang w:bidi="ar"/>
          <w14:textFill>
            <w14:solidFill>
              <w14:schemeClr w14:val="tx1"/>
            </w14:solidFill>
          </w14:textFill>
        </w:rPr>
        <w:t>北京</w:t>
      </w:r>
      <w:r>
        <w:rPr>
          <w:rFonts w:ascii="仿宋_GB2312" w:hAnsi="仿宋_GB2312" w:cs="仿宋_GB2312"/>
          <w:color w:val="000000" w:themeColor="text1"/>
          <w:szCs w:val="32"/>
          <w:lang w:bidi="ar"/>
          <w14:textFill>
            <w14:solidFill>
              <w14:schemeClr w14:val="tx1"/>
            </w14:solidFill>
          </w14:textFill>
        </w:rPr>
        <w:t>环球度假区周边布局非遗体验空间，开发花丝镶嵌、运河龙灯等特色产品，打造</w:t>
      </w:r>
      <w:r>
        <w:rPr>
          <w:rFonts w:hint="eastAsia" w:ascii="仿宋_GB2312" w:hAnsi="仿宋_GB2312" w:cs="仿宋_GB2312"/>
          <w:color w:val="000000" w:themeColor="text1"/>
          <w:szCs w:val="32"/>
          <w:lang w:bidi="ar"/>
          <w14:textFill>
            <w14:solidFill>
              <w14:schemeClr w14:val="tx1"/>
            </w14:solidFill>
          </w14:textFill>
        </w:rPr>
        <w:t>“运河文化+环球IP”</w:t>
      </w:r>
      <w:r>
        <w:rPr>
          <w:rFonts w:ascii="仿宋_GB2312" w:hAnsi="仿宋_GB2312" w:cs="仿宋_GB2312"/>
          <w:color w:val="000000" w:themeColor="text1"/>
          <w:szCs w:val="32"/>
          <w:lang w:bidi="ar"/>
          <w14:textFill>
            <w14:solidFill>
              <w14:schemeClr w14:val="tx1"/>
            </w14:solidFill>
          </w14:textFill>
        </w:rPr>
        <w:t>沉浸式演艺项目。升级主题游船，做优</w:t>
      </w:r>
      <w:r>
        <w:rPr>
          <w:rFonts w:hint="eastAsia" w:ascii="仿宋_GB2312" w:hAnsi="仿宋_GB2312" w:cs="仿宋_GB2312"/>
          <w:color w:val="000000" w:themeColor="text1"/>
          <w:szCs w:val="32"/>
          <w:lang w:bidi="ar"/>
          <w14:textFill>
            <w14:solidFill>
              <w14:schemeClr w14:val="tx1"/>
            </w14:solidFill>
          </w14:textFill>
        </w:rPr>
        <w:t>“运上行”</w:t>
      </w:r>
      <w:r>
        <w:rPr>
          <w:rFonts w:ascii="仿宋_GB2312" w:hAnsi="仿宋_GB2312" w:cs="仿宋_GB2312"/>
          <w:color w:val="000000" w:themeColor="text1"/>
          <w:szCs w:val="32"/>
          <w:lang w:bidi="ar"/>
          <w14:textFill>
            <w14:solidFill>
              <w14:schemeClr w14:val="tx1"/>
            </w14:solidFill>
          </w14:textFill>
        </w:rPr>
        <w:t>等品牌活动，拓展夜游、研学、集市等消费场景，培育</w:t>
      </w:r>
      <w:r>
        <w:rPr>
          <w:rFonts w:hint="eastAsia" w:ascii="仿宋_GB2312" w:hAnsi="仿宋_GB2312" w:cs="仿宋_GB2312"/>
          <w:color w:val="000000" w:themeColor="text1"/>
          <w:szCs w:val="32"/>
          <w:lang w:bidi="ar"/>
          <w14:textFill>
            <w14:solidFill>
              <w14:schemeClr w14:val="tx1"/>
            </w14:solidFill>
          </w14:textFill>
        </w:rPr>
        <w:t>“夜游+夜娱+夜购”</w:t>
      </w:r>
      <w:r>
        <w:rPr>
          <w:rFonts w:ascii="仿宋_GB2312" w:hAnsi="仿宋_GB2312" w:cs="仿宋_GB2312"/>
          <w:color w:val="000000" w:themeColor="text1"/>
          <w:szCs w:val="32"/>
          <w:lang w:bidi="ar"/>
          <w14:textFill>
            <w14:solidFill>
              <w14:schemeClr w14:val="tx1"/>
            </w14:solidFill>
          </w14:textFill>
        </w:rPr>
        <w:t>一体化消费模式。发展</w:t>
      </w:r>
      <w:r>
        <w:rPr>
          <w:rFonts w:hint="eastAsia" w:ascii="仿宋_GB2312" w:hAnsi="仿宋_GB2312" w:cs="仿宋_GB2312"/>
          <w:color w:val="000000" w:themeColor="text1"/>
          <w:szCs w:val="32"/>
          <w:lang w:bidi="ar"/>
          <w14:textFill>
            <w14:solidFill>
              <w14:schemeClr w14:val="tx1"/>
            </w14:solidFill>
          </w14:textFill>
        </w:rPr>
        <w:t>“运河小院”</w:t>
      </w:r>
      <w:r>
        <w:rPr>
          <w:rFonts w:ascii="仿宋_GB2312" w:hAnsi="仿宋_GB2312" w:cs="仿宋_GB2312"/>
          <w:color w:val="000000" w:themeColor="text1"/>
          <w:szCs w:val="32"/>
          <w:lang w:bidi="ar"/>
          <w14:textFill>
            <w14:solidFill>
              <w14:schemeClr w14:val="tx1"/>
            </w14:solidFill>
          </w14:textFill>
        </w:rPr>
        <w:t>等特色民宿，推动文化研学、生态休闲等业态融合发展。</w:t>
      </w:r>
    </w:p>
    <w:p>
      <w:pPr>
        <w:pStyle w:val="4"/>
        <w:spacing w:before="0" w:after="0"/>
        <w:ind w:firstLine="640"/>
        <w:rPr>
          <w:rFonts w:hint="default" w:ascii="黑体" w:hAnsi="黑体" w:eastAsia="黑体" w:cs="黑体"/>
          <w:b w:val="0"/>
          <w:bCs w:val="0"/>
          <w:color w:val="000000" w:themeColor="text1"/>
          <w14:textFill>
            <w14:solidFill>
              <w14:schemeClr w14:val="tx1"/>
            </w14:solidFill>
          </w14:textFill>
        </w:rPr>
      </w:pPr>
      <w:bookmarkStart w:id="328" w:name="_Toc26207"/>
      <w:bookmarkStart w:id="329" w:name="_Toc228193725"/>
      <w:bookmarkStart w:id="330" w:name="_Toc12070"/>
      <w:bookmarkStart w:id="331" w:name="_Toc29761"/>
      <w:bookmarkStart w:id="332" w:name="_Toc27158"/>
      <w:bookmarkStart w:id="333" w:name="_Toc31196"/>
      <w:r>
        <w:rPr>
          <w:rFonts w:ascii="黑体" w:hAnsi="黑体" w:eastAsia="黑体" w:cs="黑体"/>
          <w:b w:val="0"/>
          <w:bCs w:val="0"/>
          <w:color w:val="000000" w:themeColor="text1"/>
          <w14:textFill>
            <w14:solidFill>
              <w14:schemeClr w14:val="tx1"/>
            </w14:solidFill>
          </w14:textFill>
        </w:rPr>
        <w:t>二、打造“环球+”文旅引擎，塑造首都消费新地标</w:t>
      </w:r>
      <w:bookmarkEnd w:id="328"/>
      <w:bookmarkEnd w:id="329"/>
      <w:bookmarkEnd w:id="330"/>
      <w:bookmarkEnd w:id="331"/>
      <w:bookmarkEnd w:id="332"/>
      <w:bookmarkEnd w:id="333"/>
    </w:p>
    <w:p>
      <w:pPr>
        <w:ind w:firstLine="643"/>
        <w:rPr>
          <w:rFonts w:ascii="仿宋_GB2312" w:hAnsi="仿宋_GB2312" w:cs="仿宋_GB2312"/>
          <w:color w:val="000000" w:themeColor="text1"/>
          <w:szCs w:val="32"/>
          <w:lang w:bidi="ar"/>
          <w14:textFill>
            <w14:solidFill>
              <w14:schemeClr w14:val="tx1"/>
            </w14:solidFill>
          </w14:textFill>
        </w:rPr>
      </w:pPr>
      <w:r>
        <w:rPr>
          <w:rFonts w:ascii="仿宋_GB2312" w:hAnsi="仿宋_GB2312" w:cs="仿宋_GB2312"/>
          <w:b/>
          <w:bCs/>
          <w:color w:val="000000" w:themeColor="text1"/>
          <w:szCs w:val="32"/>
          <w:lang w:bidi="ar"/>
          <w14:textFill>
            <w14:solidFill>
              <w14:schemeClr w14:val="tx1"/>
            </w14:solidFill>
          </w14:textFill>
        </w:rPr>
        <w:t>一是强化核心引领，提升主题娱乐集聚能级</w:t>
      </w:r>
      <w:r>
        <w:rPr>
          <w:rFonts w:ascii="仿宋_GB2312" w:hAnsi="仿宋_GB2312" w:cs="仿宋_GB2312"/>
          <w:color w:val="000000" w:themeColor="text1"/>
          <w:szCs w:val="32"/>
          <w:lang w:bidi="ar"/>
          <w14:textFill>
            <w14:solidFill>
              <w14:schemeClr w14:val="tx1"/>
            </w14:solidFill>
          </w14:textFill>
        </w:rPr>
        <w:t>。以</w:t>
      </w:r>
      <w:r>
        <w:rPr>
          <w:rFonts w:hint="eastAsia" w:ascii="仿宋_GB2312" w:hAnsi="仿宋_GB2312" w:cs="仿宋_GB2312"/>
          <w:color w:val="000000" w:themeColor="text1"/>
          <w:szCs w:val="32"/>
          <w:lang w:bidi="ar"/>
          <w14:textFill>
            <w14:solidFill>
              <w14:schemeClr w14:val="tx1"/>
            </w14:solidFill>
          </w14:textFill>
        </w:rPr>
        <w:t>北京</w:t>
      </w:r>
      <w:r>
        <w:rPr>
          <w:rFonts w:ascii="仿宋_GB2312" w:hAnsi="仿宋_GB2312" w:cs="仿宋_GB2312"/>
          <w:color w:val="000000" w:themeColor="text1"/>
          <w:szCs w:val="32"/>
          <w:lang w:bidi="ar"/>
          <w14:textFill>
            <w14:solidFill>
              <w14:schemeClr w14:val="tx1"/>
            </w14:solidFill>
          </w14:textFill>
        </w:rPr>
        <w:t>环球度假区为龙头，推进北部产业带开发和重点项目建设，推动顶点公园、海昌海洋公园等项目建成运营，形成多元主题娱乐集群，打造具有国际影响力的文旅消费核心区。</w:t>
      </w:r>
    </w:p>
    <w:p>
      <w:pPr>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二</w:t>
      </w:r>
      <w:r>
        <w:rPr>
          <w:rFonts w:ascii="仿宋_GB2312" w:hAnsi="仿宋_GB2312" w:cs="仿宋_GB2312"/>
          <w:b/>
          <w:bCs/>
          <w:color w:val="000000" w:themeColor="text1"/>
          <w:szCs w:val="32"/>
          <w:lang w:bidi="ar"/>
          <w14:textFill>
            <w14:solidFill>
              <w14:schemeClr w14:val="tx1"/>
            </w14:solidFill>
          </w14:textFill>
        </w:rPr>
        <w:t>是延伸产业链条，推动IP生态体系构建</w:t>
      </w:r>
      <w:r>
        <w:rPr>
          <w:rFonts w:ascii="仿宋_GB2312" w:hAnsi="仿宋_GB2312" w:cs="仿宋_GB2312"/>
          <w:color w:val="000000" w:themeColor="text1"/>
          <w:szCs w:val="32"/>
          <w:lang w:bidi="ar"/>
          <w14:textFill>
            <w14:solidFill>
              <w14:schemeClr w14:val="tx1"/>
            </w14:solidFill>
          </w14:textFill>
        </w:rPr>
        <w:t>。强化IP孵化与运营，培育具有中国特色的原创IP，打造</w:t>
      </w:r>
      <w:r>
        <w:rPr>
          <w:rFonts w:hint="eastAsia" w:ascii="仿宋_GB2312" w:hAnsi="仿宋_GB2312" w:cs="仿宋_GB2312"/>
          <w:color w:val="000000" w:themeColor="text1"/>
          <w:szCs w:val="32"/>
          <w:lang w:bidi="ar"/>
          <w14:textFill>
            <w14:solidFill>
              <w14:schemeClr w14:val="tx1"/>
            </w14:solidFill>
          </w14:textFill>
        </w:rPr>
        <w:t>“运河上的通州”</w:t>
      </w:r>
      <w:r>
        <w:rPr>
          <w:rFonts w:ascii="仿宋_GB2312" w:hAnsi="仿宋_GB2312" w:cs="仿宋_GB2312"/>
          <w:color w:val="000000" w:themeColor="text1"/>
          <w:szCs w:val="32"/>
          <w:lang w:bidi="ar"/>
          <w14:textFill>
            <w14:solidFill>
              <w14:schemeClr w14:val="tx1"/>
            </w14:solidFill>
          </w14:textFill>
        </w:rPr>
        <w:t>城市文旅品牌。加快布局影视制作、数字文娱、IP开发及衍生品设计制造等产业环节，构建内容生产</w:t>
      </w:r>
      <w:r>
        <w:rPr>
          <w:rFonts w:hint="eastAsia" w:ascii="仿宋_GB2312" w:hAnsi="仿宋_GB2312" w:cs="仿宋_GB2312"/>
          <w:color w:val="000000" w:themeColor="text1"/>
          <w:szCs w:val="32"/>
          <w:lang w:eastAsia="zh" w:bidi="ar"/>
          <w14:textFill>
            <w14:solidFill>
              <w14:schemeClr w14:val="tx1"/>
            </w14:solidFill>
          </w14:textFill>
        </w:rPr>
        <w:t>、</w:t>
      </w:r>
      <w:r>
        <w:rPr>
          <w:rFonts w:ascii="仿宋_GB2312" w:hAnsi="仿宋_GB2312" w:cs="仿宋_GB2312"/>
          <w:color w:val="000000" w:themeColor="text1"/>
          <w:szCs w:val="32"/>
          <w:lang w:bidi="ar"/>
          <w14:textFill>
            <w14:solidFill>
              <w14:schemeClr w14:val="tx1"/>
            </w14:solidFill>
          </w14:textFill>
        </w:rPr>
        <w:t>文化消费</w:t>
      </w:r>
      <w:r>
        <w:rPr>
          <w:rFonts w:hint="eastAsia" w:ascii="仿宋_GB2312" w:hAnsi="仿宋_GB2312" w:cs="仿宋_GB2312"/>
          <w:color w:val="000000" w:themeColor="text1"/>
          <w:szCs w:val="32"/>
          <w:lang w:eastAsia="zh" w:bidi="ar"/>
          <w14:textFill>
            <w14:solidFill>
              <w14:schemeClr w14:val="tx1"/>
            </w14:solidFill>
          </w14:textFill>
        </w:rPr>
        <w:t>、</w:t>
      </w:r>
      <w:r>
        <w:rPr>
          <w:rFonts w:ascii="仿宋_GB2312" w:hAnsi="仿宋_GB2312" w:cs="仿宋_GB2312"/>
          <w:color w:val="000000" w:themeColor="text1"/>
          <w:szCs w:val="32"/>
          <w:lang w:bidi="ar"/>
          <w14:textFill>
            <w14:solidFill>
              <w14:schemeClr w14:val="tx1"/>
            </w14:solidFill>
          </w14:textFill>
        </w:rPr>
        <w:t>衍生开发全链条体系。</w:t>
      </w:r>
    </w:p>
    <w:p>
      <w:pPr>
        <w:ind w:firstLine="640"/>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color w:val="000000" w:themeColor="text1"/>
          <w:szCs w:val="32"/>
          <w:lang w:bidi="ar"/>
          <w14:textFill>
            <w14:solidFill>
              <w14:schemeClr w14:val="tx1"/>
            </w14:solidFill>
          </w14:textFill>
        </w:rPr>
        <w:t>三</w:t>
      </w:r>
      <w:r>
        <w:rPr>
          <w:rFonts w:ascii="仿宋_GB2312" w:hAnsi="仿宋_GB2312" w:cs="仿宋_GB2312"/>
          <w:b/>
          <w:bCs/>
          <w:color w:val="000000" w:themeColor="text1"/>
          <w:szCs w:val="32"/>
          <w:lang w:bidi="ar"/>
          <w14:textFill>
            <w14:solidFill>
              <w14:schemeClr w14:val="tx1"/>
            </w14:solidFill>
          </w14:textFill>
        </w:rPr>
        <w:t>是丰富消费场景，构建复合型文旅功能体系</w:t>
      </w:r>
      <w:r>
        <w:rPr>
          <w:rFonts w:ascii="仿宋_GB2312" w:hAnsi="仿宋_GB2312" w:cs="仿宋_GB2312"/>
          <w:color w:val="000000" w:themeColor="text1"/>
          <w:szCs w:val="32"/>
          <w:lang w:bidi="ar"/>
          <w14:textFill>
            <w14:solidFill>
              <w14:schemeClr w14:val="tx1"/>
            </w14:solidFill>
          </w14:textFill>
        </w:rPr>
        <w:t>。深化</w:t>
      </w:r>
      <w:r>
        <w:rPr>
          <w:rFonts w:hint="eastAsia" w:ascii="仿宋_GB2312" w:hAnsi="仿宋_GB2312" w:cs="仿宋_GB2312"/>
          <w:color w:val="000000" w:themeColor="text1"/>
          <w:szCs w:val="32"/>
          <w:lang w:bidi="ar"/>
          <w14:textFill>
            <w14:solidFill>
              <w14:schemeClr w14:val="tx1"/>
            </w14:solidFill>
          </w14:textFill>
        </w:rPr>
        <w:t>“环球影城×大运河”</w:t>
      </w:r>
      <w:r>
        <w:rPr>
          <w:rFonts w:ascii="仿宋_GB2312" w:hAnsi="仿宋_GB2312" w:cs="仿宋_GB2312"/>
          <w:color w:val="000000" w:themeColor="text1"/>
          <w:szCs w:val="32"/>
          <w:lang w:bidi="ar"/>
          <w14:textFill>
            <w14:solidFill>
              <w14:schemeClr w14:val="tx1"/>
            </w14:solidFill>
          </w14:textFill>
        </w:rPr>
        <w:t>国际消费体验区建设，联动周边商业、文旅及配套项目，拓展演艺、夜游、亲子等多元消费场景。</w:t>
      </w:r>
    </w:p>
    <w:p>
      <w:pPr>
        <w:pStyle w:val="4"/>
        <w:spacing w:before="0" w:after="0"/>
        <w:ind w:firstLine="640"/>
        <w:rPr>
          <w:rFonts w:hint="default" w:ascii="黑体" w:hAnsi="黑体" w:eastAsia="黑体" w:cs="黑体"/>
          <w:b w:val="0"/>
          <w:bCs w:val="0"/>
          <w:color w:val="000000" w:themeColor="text1"/>
          <w14:textFill>
            <w14:solidFill>
              <w14:schemeClr w14:val="tx1"/>
            </w14:solidFill>
          </w14:textFill>
        </w:rPr>
      </w:pPr>
      <w:bookmarkStart w:id="334" w:name="_Toc228193726"/>
      <w:bookmarkStart w:id="335" w:name="_Toc30673"/>
      <w:bookmarkStart w:id="336" w:name="_Toc12222"/>
      <w:bookmarkStart w:id="337" w:name="_Toc15962"/>
      <w:bookmarkStart w:id="338" w:name="_Toc16141"/>
      <w:r>
        <w:rPr>
          <w:rFonts w:ascii="黑体" w:hAnsi="黑体" w:eastAsia="黑体" w:cs="黑体"/>
          <w:b w:val="0"/>
          <w:bCs w:val="0"/>
          <w:color w:val="000000" w:themeColor="text1"/>
          <w14:textFill>
            <w14:solidFill>
              <w14:schemeClr w14:val="tx1"/>
            </w14:solidFill>
          </w14:textFill>
        </w:rPr>
        <w:t>三、</w:t>
      </w:r>
      <w:r>
        <w:rPr>
          <w:rFonts w:ascii="黑体" w:hAnsi="黑体" w:eastAsia="黑体" w:cs="黑体"/>
          <w:b w:val="0"/>
          <w:bCs w:val="0"/>
          <w:color w:val="000000" w:themeColor="text1"/>
          <w:lang w:eastAsia="zh"/>
          <w14:textFill>
            <w14:solidFill>
              <w14:schemeClr w14:val="tx1"/>
            </w14:solidFill>
          </w14:textFill>
        </w:rPr>
        <w:t>激活小镇发展动能，打造主题文化产业矩阵</w:t>
      </w:r>
      <w:bookmarkEnd w:id="334"/>
      <w:bookmarkEnd w:id="335"/>
      <w:bookmarkEnd w:id="336"/>
      <w:bookmarkEnd w:id="337"/>
      <w:bookmarkEnd w:id="338"/>
    </w:p>
    <w:p>
      <w:pPr>
        <w:ind w:firstLine="643"/>
        <w:rPr>
          <w:rFonts w:ascii="仿宋_GB2312" w:hAnsi="仿宋_GB2312" w:cs="仿宋_GB2312"/>
          <w:color w:val="000000" w:themeColor="text1"/>
          <w:szCs w:val="32"/>
          <w:lang w:bidi="ar"/>
          <w14:textFill>
            <w14:solidFill>
              <w14:schemeClr w14:val="tx1"/>
            </w14:solidFill>
          </w14:textFill>
        </w:rPr>
      </w:pPr>
      <w:r>
        <w:rPr>
          <w:rFonts w:ascii="仿宋_GB2312" w:hAnsi="仿宋_GB2312" w:cs="仿宋_GB2312"/>
          <w:b/>
          <w:bCs/>
          <w:color w:val="000000" w:themeColor="text1"/>
          <w:szCs w:val="32"/>
          <w:lang w:bidi="ar"/>
          <w14:textFill>
            <w14:solidFill>
              <w14:schemeClr w14:val="tx1"/>
            </w14:solidFill>
          </w14:textFill>
        </w:rPr>
        <w:t>一是做强宋庄艺术创意小镇，打造艺术创新与内容孵化高地</w:t>
      </w:r>
      <w:r>
        <w:rPr>
          <w:rFonts w:ascii="仿宋_GB2312" w:hAnsi="仿宋_GB2312" w:cs="仿宋_GB2312"/>
          <w:color w:val="000000" w:themeColor="text1"/>
          <w:szCs w:val="32"/>
          <w:lang w:bidi="ar"/>
          <w14:textFill>
            <w14:solidFill>
              <w14:schemeClr w14:val="tx1"/>
            </w14:solidFill>
          </w14:textFill>
        </w:rPr>
        <w:t>。立足艺术家集聚优势，建设工艺美术集聚区，培育一批高品质工作室与创客空间，推动青年艺术家工坊、</w:t>
      </w:r>
      <w:r>
        <w:rPr>
          <w:rFonts w:hint="eastAsia" w:ascii="仿宋_GB2312" w:hAnsi="仿宋_GB2312" w:cs="仿宋_GB2312"/>
          <w:color w:val="000000" w:themeColor="text1"/>
          <w:szCs w:val="32"/>
          <w:lang w:bidi="ar"/>
          <w14:textFill>
            <w14:solidFill>
              <w14:schemeClr w14:val="tx1"/>
            </w14:solidFill>
          </w14:textFill>
        </w:rPr>
        <w:t>首开</w:t>
      </w:r>
      <w:r>
        <w:rPr>
          <w:rFonts w:ascii="仿宋_GB2312" w:hAnsi="仿宋_GB2312" w:cs="仿宋_GB2312"/>
          <w:color w:val="000000" w:themeColor="text1"/>
          <w:szCs w:val="32"/>
          <w:lang w:bidi="ar"/>
          <w14:textFill>
            <w14:solidFill>
              <w14:schemeClr w14:val="tx1"/>
            </w14:solidFill>
          </w14:textFill>
        </w:rPr>
        <w:t>L</w:t>
      </w:r>
      <w:r>
        <w:rPr>
          <w:rFonts w:hint="eastAsia" w:ascii="仿宋_GB2312" w:hAnsi="仿宋_GB2312" w:cs="仿宋_GB2312"/>
          <w:color w:val="000000" w:themeColor="text1"/>
          <w:szCs w:val="32"/>
          <w:lang w:bidi="ar"/>
          <w14:textFill>
            <w14:solidFill>
              <w14:schemeClr w14:val="tx1"/>
            </w14:solidFill>
          </w14:textFill>
        </w:rPr>
        <w:t>ONG</w:t>
      </w:r>
      <w:r>
        <w:rPr>
          <w:rFonts w:ascii="仿宋_GB2312" w:hAnsi="仿宋_GB2312" w:cs="仿宋_GB2312"/>
          <w:color w:val="000000" w:themeColor="text1"/>
          <w:szCs w:val="32"/>
          <w:lang w:bidi="ar"/>
          <w14:textFill>
            <w14:solidFill>
              <w14:schemeClr w14:val="tx1"/>
            </w14:solidFill>
          </w14:textFill>
        </w:rPr>
        <w:t>街等载体高效运营。完善艺术品展示、交易与版权服务体系，建设数字文化资产平台，促进原创艺术内容孵化与转化。深化</w:t>
      </w:r>
      <w:r>
        <w:rPr>
          <w:rFonts w:hint="eastAsia" w:ascii="仿宋_GB2312" w:hAnsi="仿宋_GB2312" w:cs="仿宋_GB2312"/>
          <w:color w:val="000000" w:themeColor="text1"/>
          <w:szCs w:val="32"/>
          <w:lang w:bidi="ar"/>
          <w14:textFill>
            <w14:solidFill>
              <w14:schemeClr w14:val="tx1"/>
            </w14:solidFill>
          </w14:textFill>
        </w:rPr>
        <w:t>“艺术+视听”</w:t>
      </w:r>
      <w:r>
        <w:rPr>
          <w:rFonts w:ascii="仿宋_GB2312" w:hAnsi="仿宋_GB2312" w:cs="仿宋_GB2312"/>
          <w:color w:val="000000" w:themeColor="text1"/>
          <w:szCs w:val="32"/>
          <w:lang w:bidi="ar"/>
          <w14:textFill>
            <w14:solidFill>
              <w14:schemeClr w14:val="tx1"/>
            </w14:solidFill>
          </w14:textFill>
        </w:rPr>
        <w:t>融合发展路径，依托</w:t>
      </w:r>
      <w:r>
        <w:rPr>
          <w:rFonts w:hint="eastAsia" w:ascii="仿宋_GB2312" w:hAnsi="仿宋_GB2312" w:cs="仿宋_GB2312"/>
          <w:color w:val="000000" w:themeColor="text1"/>
          <w:szCs w:val="32"/>
          <w:lang w:bidi="ar"/>
          <w14:textFill>
            <w14:solidFill>
              <w14:schemeClr w14:val="tx1"/>
            </w14:solidFill>
          </w14:textFill>
        </w:rPr>
        <w:t>“宋庄新视听产业廊道”</w:t>
      </w:r>
      <w:r>
        <w:rPr>
          <w:rFonts w:ascii="仿宋_GB2312" w:hAnsi="仿宋_GB2312" w:cs="仿宋_GB2312"/>
          <w:color w:val="000000" w:themeColor="text1"/>
          <w:szCs w:val="32"/>
          <w:lang w:bidi="ar"/>
          <w14:textFill>
            <w14:solidFill>
              <w14:schemeClr w14:val="tx1"/>
            </w14:solidFill>
          </w14:textFill>
        </w:rPr>
        <w:t>，推动内容创作、版权交易、传播发行等环节集聚发展，打造具有全国影响力的艺术创意产业高地。</w:t>
      </w:r>
    </w:p>
    <w:p>
      <w:pPr>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二是</w:t>
      </w:r>
      <w:r>
        <w:rPr>
          <w:rFonts w:ascii="仿宋_GB2312" w:hAnsi="仿宋_GB2312" w:cs="仿宋_GB2312"/>
          <w:b/>
          <w:bCs/>
          <w:color w:val="000000" w:themeColor="text1"/>
          <w:szCs w:val="32"/>
          <w:lang w:bidi="ar"/>
          <w14:textFill>
            <w14:solidFill>
              <w14:schemeClr w14:val="tx1"/>
            </w14:solidFill>
          </w14:textFill>
        </w:rPr>
        <w:t>做优台湖演艺小镇，打造演艺消费与内容生产集聚区</w:t>
      </w:r>
      <w:r>
        <w:rPr>
          <w:rFonts w:ascii="仿宋_GB2312" w:hAnsi="仿宋_GB2312" w:cs="仿宋_GB2312"/>
          <w:color w:val="000000" w:themeColor="text1"/>
          <w:szCs w:val="32"/>
          <w:lang w:bidi="ar"/>
          <w14:textFill>
            <w14:solidFill>
              <w14:schemeClr w14:val="tx1"/>
            </w14:solidFill>
          </w14:textFill>
        </w:rPr>
        <w:t>。以拓展演艺核心功能为主线，强化音乐剧等优势领域发展，推动存量空间转型利用，培育沉浸式演艺、小剧场、数字演艺平台等新业态。依托国家大剧院舞美艺术中心、北京交响乐团等资源，推动台湖演艺小镇剧场等项目建设，全力保障北京舞蹈学院入驻，打造一批</w:t>
      </w:r>
      <w:r>
        <w:rPr>
          <w:rFonts w:hint="eastAsia" w:ascii="仿宋_GB2312" w:hAnsi="仿宋_GB2312" w:cs="仿宋_GB2312"/>
          <w:color w:val="000000" w:themeColor="text1"/>
          <w:szCs w:val="32"/>
          <w:lang w:bidi="ar"/>
          <w14:textFill>
            <w14:solidFill>
              <w14:schemeClr w14:val="tx1"/>
            </w14:solidFill>
          </w14:textFill>
        </w:rPr>
        <w:t>“</w:t>
      </w:r>
      <w:r>
        <w:rPr>
          <w:rFonts w:ascii="仿宋_GB2312" w:hAnsi="仿宋_GB2312" w:cs="仿宋_GB2312"/>
          <w:color w:val="000000" w:themeColor="text1"/>
          <w:szCs w:val="32"/>
          <w:lang w:bidi="ar"/>
          <w14:textFill>
            <w14:solidFill>
              <w14:schemeClr w14:val="tx1"/>
            </w14:solidFill>
          </w14:textFill>
        </w:rPr>
        <w:t>小而精、特而美</w:t>
      </w:r>
      <w:r>
        <w:rPr>
          <w:rFonts w:hint="eastAsia" w:ascii="仿宋_GB2312" w:hAnsi="仿宋_GB2312" w:cs="仿宋_GB2312"/>
          <w:color w:val="000000" w:themeColor="text1"/>
          <w:szCs w:val="32"/>
          <w:lang w:bidi="ar"/>
          <w14:textFill>
            <w14:solidFill>
              <w14:schemeClr w14:val="tx1"/>
            </w14:solidFill>
          </w14:textFill>
        </w:rPr>
        <w:t>”</w:t>
      </w:r>
      <w:r>
        <w:rPr>
          <w:rFonts w:ascii="仿宋_GB2312" w:hAnsi="仿宋_GB2312" w:cs="仿宋_GB2312"/>
          <w:color w:val="000000" w:themeColor="text1"/>
          <w:szCs w:val="32"/>
          <w:lang w:bidi="ar"/>
          <w14:textFill>
            <w14:solidFill>
              <w14:schemeClr w14:val="tx1"/>
            </w14:solidFill>
          </w14:textFill>
        </w:rPr>
        <w:t>的演艺新空间，吸引优质剧目首演首秀。</w:t>
      </w:r>
    </w:p>
    <w:p>
      <w:pPr>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三是做精张家湾设计小镇，打造现代设计与时尚产业高地。</w:t>
      </w:r>
      <w:r>
        <w:rPr>
          <w:rFonts w:hint="eastAsia" w:ascii="仿宋_GB2312" w:hAnsi="仿宋_GB2312" w:cs="仿宋_GB2312"/>
          <w:color w:val="000000" w:themeColor="text1"/>
          <w:szCs w:val="32"/>
          <w:lang w:bidi="ar"/>
          <w14:textFill>
            <w14:solidFill>
              <w14:schemeClr w14:val="tx1"/>
            </w14:solidFill>
          </w14:textFill>
        </w:rPr>
        <w:t>围绕“设计小镇、智慧小镇、活力小镇”定位，聚焦创新设计产业发展方向，加强规划设计、工程设计、工业设计和创意设计等产业布局，着力打造北京设计之都重要平台。</w:t>
      </w:r>
    </w:p>
    <w:p>
      <w:pPr>
        <w:pStyle w:val="4"/>
        <w:spacing w:before="0" w:after="0"/>
        <w:ind w:firstLine="640"/>
        <w:rPr>
          <w:rFonts w:hint="default" w:ascii="黑体" w:hAnsi="黑体" w:eastAsia="黑体" w:cs="黑体"/>
          <w:b w:val="0"/>
          <w:bCs w:val="0"/>
          <w:color w:val="000000" w:themeColor="text1"/>
          <w14:textFill>
            <w14:solidFill>
              <w14:schemeClr w14:val="tx1"/>
            </w14:solidFill>
          </w14:textFill>
        </w:rPr>
      </w:pPr>
      <w:bookmarkStart w:id="339" w:name="_Toc30227"/>
      <w:bookmarkStart w:id="340" w:name="_Toc17484"/>
      <w:bookmarkStart w:id="341" w:name="_Toc22489"/>
      <w:bookmarkStart w:id="342" w:name="_Toc5966"/>
      <w:bookmarkStart w:id="343" w:name="_Toc228193727"/>
      <w:bookmarkStart w:id="344" w:name="_Toc28171"/>
      <w:r>
        <w:rPr>
          <w:rFonts w:ascii="黑体" w:hAnsi="黑体" w:eastAsia="黑体" w:cs="黑体"/>
          <w:b w:val="0"/>
          <w:bCs w:val="0"/>
          <w:color w:val="000000" w:themeColor="text1"/>
          <w14:textFill>
            <w14:solidFill>
              <w14:schemeClr w14:val="tx1"/>
            </w14:solidFill>
          </w14:textFill>
        </w:rPr>
        <w:t>四、布局数字文旅，构建网络视听产业发展高地</w:t>
      </w:r>
      <w:bookmarkEnd w:id="339"/>
      <w:bookmarkEnd w:id="340"/>
      <w:bookmarkEnd w:id="341"/>
      <w:bookmarkEnd w:id="342"/>
      <w:bookmarkEnd w:id="343"/>
      <w:bookmarkEnd w:id="344"/>
    </w:p>
    <w:p>
      <w:pPr>
        <w:ind w:firstLine="643"/>
        <w:rPr>
          <w:rFonts w:ascii="仿宋_GB2312" w:hAnsi="仿宋_GB2312" w:cs="仿宋_GB2312"/>
          <w:color w:val="000000" w:themeColor="text1"/>
          <w:szCs w:val="32"/>
          <w:lang w:bidi="ar"/>
          <w14:textFill>
            <w14:solidFill>
              <w14:schemeClr w14:val="tx1"/>
            </w14:solidFill>
          </w14:textFill>
        </w:rPr>
      </w:pPr>
      <w:r>
        <w:rPr>
          <w:rFonts w:ascii="仿宋_GB2312" w:hAnsi="仿宋_GB2312" w:cs="仿宋_GB2312"/>
          <w:b/>
          <w:bCs/>
          <w:color w:val="000000" w:themeColor="text1"/>
          <w:szCs w:val="32"/>
          <w:lang w:bidi="ar"/>
          <w14:textFill>
            <w14:solidFill>
              <w14:schemeClr w14:val="tx1"/>
            </w14:solidFill>
          </w14:textFill>
        </w:rPr>
        <w:t>一是完善政策体系，构建产业发展生态</w:t>
      </w:r>
      <w:r>
        <w:rPr>
          <w:rFonts w:ascii="仿宋_GB2312" w:hAnsi="仿宋_GB2312" w:cs="仿宋_GB2312"/>
          <w:color w:val="000000" w:themeColor="text1"/>
          <w:szCs w:val="32"/>
          <w:lang w:bidi="ar"/>
          <w14:textFill>
            <w14:solidFill>
              <w14:schemeClr w14:val="tx1"/>
            </w14:solidFill>
          </w14:textFill>
        </w:rPr>
        <w:t>。围绕长短视频、游戏动漫、直播电商等重点领域，系统构建内容创作</w:t>
      </w:r>
      <w:r>
        <w:rPr>
          <w:rFonts w:hint="eastAsia" w:ascii="仿宋_GB2312" w:hAnsi="仿宋_GB2312" w:cs="仿宋_GB2312"/>
          <w:color w:val="000000" w:themeColor="text1"/>
          <w:szCs w:val="32"/>
          <w:lang w:eastAsia="zh" w:bidi="ar"/>
          <w14:textFill>
            <w14:solidFill>
              <w14:schemeClr w14:val="tx1"/>
            </w14:solidFill>
          </w14:textFill>
        </w:rPr>
        <w:t>、</w:t>
      </w:r>
      <w:r>
        <w:rPr>
          <w:rFonts w:ascii="仿宋_GB2312" w:hAnsi="仿宋_GB2312" w:cs="仿宋_GB2312"/>
          <w:color w:val="000000" w:themeColor="text1"/>
          <w:szCs w:val="32"/>
          <w:lang w:bidi="ar"/>
          <w14:textFill>
            <w14:solidFill>
              <w14:schemeClr w14:val="tx1"/>
            </w14:solidFill>
          </w14:textFill>
        </w:rPr>
        <w:t>制作生产</w:t>
      </w:r>
      <w:r>
        <w:rPr>
          <w:rFonts w:hint="eastAsia" w:ascii="仿宋_GB2312" w:hAnsi="仿宋_GB2312" w:cs="仿宋_GB2312"/>
          <w:color w:val="000000" w:themeColor="text1"/>
          <w:szCs w:val="32"/>
          <w:lang w:eastAsia="zh" w:bidi="ar"/>
          <w14:textFill>
            <w14:solidFill>
              <w14:schemeClr w14:val="tx1"/>
            </w14:solidFill>
          </w14:textFill>
        </w:rPr>
        <w:t>、</w:t>
      </w:r>
      <w:r>
        <w:rPr>
          <w:rFonts w:ascii="仿宋_GB2312" w:hAnsi="仿宋_GB2312" w:cs="仿宋_GB2312"/>
          <w:color w:val="000000" w:themeColor="text1"/>
          <w:szCs w:val="32"/>
          <w:lang w:bidi="ar"/>
          <w14:textFill>
            <w14:solidFill>
              <w14:schemeClr w14:val="tx1"/>
            </w14:solidFill>
          </w14:textFill>
        </w:rPr>
        <w:t>传播发行</w:t>
      </w:r>
      <w:r>
        <w:rPr>
          <w:rFonts w:hint="eastAsia" w:ascii="仿宋_GB2312" w:hAnsi="仿宋_GB2312" w:cs="仿宋_GB2312"/>
          <w:color w:val="000000" w:themeColor="text1"/>
          <w:szCs w:val="32"/>
          <w:lang w:eastAsia="zh" w:bidi="ar"/>
          <w14:textFill>
            <w14:solidFill>
              <w14:schemeClr w14:val="tx1"/>
            </w14:solidFill>
          </w14:textFill>
        </w:rPr>
        <w:t>、</w:t>
      </w:r>
      <w:r>
        <w:rPr>
          <w:rFonts w:ascii="仿宋_GB2312" w:hAnsi="仿宋_GB2312" w:cs="仿宋_GB2312"/>
          <w:color w:val="000000" w:themeColor="text1"/>
          <w:szCs w:val="32"/>
          <w:lang w:bidi="ar"/>
          <w14:textFill>
            <w14:solidFill>
              <w14:schemeClr w14:val="tx1"/>
            </w14:solidFill>
          </w14:textFill>
        </w:rPr>
        <w:t>衍生开发全产业链条。完善产业支持政策，搭建集政策对接、技术服务、金融支持、专业指导于一体的公共服务体系，降低企业创新成本，提升产业发展活力，推动优质内容与产业资源加快集聚。</w:t>
      </w:r>
    </w:p>
    <w:p>
      <w:pPr>
        <w:ind w:firstLine="643"/>
        <w:rPr>
          <w:rFonts w:ascii="仿宋_GB2312" w:hAnsi="仿宋_GB2312" w:cs="仿宋_GB2312"/>
          <w:color w:val="000000" w:themeColor="text1"/>
          <w:szCs w:val="32"/>
          <w:lang w:bidi="ar"/>
          <w14:textFill>
            <w14:solidFill>
              <w14:schemeClr w14:val="tx1"/>
            </w14:solidFill>
          </w14:textFill>
        </w:rPr>
      </w:pPr>
      <w:r>
        <w:rPr>
          <w:rFonts w:ascii="仿宋_GB2312" w:hAnsi="仿宋_GB2312" w:cs="仿宋_GB2312"/>
          <w:b/>
          <w:bCs/>
          <w:color w:val="000000" w:themeColor="text1"/>
          <w:szCs w:val="32"/>
          <w:lang w:bidi="ar"/>
          <w14:textFill>
            <w14:solidFill>
              <w14:schemeClr w14:val="tx1"/>
            </w14:solidFill>
          </w14:textFill>
        </w:rPr>
        <w:t>二是做强</w:t>
      </w:r>
      <w:r>
        <w:rPr>
          <w:rFonts w:hint="eastAsia" w:ascii="仿宋_GB2312" w:hAnsi="仿宋_GB2312" w:cs="仿宋_GB2312"/>
          <w:b/>
          <w:bCs/>
          <w:color w:val="000000" w:themeColor="text1"/>
          <w:szCs w:val="32"/>
          <w:lang w:bidi="ar"/>
          <w14:textFill>
            <w14:solidFill>
              <w14:schemeClr w14:val="tx1"/>
            </w14:solidFill>
          </w14:textFill>
        </w:rPr>
        <w:t>“两廊”</w:t>
      </w:r>
      <w:r>
        <w:rPr>
          <w:rFonts w:ascii="仿宋_GB2312" w:hAnsi="仿宋_GB2312" w:cs="仿宋_GB2312"/>
          <w:b/>
          <w:bCs/>
          <w:color w:val="000000" w:themeColor="text1"/>
          <w:szCs w:val="32"/>
          <w:lang w:bidi="ar"/>
          <w14:textFill>
            <w14:solidFill>
              <w14:schemeClr w14:val="tx1"/>
            </w14:solidFill>
          </w14:textFill>
        </w:rPr>
        <w:t>载体，打造视听产业集聚高地</w:t>
      </w:r>
      <w:r>
        <w:rPr>
          <w:rFonts w:ascii="仿宋_GB2312" w:hAnsi="仿宋_GB2312" w:cs="仿宋_GB2312"/>
          <w:color w:val="000000" w:themeColor="text1"/>
          <w:szCs w:val="32"/>
          <w:lang w:bidi="ar"/>
          <w14:textFill>
            <w14:solidFill>
              <w14:schemeClr w14:val="tx1"/>
            </w14:solidFill>
          </w14:textFill>
        </w:rPr>
        <w:t>。加快推进温榆河网络视听产业走廊建设，依托紫光VID网络视听产业园、步长国际VID园区等重点载体，聚焦超高清、人工智能、XR等前沿技术，强化技术研发与文旅场景应用融合，打造技术驱动型产业集群。推进宋庄新视听产业廊道建设，以宋庄微短剧基地、新视听艺术产业园为核心，整合剧本创作、版权交易、人才培训、发行推广等资源，建设一站式影视服务平台，形成创作</w:t>
      </w:r>
      <w:r>
        <w:rPr>
          <w:rFonts w:hint="eastAsia" w:ascii="仿宋_GB2312" w:hAnsi="仿宋_GB2312" w:cs="仿宋_GB2312"/>
          <w:color w:val="000000" w:themeColor="text1"/>
          <w:szCs w:val="32"/>
          <w:lang w:eastAsia="zh" w:bidi="ar"/>
          <w14:textFill>
            <w14:solidFill>
              <w14:schemeClr w14:val="tx1"/>
            </w14:solidFill>
          </w14:textFill>
        </w:rPr>
        <w:t>、</w:t>
      </w:r>
      <w:r>
        <w:rPr>
          <w:rFonts w:ascii="仿宋_GB2312" w:hAnsi="仿宋_GB2312" w:cs="仿宋_GB2312"/>
          <w:color w:val="000000" w:themeColor="text1"/>
          <w:szCs w:val="32"/>
          <w:lang w:bidi="ar"/>
          <w14:textFill>
            <w14:solidFill>
              <w14:schemeClr w14:val="tx1"/>
            </w14:solidFill>
          </w14:textFill>
        </w:rPr>
        <w:t>技术</w:t>
      </w:r>
      <w:r>
        <w:rPr>
          <w:rFonts w:hint="eastAsia" w:ascii="仿宋_GB2312" w:hAnsi="仿宋_GB2312" w:cs="仿宋_GB2312"/>
          <w:color w:val="000000" w:themeColor="text1"/>
          <w:szCs w:val="32"/>
          <w:lang w:eastAsia="zh" w:bidi="ar"/>
          <w14:textFill>
            <w14:solidFill>
              <w14:schemeClr w14:val="tx1"/>
            </w14:solidFill>
          </w14:textFill>
        </w:rPr>
        <w:t>、</w:t>
      </w:r>
      <w:r>
        <w:rPr>
          <w:rFonts w:ascii="仿宋_GB2312" w:hAnsi="仿宋_GB2312" w:cs="仿宋_GB2312"/>
          <w:color w:val="000000" w:themeColor="text1"/>
          <w:szCs w:val="32"/>
          <w:lang w:bidi="ar"/>
          <w14:textFill>
            <w14:solidFill>
              <w14:schemeClr w14:val="tx1"/>
            </w14:solidFill>
          </w14:textFill>
        </w:rPr>
        <w:t>传播</w:t>
      </w:r>
      <w:r>
        <w:rPr>
          <w:rFonts w:hint="eastAsia" w:ascii="仿宋_GB2312" w:hAnsi="仿宋_GB2312" w:cs="仿宋_GB2312"/>
          <w:color w:val="000000" w:themeColor="text1"/>
          <w:szCs w:val="32"/>
          <w:lang w:eastAsia="zh" w:bidi="ar"/>
          <w14:textFill>
            <w14:solidFill>
              <w14:schemeClr w14:val="tx1"/>
            </w14:solidFill>
          </w14:textFill>
        </w:rPr>
        <w:t>、</w:t>
      </w:r>
      <w:r>
        <w:rPr>
          <w:rFonts w:ascii="仿宋_GB2312" w:hAnsi="仿宋_GB2312" w:cs="仿宋_GB2312"/>
          <w:color w:val="000000" w:themeColor="text1"/>
          <w:szCs w:val="32"/>
          <w:lang w:bidi="ar"/>
          <w14:textFill>
            <w14:solidFill>
              <w14:schemeClr w14:val="tx1"/>
            </w14:solidFill>
          </w14:textFill>
        </w:rPr>
        <w:t>配套协同发展的内容产业生态。</w:t>
      </w:r>
    </w:p>
    <w:p>
      <w:pPr>
        <w:ind w:firstLine="643"/>
        <w:rPr>
          <w:rStyle w:val="32"/>
          <w:rFonts w:ascii="仿宋_GB2312" w:hAnsi="仿宋_GB2312" w:cs="仿宋_GB2312"/>
          <w:color w:val="000000" w:themeColor="text1"/>
          <w:szCs w:val="32"/>
          <w:lang w:bidi="ar"/>
          <w14:textFill>
            <w14:solidFill>
              <w14:schemeClr w14:val="tx1"/>
            </w14:solidFill>
          </w14:textFill>
        </w:rPr>
      </w:pPr>
      <w:r>
        <w:rPr>
          <w:rFonts w:ascii="仿宋_GB2312" w:hAnsi="仿宋_GB2312" w:cs="仿宋_GB2312"/>
          <w:b/>
          <w:bCs/>
          <w:color w:val="000000" w:themeColor="text1"/>
          <w:szCs w:val="32"/>
          <w:lang w:bidi="ar"/>
          <w14:textFill>
            <w14:solidFill>
              <w14:schemeClr w14:val="tx1"/>
            </w14:solidFill>
          </w14:textFill>
        </w:rPr>
        <w:t>三是布局新型业态，培育数字内容消费新引擎</w:t>
      </w:r>
      <w:r>
        <w:rPr>
          <w:rFonts w:ascii="仿宋_GB2312" w:hAnsi="仿宋_GB2312" w:cs="仿宋_GB2312"/>
          <w:color w:val="000000" w:themeColor="text1"/>
          <w:szCs w:val="32"/>
          <w:lang w:bidi="ar"/>
          <w14:textFill>
            <w14:solidFill>
              <w14:schemeClr w14:val="tx1"/>
            </w14:solidFill>
          </w14:textFill>
        </w:rPr>
        <w:t>。加快直播基地选址建设，依托无忧传媒等头部机构，引育优质内容创作者和新媒体团队集聚发展，带动网络直播、电商营销、内容制作等产业链延伸。拓展数字内容传播与消费市场，推动内容生产</w:t>
      </w:r>
      <w:r>
        <w:rPr>
          <w:rFonts w:hint="eastAsia" w:ascii="仿宋_GB2312" w:hAnsi="仿宋_GB2312" w:cs="仿宋_GB2312"/>
          <w:color w:val="000000" w:themeColor="text1"/>
          <w:szCs w:val="32"/>
          <w:lang w:eastAsia="zh" w:bidi="ar"/>
          <w14:textFill>
            <w14:solidFill>
              <w14:schemeClr w14:val="tx1"/>
            </w14:solidFill>
          </w14:textFill>
        </w:rPr>
        <w:t>、</w:t>
      </w:r>
      <w:r>
        <w:rPr>
          <w:rFonts w:ascii="仿宋_GB2312" w:hAnsi="仿宋_GB2312" w:cs="仿宋_GB2312"/>
          <w:color w:val="000000" w:themeColor="text1"/>
          <w:szCs w:val="32"/>
          <w:lang w:bidi="ar"/>
          <w14:textFill>
            <w14:solidFill>
              <w14:schemeClr w14:val="tx1"/>
            </w14:solidFill>
          </w14:textFill>
        </w:rPr>
        <w:t>流量转化</w:t>
      </w:r>
      <w:r>
        <w:rPr>
          <w:rFonts w:hint="eastAsia" w:ascii="仿宋_GB2312" w:hAnsi="仿宋_GB2312" w:cs="仿宋_GB2312"/>
          <w:color w:val="000000" w:themeColor="text1"/>
          <w:szCs w:val="32"/>
          <w:lang w:eastAsia="zh" w:bidi="ar"/>
          <w14:textFill>
            <w14:solidFill>
              <w14:schemeClr w14:val="tx1"/>
            </w14:solidFill>
          </w14:textFill>
        </w:rPr>
        <w:t>、</w:t>
      </w:r>
      <w:r>
        <w:rPr>
          <w:rFonts w:ascii="仿宋_GB2312" w:hAnsi="仿宋_GB2312" w:cs="仿宋_GB2312"/>
          <w:color w:val="000000" w:themeColor="text1"/>
          <w:szCs w:val="32"/>
          <w:lang w:bidi="ar"/>
          <w14:textFill>
            <w14:solidFill>
              <w14:schemeClr w14:val="tx1"/>
            </w14:solidFill>
          </w14:textFill>
        </w:rPr>
        <w:t>消费升级协同发展，打造融合产业发展、城市活力与青年集聚的数字文旅新空间。</w:t>
      </w:r>
    </w:p>
    <w:p>
      <w:pPr>
        <w:pStyle w:val="4"/>
        <w:spacing w:before="0" w:after="0"/>
        <w:ind w:firstLine="640"/>
        <w:rPr>
          <w:rFonts w:hint="default" w:ascii="黑体" w:hAnsi="黑体" w:eastAsia="黑体" w:cs="黑体"/>
          <w:b w:val="0"/>
          <w:bCs w:val="0"/>
          <w:color w:val="000000" w:themeColor="text1"/>
          <w14:textFill>
            <w14:solidFill>
              <w14:schemeClr w14:val="tx1"/>
            </w14:solidFill>
          </w14:textFill>
        </w:rPr>
      </w:pPr>
      <w:bookmarkStart w:id="345" w:name="_Toc16256"/>
      <w:bookmarkStart w:id="346" w:name="_Toc15760"/>
      <w:bookmarkStart w:id="347" w:name="_Toc32294"/>
      <w:bookmarkStart w:id="348" w:name="_Toc228193728"/>
      <w:bookmarkStart w:id="349" w:name="_Toc31811"/>
      <w:bookmarkStart w:id="350" w:name="_Toc18257"/>
      <w:r>
        <w:rPr>
          <w:rFonts w:ascii="黑体" w:hAnsi="黑体" w:eastAsia="黑体" w:cs="黑体"/>
          <w:b w:val="0"/>
          <w:bCs w:val="0"/>
          <w:color w:val="000000" w:themeColor="text1"/>
          <w14:textFill>
            <w14:solidFill>
              <w14:schemeClr w14:val="tx1"/>
            </w14:solidFill>
          </w14:textFill>
        </w:rPr>
        <w:t>五、</w:t>
      </w:r>
      <w:bookmarkEnd w:id="345"/>
      <w:r>
        <w:rPr>
          <w:rFonts w:ascii="黑体" w:hAnsi="黑体" w:eastAsia="黑体" w:cs="黑体"/>
          <w:b w:val="0"/>
          <w:bCs w:val="0"/>
          <w:color w:val="000000" w:themeColor="text1"/>
          <w:lang w:bidi="ar"/>
          <w14:textFill>
            <w14:solidFill>
              <w14:schemeClr w14:val="tx1"/>
            </w14:solidFill>
          </w14:textFill>
        </w:rPr>
        <w:t>推动“赛事+”融合经济，培育文旅消费新增长极</w:t>
      </w:r>
      <w:bookmarkEnd w:id="346"/>
      <w:bookmarkEnd w:id="347"/>
      <w:bookmarkEnd w:id="348"/>
      <w:bookmarkEnd w:id="349"/>
      <w:bookmarkEnd w:id="350"/>
    </w:p>
    <w:p>
      <w:pPr>
        <w:ind w:firstLine="643"/>
        <w:rPr>
          <w:rFonts w:ascii="仿宋_GB2312" w:hAnsi="仿宋_GB2312" w:cs="仿宋_GB2312"/>
          <w:color w:val="000000" w:themeColor="text1"/>
          <w:szCs w:val="32"/>
          <w:lang w:bidi="ar"/>
          <w14:textFill>
            <w14:solidFill>
              <w14:schemeClr w14:val="tx1"/>
            </w14:solidFill>
          </w14:textFill>
        </w:rPr>
      </w:pPr>
      <w:r>
        <w:rPr>
          <w:rFonts w:ascii="仿宋_GB2312" w:hAnsi="仿宋_GB2312" w:cs="仿宋_GB2312"/>
          <w:b/>
          <w:bCs/>
          <w:color w:val="000000" w:themeColor="text1"/>
          <w:szCs w:val="32"/>
          <w:lang w:bidi="ar"/>
          <w14:textFill>
            <w14:solidFill>
              <w14:schemeClr w14:val="tx1"/>
            </w14:solidFill>
          </w14:textFill>
        </w:rPr>
        <w:t>一是完善赛事承载空间，构建全域联动布局</w:t>
      </w:r>
      <w:r>
        <w:rPr>
          <w:rFonts w:ascii="仿宋_GB2312" w:hAnsi="仿宋_GB2312" w:cs="仿宋_GB2312"/>
          <w:color w:val="000000" w:themeColor="text1"/>
          <w:szCs w:val="32"/>
          <w:lang w:bidi="ar"/>
          <w14:textFill>
            <w14:solidFill>
              <w14:schemeClr w14:val="tx1"/>
            </w14:solidFill>
          </w14:textFill>
        </w:rPr>
        <w:t>。依托大运河文化带、城市绿心森林公园、六环高线公园等重点空间，打造多类型赛事活动场景，构建覆盖水上运动、路跑骑行、户外休闲等领域的赛事网络。加快绿心体育综合体、城市运动中心、中国人民大学水上运动中心等设施建设，提升高品质赛事承载能力，推动赛事资源向景区、商圈、特色小镇延伸。</w:t>
      </w:r>
    </w:p>
    <w:p>
      <w:pPr>
        <w:ind w:firstLine="643"/>
        <w:rPr>
          <w:rFonts w:ascii="仿宋_GB2312" w:hAnsi="仿宋_GB2312" w:cs="仿宋_GB2312"/>
          <w:color w:val="000000" w:themeColor="text1"/>
          <w:szCs w:val="32"/>
          <w:lang w:bidi="ar"/>
          <w14:textFill>
            <w14:solidFill>
              <w14:schemeClr w14:val="tx1"/>
            </w14:solidFill>
          </w14:textFill>
        </w:rPr>
      </w:pPr>
      <w:r>
        <w:rPr>
          <w:rFonts w:ascii="仿宋_GB2312" w:hAnsi="仿宋_GB2312" w:cs="仿宋_GB2312"/>
          <w:b/>
          <w:bCs/>
          <w:color w:val="000000" w:themeColor="text1"/>
          <w:szCs w:val="32"/>
          <w:lang w:bidi="ar"/>
          <w14:textFill>
            <w14:solidFill>
              <w14:schemeClr w14:val="tx1"/>
            </w14:solidFill>
          </w14:textFill>
        </w:rPr>
        <w:t>二是培育特色赛事IP，提升品牌影响力</w:t>
      </w:r>
      <w:r>
        <w:rPr>
          <w:rFonts w:ascii="仿宋_GB2312" w:hAnsi="仿宋_GB2312" w:cs="仿宋_GB2312"/>
          <w:color w:val="000000" w:themeColor="text1"/>
          <w:szCs w:val="32"/>
          <w:lang w:bidi="ar"/>
          <w14:textFill>
            <w14:solidFill>
              <w14:schemeClr w14:val="tx1"/>
            </w14:solidFill>
          </w14:textFill>
        </w:rPr>
        <w:t>。围绕马拉松、龙舟赛、自行车等重点领域，打造具有</w:t>
      </w:r>
      <w:r>
        <w:rPr>
          <w:rFonts w:hint="eastAsia" w:ascii="仿宋_GB2312" w:hAnsi="仿宋_GB2312" w:cs="仿宋_GB2312"/>
          <w:color w:val="000000" w:themeColor="text1"/>
          <w:szCs w:val="32"/>
          <w:lang w:bidi="ar"/>
          <w14:textFill>
            <w14:solidFill>
              <w14:schemeClr w14:val="tx1"/>
            </w14:solidFill>
          </w14:textFill>
        </w:rPr>
        <w:t>城市</w:t>
      </w:r>
      <w:r>
        <w:rPr>
          <w:rFonts w:ascii="仿宋_GB2312" w:hAnsi="仿宋_GB2312" w:cs="仿宋_GB2312"/>
          <w:color w:val="000000" w:themeColor="text1"/>
          <w:szCs w:val="32"/>
          <w:lang w:bidi="ar"/>
          <w14:textFill>
            <w14:solidFill>
              <w14:schemeClr w14:val="tx1"/>
            </w14:solidFill>
          </w14:textFill>
        </w:rPr>
        <w:t>副中心辨识度的品牌赛事体系，推动水上运动、群众体育与专业赛事协同发展。以赛事线路串联大运河沿线、三镇及重点功能区，形成</w:t>
      </w:r>
      <w:r>
        <w:rPr>
          <w:rFonts w:hint="eastAsia" w:ascii="仿宋_GB2312" w:hAnsi="仿宋_GB2312" w:cs="仿宋_GB2312"/>
          <w:color w:val="000000" w:themeColor="text1"/>
          <w:szCs w:val="32"/>
          <w:lang w:bidi="ar"/>
          <w14:textFill>
            <w14:solidFill>
              <w14:schemeClr w14:val="tx1"/>
            </w14:solidFill>
          </w14:textFill>
        </w:rPr>
        <w:t>“赛事+空间+场景”</w:t>
      </w:r>
      <w:r>
        <w:rPr>
          <w:rFonts w:ascii="仿宋_GB2312" w:hAnsi="仿宋_GB2312" w:cs="仿宋_GB2312"/>
          <w:color w:val="000000" w:themeColor="text1"/>
          <w:szCs w:val="32"/>
          <w:lang w:bidi="ar"/>
          <w14:textFill>
            <w14:solidFill>
              <w14:schemeClr w14:val="tx1"/>
            </w14:solidFill>
          </w14:textFill>
        </w:rPr>
        <w:t>联动模式，增强赛事吸引力和参与度。</w:t>
      </w:r>
    </w:p>
    <w:p>
      <w:pPr>
        <w:ind w:firstLine="643"/>
        <w:rPr>
          <w:rStyle w:val="32"/>
          <w:rFonts w:ascii="仿宋_GB2312" w:hAnsi="仿宋_GB2312" w:cs="仿宋_GB2312"/>
          <w:color w:val="000000" w:themeColor="text1"/>
          <w:szCs w:val="32"/>
          <w:lang w:bidi="ar"/>
          <w14:textFill>
            <w14:solidFill>
              <w14:schemeClr w14:val="tx1"/>
            </w14:solidFill>
          </w14:textFill>
        </w:rPr>
      </w:pPr>
      <w:r>
        <w:rPr>
          <w:rFonts w:ascii="仿宋_GB2312" w:hAnsi="仿宋_GB2312" w:cs="仿宋_GB2312"/>
          <w:b/>
          <w:bCs/>
          <w:color w:val="000000" w:themeColor="text1"/>
          <w:szCs w:val="32"/>
          <w:lang w:bidi="ar"/>
          <w14:textFill>
            <w14:solidFill>
              <w14:schemeClr w14:val="tx1"/>
            </w14:solidFill>
          </w14:textFill>
        </w:rPr>
        <w:t>三是拓展融合消费，激发文旅经济新动能</w:t>
      </w:r>
      <w:r>
        <w:rPr>
          <w:rFonts w:ascii="仿宋_GB2312" w:hAnsi="仿宋_GB2312" w:cs="仿宋_GB2312"/>
          <w:color w:val="000000" w:themeColor="text1"/>
          <w:szCs w:val="32"/>
          <w:lang w:bidi="ar"/>
          <w14:textFill>
            <w14:solidFill>
              <w14:schemeClr w14:val="tx1"/>
            </w14:solidFill>
          </w14:textFill>
        </w:rPr>
        <w:t>。以赛事为引流载体，构建</w:t>
      </w:r>
      <w:r>
        <w:rPr>
          <w:rFonts w:hint="eastAsia" w:ascii="仿宋_GB2312" w:hAnsi="仿宋_GB2312" w:cs="仿宋_GB2312"/>
          <w:color w:val="000000" w:themeColor="text1"/>
          <w:szCs w:val="32"/>
          <w:lang w:bidi="ar"/>
          <w14:textFill>
            <w14:solidFill>
              <w14:schemeClr w14:val="tx1"/>
            </w14:solidFill>
          </w14:textFill>
        </w:rPr>
        <w:t>“看赛事、游城市、购文创”</w:t>
      </w:r>
      <w:r>
        <w:rPr>
          <w:rFonts w:ascii="仿宋_GB2312" w:hAnsi="仿宋_GB2312" w:cs="仿宋_GB2312"/>
          <w:color w:val="000000" w:themeColor="text1"/>
          <w:szCs w:val="32"/>
          <w:lang w:bidi="ar"/>
          <w14:textFill>
            <w14:solidFill>
              <w14:schemeClr w14:val="tx1"/>
            </w14:solidFill>
          </w14:textFill>
        </w:rPr>
        <w:t>的复合消费场景，推动赛事与旅游、商业、文化等业态深度融合。培育</w:t>
      </w:r>
      <w:r>
        <w:rPr>
          <w:rFonts w:hint="eastAsia" w:ascii="仿宋_GB2312" w:hAnsi="仿宋_GB2312" w:cs="仿宋_GB2312"/>
          <w:color w:val="000000" w:themeColor="text1"/>
          <w:szCs w:val="32"/>
          <w:lang w:bidi="ar"/>
          <w14:textFill>
            <w14:solidFill>
              <w14:schemeClr w14:val="tx1"/>
            </w14:solidFill>
          </w14:textFill>
        </w:rPr>
        <w:t>“跟着赛事去旅行”</w:t>
      </w:r>
      <w:r>
        <w:rPr>
          <w:rFonts w:ascii="仿宋_GB2312" w:hAnsi="仿宋_GB2312" w:cs="仿宋_GB2312"/>
          <w:color w:val="000000" w:themeColor="text1"/>
          <w:szCs w:val="32"/>
          <w:lang w:bidi="ar"/>
          <w14:textFill>
            <w14:solidFill>
              <w14:schemeClr w14:val="tx1"/>
            </w14:solidFill>
          </w14:textFill>
        </w:rPr>
        <w:t>品牌，带动餐饮、住宿、文创、零售等消费增长，实现赛事经济与文旅消费协同发展，打造</w:t>
      </w:r>
      <w:r>
        <w:rPr>
          <w:rFonts w:hint="eastAsia" w:ascii="仿宋_GB2312" w:hAnsi="仿宋_GB2312" w:cs="仿宋_GB2312"/>
          <w:color w:val="000000" w:themeColor="text1"/>
          <w:szCs w:val="32"/>
          <w:lang w:bidi="ar"/>
          <w14:textFill>
            <w14:solidFill>
              <w14:schemeClr w14:val="tx1"/>
            </w14:solidFill>
          </w14:textFill>
        </w:rPr>
        <w:t>城市</w:t>
      </w:r>
      <w:r>
        <w:rPr>
          <w:rFonts w:ascii="仿宋_GB2312" w:hAnsi="仿宋_GB2312" w:cs="仿宋_GB2312"/>
          <w:color w:val="000000" w:themeColor="text1"/>
          <w:szCs w:val="32"/>
          <w:lang w:bidi="ar"/>
          <w14:textFill>
            <w14:solidFill>
              <w14:schemeClr w14:val="tx1"/>
            </w14:solidFill>
          </w14:textFill>
        </w:rPr>
        <w:t>副中心新的消费增长极。</w:t>
      </w:r>
    </w:p>
    <w:p>
      <w:pPr>
        <w:pStyle w:val="3"/>
        <w:spacing w:before="0" w:after="0"/>
        <w:ind w:firstLine="0" w:firstLineChars="0"/>
        <w:jc w:val="center"/>
        <w:rPr>
          <w:rFonts w:hint="default" w:ascii="黑体" w:hAnsi="黑体" w:eastAsia="黑体" w:cs="黑体"/>
          <w:b w:val="0"/>
          <w:bCs w:val="0"/>
          <w:color w:val="000000" w:themeColor="text1"/>
          <w:sz w:val="32"/>
          <w:szCs w:val="32"/>
          <w14:textFill>
            <w14:solidFill>
              <w14:schemeClr w14:val="tx1"/>
            </w14:solidFill>
          </w14:textFill>
        </w:rPr>
      </w:pPr>
      <w:bookmarkStart w:id="351" w:name="_Toc17797"/>
      <w:bookmarkEnd w:id="351"/>
      <w:bookmarkStart w:id="352" w:name="_Toc16846"/>
      <w:bookmarkEnd w:id="352"/>
      <w:bookmarkStart w:id="353" w:name="_Toc7518"/>
      <w:bookmarkEnd w:id="353"/>
      <w:bookmarkStart w:id="354" w:name="_Toc4265"/>
      <w:bookmarkEnd w:id="354"/>
      <w:bookmarkStart w:id="355" w:name="_Toc8519"/>
      <w:bookmarkEnd w:id="355"/>
      <w:bookmarkStart w:id="356" w:name="_Toc26791"/>
      <w:bookmarkEnd w:id="356"/>
      <w:bookmarkStart w:id="357" w:name="_Toc5775"/>
      <w:bookmarkEnd w:id="357"/>
      <w:bookmarkStart w:id="358" w:name="_Toc31943"/>
      <w:bookmarkEnd w:id="358"/>
      <w:bookmarkStart w:id="359" w:name="_Toc17934"/>
      <w:bookmarkEnd w:id="359"/>
      <w:bookmarkStart w:id="360" w:name="_Toc3618"/>
      <w:bookmarkEnd w:id="360"/>
      <w:bookmarkStart w:id="361" w:name="_Toc15457"/>
      <w:bookmarkStart w:id="362" w:name="_Toc15488"/>
      <w:bookmarkStart w:id="363" w:name="_Toc228193731"/>
      <w:bookmarkStart w:id="364" w:name="_Toc9751"/>
      <w:bookmarkStart w:id="365" w:name="_Toc23551"/>
      <w:bookmarkStart w:id="366" w:name="_Toc8940"/>
      <w:r>
        <w:rPr>
          <w:rFonts w:hint="default" w:ascii="黑体" w:hAnsi="黑体" w:eastAsia="黑体" w:cs="黑体"/>
          <w:b w:val="0"/>
          <w:bCs w:val="0"/>
          <w:color w:val="000000" w:themeColor="text1"/>
          <w:sz w:val="32"/>
          <w:szCs w:val="32"/>
          <w14:textFill>
            <w14:solidFill>
              <w14:schemeClr w14:val="tx1"/>
            </w14:solidFill>
          </w14:textFill>
        </w:rPr>
        <w:t>第十一章 现代农业：打造都市型现代农业发展典范</w:t>
      </w:r>
      <w:bookmarkEnd w:id="361"/>
      <w:bookmarkEnd w:id="362"/>
      <w:bookmarkEnd w:id="363"/>
      <w:bookmarkEnd w:id="364"/>
      <w:bookmarkEnd w:id="365"/>
      <w:bookmarkEnd w:id="366"/>
    </w:p>
    <w:p>
      <w:pPr>
        <w:pStyle w:val="4"/>
        <w:spacing w:before="0" w:after="0"/>
        <w:ind w:firstLine="640"/>
        <w:rPr>
          <w:rFonts w:hint="default" w:ascii="黑体" w:hAnsi="黑体" w:eastAsia="黑体" w:cs="黑体"/>
          <w:b w:val="0"/>
          <w:bCs w:val="0"/>
          <w:color w:val="000000" w:themeColor="text1"/>
          <w14:textFill>
            <w14:solidFill>
              <w14:schemeClr w14:val="tx1"/>
            </w14:solidFill>
          </w14:textFill>
        </w:rPr>
      </w:pPr>
      <w:bookmarkStart w:id="367" w:name="_Toc7037"/>
      <w:bookmarkStart w:id="368" w:name="_Toc29907"/>
      <w:bookmarkStart w:id="369" w:name="_Toc228193732"/>
      <w:bookmarkStart w:id="370" w:name="_Toc20519"/>
      <w:bookmarkStart w:id="371" w:name="_Toc19268"/>
      <w:bookmarkStart w:id="372" w:name="_Toc14163"/>
      <w:r>
        <w:rPr>
          <w:rFonts w:ascii="黑体" w:hAnsi="黑体" w:eastAsia="黑体" w:cs="黑体"/>
          <w:b w:val="0"/>
          <w:bCs w:val="0"/>
          <w:color w:val="000000" w:themeColor="text1"/>
          <w14:textFill>
            <w14:solidFill>
              <w14:schemeClr w14:val="tx1"/>
            </w14:solidFill>
          </w14:textFill>
        </w:rPr>
        <w:t>一、聚焦种业创新，建设现代种业创新示范区</w:t>
      </w:r>
      <w:bookmarkEnd w:id="367"/>
      <w:bookmarkEnd w:id="368"/>
      <w:bookmarkEnd w:id="369"/>
      <w:bookmarkEnd w:id="370"/>
      <w:bookmarkEnd w:id="371"/>
    </w:p>
    <w:p>
      <w:pPr>
        <w:ind w:firstLine="643"/>
        <w:rPr>
          <w:rFonts w:ascii="仿宋_GB2312" w:hAnsi="等线" w:cs="仿宋_GB2312"/>
          <w:color w:val="000000" w:themeColor="text1"/>
          <w:szCs w:val="32"/>
          <w:lang w:bidi="ar"/>
          <w14:textFill>
            <w14:solidFill>
              <w14:schemeClr w14:val="tx1"/>
            </w14:solidFill>
          </w14:textFill>
        </w:rPr>
      </w:pPr>
      <w:r>
        <w:rPr>
          <w:rFonts w:hint="eastAsia" w:ascii="仿宋_GB2312" w:hAnsi="等线" w:cs="仿宋_GB2312"/>
          <w:b/>
          <w:bCs/>
          <w:color w:val="000000" w:themeColor="text1"/>
          <w:szCs w:val="32"/>
          <w:lang w:bidi="ar"/>
          <w14:textFill>
            <w14:solidFill>
              <w14:schemeClr w14:val="tx1"/>
            </w14:solidFill>
          </w14:textFill>
        </w:rPr>
        <w:t>一是夯实种业创新基础，提升科技策源能力</w:t>
      </w:r>
      <w:r>
        <w:rPr>
          <w:rFonts w:hint="eastAsia" w:ascii="仿宋_GB2312" w:hAnsi="等线" w:cs="仿宋_GB2312"/>
          <w:color w:val="000000" w:themeColor="text1"/>
          <w:szCs w:val="32"/>
          <w:lang w:bidi="ar"/>
          <w14:textFill>
            <w14:solidFill>
              <w14:schemeClr w14:val="tx1"/>
            </w14:solidFill>
          </w14:textFill>
        </w:rPr>
        <w:t>。聚焦国家战略，瞄准北京“种业之都”建设目标，巩固提升农业中关村创新优势，深化通州国际种业科技园建设，构建“一链双核，多区万田”产业空间布局，推进创新研发、试验展示、存储交易、农旅融合、综合配套等全产业链协同发展。</w:t>
      </w:r>
    </w:p>
    <w:p>
      <w:pPr>
        <w:ind w:firstLine="643"/>
        <w:rPr>
          <w:rFonts w:ascii="仿宋_GB2312" w:hAnsi="等线" w:cs="仿宋_GB2312"/>
          <w:color w:val="000000" w:themeColor="text1"/>
          <w:szCs w:val="32"/>
          <w:lang w:bidi="ar"/>
          <w14:textFill>
            <w14:solidFill>
              <w14:schemeClr w14:val="tx1"/>
            </w14:solidFill>
          </w14:textFill>
        </w:rPr>
      </w:pPr>
      <w:r>
        <w:rPr>
          <w:rFonts w:hint="eastAsia" w:ascii="仿宋_GB2312" w:hAnsi="等线" w:cs="仿宋_GB2312"/>
          <w:b/>
          <w:bCs/>
          <w:color w:val="000000" w:themeColor="text1"/>
          <w:szCs w:val="32"/>
          <w:lang w:bidi="ar"/>
          <w14:textFill>
            <w14:solidFill>
              <w14:schemeClr w14:val="tx1"/>
            </w14:solidFill>
          </w14:textFill>
        </w:rPr>
        <w:t>二是强化“育繁推一体化”产业链协同，加快成果转化应用</w:t>
      </w:r>
      <w:r>
        <w:rPr>
          <w:rFonts w:hint="eastAsia" w:ascii="仿宋_GB2312" w:hAnsi="等线" w:cs="仿宋_GB2312"/>
          <w:color w:val="000000" w:themeColor="text1"/>
          <w:szCs w:val="32"/>
          <w:lang w:bidi="ar"/>
          <w14:textFill>
            <w14:solidFill>
              <w14:schemeClr w14:val="tx1"/>
            </w14:solidFill>
          </w14:textFill>
        </w:rPr>
        <w:t>。吸引种业龙头企业落地园区，持续完善企业孵化空间和双创服务平台，鼓励科研院所与企业共建中试基地，完善品种权交易市场，缩短育种成果转化周期。支持企业“育繁推一体化”发展，推动种业科技成果从实验室向规模化田间应用高效转化，加快形成国家种业科技产业集群发展示范区。</w:t>
      </w:r>
    </w:p>
    <w:p>
      <w:pPr>
        <w:ind w:firstLine="643"/>
        <w:rPr>
          <w:rFonts w:ascii="仿宋_GB2312" w:hAnsi="等线" w:cs="仿宋_GB2312"/>
          <w:color w:val="000000" w:themeColor="text1"/>
          <w:szCs w:val="32"/>
          <w:lang w:bidi="ar"/>
          <w14:textFill>
            <w14:solidFill>
              <w14:schemeClr w14:val="tx1"/>
            </w14:solidFill>
          </w14:textFill>
        </w:rPr>
      </w:pPr>
      <w:r>
        <w:rPr>
          <w:rFonts w:hint="eastAsia" w:ascii="仿宋_GB2312" w:hAnsi="等线" w:cs="仿宋_GB2312"/>
          <w:b/>
          <w:bCs/>
          <w:color w:val="000000" w:themeColor="text1"/>
          <w:szCs w:val="32"/>
          <w:lang w:bidi="ar"/>
          <w14:textFill>
            <w14:solidFill>
              <w14:schemeClr w14:val="tx1"/>
            </w14:solidFill>
          </w14:textFill>
        </w:rPr>
        <w:t>三是打造国际种业交流平台，提升行业影响力</w:t>
      </w:r>
      <w:r>
        <w:rPr>
          <w:rFonts w:hint="eastAsia" w:ascii="仿宋_GB2312" w:hAnsi="等线" w:cs="仿宋_GB2312"/>
          <w:color w:val="000000" w:themeColor="text1"/>
          <w:szCs w:val="32"/>
          <w:lang w:bidi="ar"/>
          <w14:textFill>
            <w14:solidFill>
              <w14:schemeClr w14:val="tx1"/>
            </w14:solidFill>
          </w14:textFill>
        </w:rPr>
        <w:t>。高标准办好中国北京种业大会，搭建具有国际影响力的种业交易与交流平台，吸引优质种业企业和项目资源落地通州。深化与国内外顶尖高校及科研机构的战略合作，通过共建联合实验室等方式加强国际人才引进与技术合作，持续助力农业中关村建设，巩固提升城市副中心在现代种业领域的创新引领地位。</w:t>
      </w:r>
      <w:bookmarkEnd w:id="372"/>
      <w:bookmarkStart w:id="373" w:name="_Toc3945"/>
      <w:bookmarkStart w:id="374" w:name="_Toc30142"/>
      <w:bookmarkStart w:id="375" w:name="_Toc16686"/>
      <w:bookmarkStart w:id="376" w:name="_Toc228193733"/>
    </w:p>
    <w:p>
      <w:pPr>
        <w:ind w:firstLine="640"/>
        <w:rPr>
          <w:rFonts w:ascii="黑体" w:hAnsi="黑体" w:eastAsia="黑体" w:cs="黑体"/>
          <w:b/>
          <w:bCs/>
          <w:color w:val="000000" w:themeColor="text1"/>
          <w14:textFill>
            <w14:solidFill>
              <w14:schemeClr w14:val="tx1"/>
            </w14:solidFill>
          </w14:textFill>
        </w:rPr>
      </w:pPr>
      <w:r>
        <w:rPr>
          <w:rFonts w:ascii="黑体" w:hAnsi="黑体" w:eastAsia="黑体" w:cs="黑体"/>
          <w:color w:val="000000" w:themeColor="text1"/>
          <w14:textFill>
            <w14:solidFill>
              <w14:schemeClr w14:val="tx1"/>
            </w14:solidFill>
          </w14:textFill>
        </w:rPr>
        <w:t>二、推动绿色科技种植，打造都市现代农业标杆</w:t>
      </w:r>
      <w:bookmarkEnd w:id="373"/>
      <w:bookmarkEnd w:id="374"/>
      <w:bookmarkEnd w:id="375"/>
      <w:bookmarkEnd w:id="376"/>
    </w:p>
    <w:p>
      <w:pPr>
        <w:ind w:firstLine="643"/>
        <w:rPr>
          <w:rFonts w:ascii="仿宋_GB2312" w:hAnsi="等线" w:cs="仿宋_GB2312"/>
          <w:color w:val="000000" w:themeColor="text1"/>
          <w:szCs w:val="32"/>
          <w:lang w:bidi="ar"/>
          <w14:textFill>
            <w14:solidFill>
              <w14:schemeClr w14:val="tx1"/>
            </w14:solidFill>
          </w14:textFill>
        </w:rPr>
      </w:pPr>
      <w:r>
        <w:rPr>
          <w:rFonts w:hint="eastAsia" w:ascii="仿宋_GB2312" w:hAnsi="等线" w:cs="仿宋_GB2312"/>
          <w:b/>
          <w:bCs/>
          <w:color w:val="000000" w:themeColor="text1"/>
          <w:szCs w:val="32"/>
          <w:lang w:bidi="ar"/>
          <w14:textFill>
            <w14:solidFill>
              <w14:schemeClr w14:val="tx1"/>
            </w14:solidFill>
          </w14:textFill>
        </w:rPr>
        <w:t>一是夯实数字农业基础，提升智能化生产水平</w:t>
      </w:r>
      <w:r>
        <w:rPr>
          <w:rFonts w:hint="eastAsia" w:ascii="仿宋_GB2312" w:hAnsi="等线" w:cs="仿宋_GB2312"/>
          <w:color w:val="000000" w:themeColor="text1"/>
          <w:szCs w:val="32"/>
          <w:lang w:bidi="ar"/>
          <w14:textFill>
            <w14:solidFill>
              <w14:schemeClr w14:val="tx1"/>
            </w14:solidFill>
          </w14:textFill>
        </w:rPr>
        <w:t>。以现代农业试验区建设为抓手，集成应用5G、物联网、AI管理、智能农机、北斗导航等技术，积极推进高标准农田和设施农业宜机化、智能化改造，打造一批现代化高效设施农业园区。依托市、区信息化系统和智慧城市大数据基座，实施智慧农业行动计划，构建覆盖生产、管理、经营全过程的现代农业数字化体系。</w:t>
      </w:r>
    </w:p>
    <w:p>
      <w:pPr>
        <w:ind w:firstLine="643"/>
        <w:rPr>
          <w:rFonts w:ascii="仿宋_GB2312" w:hAnsi="等线" w:cs="仿宋_GB2312"/>
          <w:color w:val="000000" w:themeColor="text1"/>
          <w:szCs w:val="32"/>
          <w:lang w:bidi="ar"/>
          <w14:textFill>
            <w14:solidFill>
              <w14:schemeClr w14:val="tx1"/>
            </w14:solidFill>
          </w14:textFill>
        </w:rPr>
      </w:pPr>
      <w:r>
        <w:rPr>
          <w:rFonts w:hint="eastAsia" w:ascii="仿宋_GB2312" w:hAnsi="等线" w:cs="仿宋_GB2312"/>
          <w:b/>
          <w:bCs/>
          <w:color w:val="000000" w:themeColor="text1"/>
          <w:szCs w:val="32"/>
          <w:lang w:bidi="ar"/>
          <w14:textFill>
            <w14:solidFill>
              <w14:schemeClr w14:val="tx1"/>
            </w14:solidFill>
          </w14:textFill>
        </w:rPr>
        <w:t>二是推广智慧农场模式，打造可复制实践路径</w:t>
      </w:r>
      <w:r>
        <w:rPr>
          <w:rFonts w:hint="eastAsia" w:ascii="仿宋_GB2312" w:hAnsi="等线" w:cs="仿宋_GB2312"/>
          <w:color w:val="000000" w:themeColor="text1"/>
          <w:szCs w:val="32"/>
          <w:lang w:bidi="ar"/>
          <w14:textFill>
            <w14:solidFill>
              <w14:schemeClr w14:val="tx1"/>
            </w14:solidFill>
          </w14:textFill>
        </w:rPr>
        <w:t>。构建“科技小院+植物工厂+智慧农场”全链条发展路径，以“伏羲农场”为示范，依托“鸿鹄”系列智能农机装备和人工智能分析决策系统，实现农业生产全要素智能整合与精准决策，打造智慧农田示范区。支持“运河惠农植物工厂”等项目建设，推动农业与教育、旅游等业态融合，培育智慧农业综合体，塑造“通州智慧农业”名片。</w:t>
      </w:r>
    </w:p>
    <w:p>
      <w:pPr>
        <w:ind w:firstLine="643"/>
        <w:rPr>
          <w:rFonts w:ascii="仿宋_GB2312" w:hAnsi="等线" w:cs="仿宋_GB2312"/>
          <w:color w:val="000000" w:themeColor="text1"/>
          <w:szCs w:val="32"/>
          <w:lang w:bidi="ar"/>
          <w14:textFill>
            <w14:solidFill>
              <w14:schemeClr w14:val="tx1"/>
            </w14:solidFill>
          </w14:textFill>
        </w:rPr>
      </w:pPr>
      <w:r>
        <w:rPr>
          <w:rFonts w:hint="eastAsia" w:ascii="仿宋_GB2312" w:hAnsi="等线" w:cs="仿宋_GB2312"/>
          <w:b/>
          <w:bCs/>
          <w:color w:val="000000" w:themeColor="text1"/>
          <w:szCs w:val="32"/>
          <w:lang w:bidi="ar"/>
          <w14:textFill>
            <w14:solidFill>
              <w14:schemeClr w14:val="tx1"/>
            </w14:solidFill>
          </w14:textFill>
        </w:rPr>
        <w:t>三是强化绿色生产技术，筑牢农业生态屏障</w:t>
      </w:r>
      <w:r>
        <w:rPr>
          <w:rFonts w:hint="eastAsia" w:ascii="仿宋_GB2312" w:hAnsi="等线" w:cs="仿宋_GB2312"/>
          <w:color w:val="000000" w:themeColor="text1"/>
          <w:szCs w:val="32"/>
          <w:lang w:bidi="ar"/>
          <w14:textFill>
            <w14:solidFill>
              <w14:schemeClr w14:val="tx1"/>
            </w14:solidFill>
          </w14:textFill>
        </w:rPr>
        <w:t>。健全耕地质量监测网络，推进受污染耕地安全利用，强化农业面源污染治理，完善废旧农膜回收体系，确保农膜回收利用率达95%以上。推广测土配方施肥、水肥一体化、病虫害绿色防控等绿色生产技术，建设科学施肥增效示范区。鼓励应用电动农机、智能精准变量施肥机等绿色装备，在宋庄镇、马驹桥镇等地建设绿色技术集成示范基地，因地制宜推进新能源项目建设，打造绿色发展高地。</w:t>
      </w:r>
    </w:p>
    <w:p>
      <w:pPr>
        <w:pStyle w:val="4"/>
        <w:spacing w:before="0" w:after="0"/>
        <w:ind w:firstLine="640"/>
        <w:rPr>
          <w:rFonts w:hint="default" w:ascii="黑体" w:hAnsi="黑体" w:eastAsia="黑体" w:cs="黑体"/>
          <w:b w:val="0"/>
          <w:bCs w:val="0"/>
          <w:color w:val="000000" w:themeColor="text1"/>
          <w14:textFill>
            <w14:solidFill>
              <w14:schemeClr w14:val="tx1"/>
            </w14:solidFill>
          </w14:textFill>
        </w:rPr>
      </w:pPr>
      <w:bookmarkStart w:id="377" w:name="_Toc228193734"/>
      <w:bookmarkStart w:id="378" w:name="_Toc21897"/>
      <w:bookmarkStart w:id="379" w:name="_Toc56"/>
      <w:bookmarkStart w:id="380" w:name="_Toc10179"/>
      <w:bookmarkStart w:id="381" w:name="_Toc3190"/>
      <w:r>
        <w:rPr>
          <w:rFonts w:hint="eastAsia" w:ascii="黑体" w:hAnsi="黑体" w:eastAsia="黑体" w:cs="黑体"/>
          <w:b w:val="0"/>
          <w:bCs w:val="0"/>
          <w:color w:val="000000" w:themeColor="text1"/>
          <w:lang w:val="en-US" w:eastAsia="zh-CN"/>
          <w14:textFill>
            <w14:solidFill>
              <w14:schemeClr w14:val="tx1"/>
            </w14:solidFill>
          </w14:textFill>
        </w:rPr>
        <w:t>二</w:t>
      </w:r>
      <w:r>
        <w:rPr>
          <w:rFonts w:ascii="黑体" w:hAnsi="黑体" w:eastAsia="黑体" w:cs="黑体"/>
          <w:b w:val="0"/>
          <w:bCs w:val="0"/>
          <w:color w:val="000000" w:themeColor="text1"/>
          <w14:textFill>
            <w14:solidFill>
              <w14:schemeClr w14:val="tx1"/>
            </w14:solidFill>
          </w14:textFill>
        </w:rPr>
        <w:t>、深化三产融合，拓展农业多元价值与业态</w:t>
      </w:r>
      <w:bookmarkEnd w:id="377"/>
      <w:bookmarkEnd w:id="378"/>
      <w:bookmarkEnd w:id="379"/>
      <w:bookmarkEnd w:id="380"/>
      <w:bookmarkEnd w:id="381"/>
    </w:p>
    <w:p>
      <w:pPr>
        <w:ind w:firstLine="643"/>
        <w:rPr>
          <w:rFonts w:ascii="仿宋_GB2312" w:hAnsi="仿宋_GB2312" w:cs="仿宋_GB2312"/>
          <w:color w:val="000000" w:themeColor="text1"/>
          <w:szCs w:val="32"/>
          <w:lang w:bidi="ar"/>
          <w14:textFill>
            <w14:solidFill>
              <w14:schemeClr w14:val="tx1"/>
            </w14:solidFill>
          </w14:textFill>
        </w:rPr>
      </w:pPr>
      <w:r>
        <w:rPr>
          <w:rFonts w:ascii="仿宋_GB2312" w:hAnsi="仿宋_GB2312" w:cs="仿宋_GB2312"/>
          <w:b/>
          <w:bCs/>
          <w:color w:val="000000" w:themeColor="text1"/>
          <w:szCs w:val="32"/>
          <w:lang w:bidi="ar"/>
          <w14:textFill>
            <w14:solidFill>
              <w14:schemeClr w14:val="tx1"/>
            </w14:solidFill>
          </w14:textFill>
        </w:rPr>
        <w:t>一是强化产业支撑，做优现代农业体系</w:t>
      </w:r>
      <w:r>
        <w:rPr>
          <w:rFonts w:ascii="仿宋_GB2312" w:hAnsi="仿宋_GB2312" w:cs="仿宋_GB2312"/>
          <w:color w:val="000000" w:themeColor="text1"/>
          <w:szCs w:val="32"/>
          <w:lang w:bidi="ar"/>
          <w14:textFill>
            <w14:solidFill>
              <w14:schemeClr w14:val="tx1"/>
            </w14:solidFill>
          </w14:textFill>
        </w:rPr>
        <w:t>。持续推进</w:t>
      </w:r>
      <w:r>
        <w:rPr>
          <w:rFonts w:hint="eastAsia" w:ascii="仿宋_GB2312" w:hAnsi="仿宋_GB2312" w:cs="仿宋_GB2312"/>
          <w:color w:val="000000" w:themeColor="text1"/>
          <w:szCs w:val="32"/>
          <w:lang w:bidi="ar"/>
          <w14:textFill>
            <w14:solidFill>
              <w14:schemeClr w14:val="tx1"/>
            </w14:solidFill>
          </w14:textFill>
        </w:rPr>
        <w:t>“百千工程”</w:t>
      </w:r>
      <w:r>
        <w:rPr>
          <w:rFonts w:ascii="仿宋_GB2312" w:hAnsi="仿宋_GB2312" w:cs="仿宋_GB2312"/>
          <w:color w:val="000000" w:themeColor="text1"/>
          <w:szCs w:val="32"/>
          <w:lang w:bidi="ar"/>
          <w14:textFill>
            <w14:solidFill>
              <w14:schemeClr w14:val="tx1"/>
            </w14:solidFill>
          </w14:textFill>
        </w:rPr>
        <w:t>示范片区建设，大力发展农产品精深加工和都市食品产业，培育农业产业化龙头企业。做强</w:t>
      </w:r>
      <w:r>
        <w:rPr>
          <w:rFonts w:hint="eastAsia" w:ascii="仿宋_GB2312" w:hAnsi="仿宋_GB2312" w:cs="仿宋_GB2312"/>
          <w:color w:val="000000" w:themeColor="text1"/>
          <w:szCs w:val="32"/>
          <w:lang w:bidi="ar"/>
          <w14:textFill>
            <w14:solidFill>
              <w14:schemeClr w14:val="tx1"/>
            </w14:solidFill>
          </w14:textFill>
        </w:rPr>
        <w:t>“京农·运河人家”</w:t>
      </w:r>
      <w:r>
        <w:rPr>
          <w:rFonts w:ascii="仿宋_GB2312" w:hAnsi="仿宋_GB2312" w:cs="仿宋_GB2312"/>
          <w:color w:val="000000" w:themeColor="text1"/>
          <w:szCs w:val="32"/>
          <w:lang w:bidi="ar"/>
          <w14:textFill>
            <w14:solidFill>
              <w14:schemeClr w14:val="tx1"/>
            </w14:solidFill>
          </w14:textFill>
        </w:rPr>
        <w:t>区域公用品牌，搭建农产品线上销售平台，完善冷链物流体系，拓展多元销售渠道，提升农业产业附加值与市场竞争力。</w:t>
      </w:r>
    </w:p>
    <w:p>
      <w:pPr>
        <w:ind w:firstLine="643"/>
        <w:rPr>
          <w:rFonts w:ascii="仿宋_GB2312" w:hAnsi="仿宋_GB2312" w:cs="仿宋_GB2312"/>
          <w:color w:val="000000" w:themeColor="text1"/>
          <w:szCs w:val="32"/>
          <w:lang w:bidi="ar"/>
          <w14:textFill>
            <w14:solidFill>
              <w14:schemeClr w14:val="tx1"/>
            </w14:solidFill>
          </w14:textFill>
        </w:rPr>
      </w:pPr>
      <w:r>
        <w:rPr>
          <w:rFonts w:ascii="仿宋_GB2312" w:hAnsi="仿宋_GB2312" w:cs="仿宋_GB2312"/>
          <w:b/>
          <w:bCs/>
          <w:color w:val="000000" w:themeColor="text1"/>
          <w:szCs w:val="32"/>
          <w:lang w:bidi="ar"/>
          <w14:textFill>
            <w14:solidFill>
              <w14:schemeClr w14:val="tx1"/>
            </w14:solidFill>
          </w14:textFill>
        </w:rPr>
        <w:t>二是拓展融合业态，打造乡村休闲消费新场景</w:t>
      </w:r>
      <w:r>
        <w:rPr>
          <w:rFonts w:ascii="仿宋_GB2312" w:hAnsi="仿宋_GB2312" w:cs="仿宋_GB2312"/>
          <w:color w:val="000000" w:themeColor="text1"/>
          <w:szCs w:val="32"/>
          <w:lang w:bidi="ar"/>
          <w14:textFill>
            <w14:solidFill>
              <w14:schemeClr w14:val="tx1"/>
            </w14:solidFill>
          </w14:textFill>
        </w:rPr>
        <w:t>。</w:t>
      </w:r>
      <w:r>
        <w:rPr>
          <w:rFonts w:hint="eastAsia" w:ascii="仿宋_GB2312" w:hAnsi="仿宋_GB2312" w:cs="仿宋_GB2312"/>
          <w:color w:val="000000" w:themeColor="text1"/>
          <w:szCs w:val="32"/>
          <w:lang w:bidi="ar"/>
          <w14:textFill>
            <w14:solidFill>
              <w14:schemeClr w14:val="tx1"/>
            </w14:solidFill>
          </w14:textFill>
        </w:rPr>
        <w:t>深度挖掘农业生态与文化价值，建设西集“樱游运河”、马驹桥“邻里农场”等休闲农业精品园区。培育“运河小院”区域民宿品牌，在台湖唐大庄村、潞城、张家湾等近城区域发展“环影宿游”品质民宿，在西集及南部乡镇布局田园精品民宿。推动民宿与餐饮、文创、农产品销售等业态联动发展，因地制宜利用生态资源盘活闲置空间，探索养老康养与文旅体验相结合的新模式。持续升级“运河大集”，打造具有区域影响力的农文旅融合消费品牌</w:t>
      </w:r>
      <w:r>
        <w:rPr>
          <w:rFonts w:ascii="仿宋_GB2312" w:hAnsi="仿宋_GB2312" w:cs="仿宋_GB2312"/>
          <w:color w:val="000000" w:themeColor="text1"/>
          <w:szCs w:val="32"/>
          <w:lang w:bidi="ar"/>
          <w14:textFill>
            <w14:solidFill>
              <w14:schemeClr w14:val="tx1"/>
            </w14:solidFill>
          </w14:textFill>
        </w:rPr>
        <w:t>。</w:t>
      </w:r>
    </w:p>
    <w:p>
      <w:pPr>
        <w:ind w:firstLine="643"/>
        <w:rPr>
          <w:rFonts w:ascii="仿宋_GB2312" w:hAnsi="仿宋_GB2312" w:cs="仿宋_GB2312"/>
          <w:color w:val="000000" w:themeColor="text1"/>
          <w:szCs w:val="32"/>
          <w:lang w:bidi="ar"/>
          <w14:textFill>
            <w14:solidFill>
              <w14:schemeClr w14:val="tx1"/>
            </w14:solidFill>
          </w14:textFill>
        </w:rPr>
      </w:pPr>
      <w:r>
        <w:rPr>
          <w:rFonts w:ascii="仿宋_GB2312" w:hAnsi="仿宋_GB2312" w:cs="仿宋_GB2312"/>
          <w:b/>
          <w:bCs/>
          <w:color w:val="000000" w:themeColor="text1"/>
          <w:szCs w:val="32"/>
          <w:lang w:bidi="ar"/>
          <w14:textFill>
            <w14:solidFill>
              <w14:schemeClr w14:val="tx1"/>
            </w14:solidFill>
          </w14:textFill>
        </w:rPr>
        <w:t>三是</w:t>
      </w:r>
      <w:r>
        <w:rPr>
          <w:rFonts w:hint="eastAsia" w:ascii="仿宋_GB2312" w:hAnsi="仿宋_GB2312" w:cs="仿宋_GB2312"/>
          <w:b/>
          <w:bCs/>
          <w:color w:val="000000" w:themeColor="text1"/>
          <w:szCs w:val="32"/>
          <w:lang w:bidi="ar"/>
          <w14:textFill>
            <w14:solidFill>
              <w14:schemeClr w14:val="tx1"/>
            </w14:solidFill>
          </w14:textFill>
        </w:rPr>
        <w:t>盘活生态资源</w:t>
      </w:r>
      <w:r>
        <w:rPr>
          <w:rFonts w:ascii="仿宋_GB2312" w:hAnsi="仿宋_GB2312" w:cs="仿宋_GB2312"/>
          <w:b/>
          <w:bCs/>
          <w:color w:val="000000" w:themeColor="text1"/>
          <w:szCs w:val="32"/>
          <w:lang w:bidi="ar"/>
          <w14:textFill>
            <w14:solidFill>
              <w14:schemeClr w14:val="tx1"/>
            </w14:solidFill>
          </w14:textFill>
        </w:rPr>
        <w:t>，</w:t>
      </w:r>
      <w:r>
        <w:rPr>
          <w:rFonts w:hint="eastAsia" w:ascii="仿宋_GB2312" w:hAnsi="仿宋_GB2312" w:cs="仿宋_GB2312"/>
          <w:b/>
          <w:bCs/>
          <w:color w:val="000000" w:themeColor="text1"/>
          <w:szCs w:val="32"/>
          <w:lang w:bidi="ar"/>
          <w14:textFill>
            <w14:solidFill>
              <w14:schemeClr w14:val="tx1"/>
            </w14:solidFill>
          </w14:textFill>
        </w:rPr>
        <w:t>提升生态价值转换</w:t>
      </w:r>
      <w:r>
        <w:rPr>
          <w:rFonts w:ascii="仿宋_GB2312" w:hAnsi="仿宋_GB2312" w:cs="仿宋_GB2312"/>
          <w:b/>
          <w:bCs/>
          <w:color w:val="000000" w:themeColor="text1"/>
          <w:szCs w:val="32"/>
          <w:lang w:bidi="ar"/>
          <w14:textFill>
            <w14:solidFill>
              <w14:schemeClr w14:val="tx1"/>
            </w14:solidFill>
          </w14:textFill>
        </w:rPr>
        <w:t>能力</w:t>
      </w:r>
      <w:r>
        <w:rPr>
          <w:rFonts w:ascii="仿宋_GB2312" w:hAnsi="仿宋_GB2312" w:cs="仿宋_GB2312"/>
          <w:color w:val="000000" w:themeColor="text1"/>
          <w:szCs w:val="32"/>
          <w:lang w:bidi="ar"/>
          <w14:textFill>
            <w14:solidFill>
              <w14:schemeClr w14:val="tx1"/>
            </w14:solidFill>
          </w14:textFill>
        </w:rPr>
        <w:t>。</w:t>
      </w:r>
      <w:r>
        <w:rPr>
          <w:rFonts w:hint="eastAsia" w:ascii="仿宋_GB2312" w:hAnsi="仿宋_GB2312" w:cs="仿宋_GB2312"/>
          <w:color w:val="000000" w:themeColor="text1"/>
          <w:szCs w:val="32"/>
          <w:lang w:eastAsia="zh" w:bidi="ar"/>
          <w14:textFill>
            <w14:solidFill>
              <w14:schemeClr w14:val="tx1"/>
            </w14:solidFill>
          </w14:textFill>
        </w:rPr>
        <w:t>加快盘活生态空间，探索“公园+文旅”“公园+运动”“公园+研学”等融合模式，发展森林康养、生态运动、亲子研学等多元业态。开发田园观光、农事研学等乡村旅游产品，推动农业与文旅、教育、康养等领域深度融合。因地制宜发展林下经济，拓展农业多功能价值，通过功能植入与运营提升，打造一批开放共享、业态复合的生态休闲空间，全面提升乡村空间品质与服务能力，建设集生产、生活、生态于一体的</w:t>
      </w:r>
      <w:r>
        <w:rPr>
          <w:rFonts w:hint="eastAsia" w:ascii="仿宋_GB2312" w:hAnsi="仿宋_GB2312" w:cs="仿宋_GB2312"/>
          <w:color w:val="000000" w:themeColor="text1"/>
          <w:szCs w:val="32"/>
          <w:lang w:bidi="ar"/>
          <w14:textFill>
            <w14:solidFill>
              <w14:schemeClr w14:val="tx1"/>
            </w14:solidFill>
          </w14:textFill>
        </w:rPr>
        <w:t>城市</w:t>
      </w:r>
      <w:r>
        <w:rPr>
          <w:rFonts w:hint="eastAsia" w:ascii="仿宋_GB2312" w:hAnsi="仿宋_GB2312" w:cs="仿宋_GB2312"/>
          <w:color w:val="000000" w:themeColor="text1"/>
          <w:szCs w:val="32"/>
          <w:lang w:eastAsia="zh" w:bidi="ar"/>
          <w14:textFill>
            <w14:solidFill>
              <w14:schemeClr w14:val="tx1"/>
            </w14:solidFill>
          </w14:textFill>
        </w:rPr>
        <w:t>副中心“后花园”和重要发展支撑区</w:t>
      </w:r>
      <w:r>
        <w:rPr>
          <w:rFonts w:hint="eastAsia" w:ascii="仿宋_GB2312" w:hAnsi="仿宋_GB2312" w:cs="仿宋_GB2312"/>
          <w:color w:val="000000" w:themeColor="text1"/>
          <w:szCs w:val="32"/>
          <w:lang w:bidi="ar"/>
          <w14:textFill>
            <w14:solidFill>
              <w14:schemeClr w14:val="tx1"/>
            </w14:solidFill>
          </w14:textFill>
        </w:rPr>
        <w:t>。</w:t>
      </w:r>
    </w:p>
    <w:p>
      <w:pPr>
        <w:pStyle w:val="3"/>
        <w:spacing w:before="0" w:after="0"/>
        <w:ind w:firstLine="0" w:firstLineChars="0"/>
        <w:jc w:val="center"/>
        <w:rPr>
          <w:rFonts w:hint="default" w:ascii="黑体" w:hAnsi="黑体" w:eastAsia="黑体" w:cs="黑体"/>
          <w:b w:val="0"/>
          <w:bCs w:val="0"/>
          <w:color w:val="000000" w:themeColor="text1"/>
          <w:sz w:val="32"/>
          <w:szCs w:val="32"/>
          <w14:textFill>
            <w14:solidFill>
              <w14:schemeClr w14:val="tx1"/>
            </w14:solidFill>
          </w14:textFill>
        </w:rPr>
      </w:pPr>
      <w:bookmarkStart w:id="382" w:name="_Toc31612"/>
      <w:bookmarkStart w:id="383" w:name="_Toc228193735"/>
      <w:bookmarkStart w:id="384" w:name="_Toc5919"/>
      <w:r>
        <w:rPr>
          <w:rFonts w:hint="default" w:ascii="黑体" w:hAnsi="黑体" w:eastAsia="黑体" w:cs="黑体"/>
          <w:b w:val="0"/>
          <w:bCs w:val="0"/>
          <w:color w:val="000000" w:themeColor="text1"/>
          <w:sz w:val="32"/>
          <w:szCs w:val="32"/>
          <w14:textFill>
            <w14:solidFill>
              <w14:schemeClr w14:val="tx1"/>
            </w14:solidFill>
          </w14:textFill>
        </w:rPr>
        <w:t>第十二章 未来产业：抢占前沿赛道发展先机</w:t>
      </w:r>
      <w:bookmarkEnd w:id="382"/>
      <w:bookmarkEnd w:id="383"/>
      <w:bookmarkEnd w:id="384"/>
    </w:p>
    <w:p>
      <w:pPr>
        <w:ind w:firstLine="640"/>
        <w:rPr>
          <w:rFonts w:ascii="仿宋_GB2312" w:hAnsi="仿宋_GB2312" w:cs="仿宋_GB2312"/>
          <w:color w:val="000000" w:themeColor="text1"/>
          <w:kern w:val="44"/>
          <w:szCs w:val="32"/>
          <w14:textFill>
            <w14:solidFill>
              <w14:schemeClr w14:val="tx1"/>
            </w14:solidFill>
          </w14:textFill>
        </w:rPr>
      </w:pPr>
      <w:bookmarkStart w:id="385" w:name="_Toc8434"/>
    </w:p>
    <w:p>
      <w:pPr>
        <w:pStyle w:val="4"/>
        <w:spacing w:before="0" w:after="0"/>
        <w:ind w:firstLine="640"/>
        <w:rPr>
          <w:rFonts w:hint="default" w:ascii="黑体" w:hAnsi="黑体" w:eastAsia="黑体" w:cs="黑体"/>
          <w:b w:val="0"/>
          <w:bCs w:val="0"/>
          <w:color w:val="000000" w:themeColor="text1"/>
          <w14:textFill>
            <w14:solidFill>
              <w14:schemeClr w14:val="tx1"/>
            </w14:solidFill>
          </w14:textFill>
        </w:rPr>
      </w:pPr>
      <w:bookmarkStart w:id="386" w:name="_Toc228193736"/>
      <w:bookmarkStart w:id="387" w:name="_Toc14568"/>
      <w:bookmarkStart w:id="388" w:name="_Toc21907"/>
      <w:r>
        <w:rPr>
          <w:rFonts w:hint="default" w:ascii="黑体" w:hAnsi="黑体" w:eastAsia="黑体" w:cs="黑体"/>
          <w:b w:val="0"/>
          <w:bCs w:val="0"/>
          <w:color w:val="000000" w:themeColor="text1"/>
          <w14:textFill>
            <w14:solidFill>
              <w14:schemeClr w14:val="tx1"/>
            </w14:solidFill>
          </w14:textFill>
        </w:rPr>
        <w:t>一、抢抓未来信息发展先机，构筑数字技术前沿</w:t>
      </w:r>
      <w:r>
        <w:rPr>
          <w:rFonts w:ascii="黑体" w:hAnsi="黑体" w:eastAsia="黑体" w:cs="黑体"/>
          <w:b w:val="0"/>
          <w:bCs w:val="0"/>
          <w:color w:val="000000" w:themeColor="text1"/>
          <w:lang w:eastAsia="zh"/>
          <w14:textFill>
            <w14:solidFill>
              <w14:schemeClr w14:val="tx1"/>
            </w14:solidFill>
          </w14:textFill>
        </w:rPr>
        <w:t>引领</w:t>
      </w:r>
      <w:bookmarkEnd w:id="386"/>
      <w:bookmarkEnd w:id="387"/>
      <w:bookmarkEnd w:id="388"/>
    </w:p>
    <w:p>
      <w:pPr>
        <w:ind w:firstLine="643"/>
        <w:rPr>
          <w:rFonts w:ascii="仿宋_GB2312" w:hAnsi="仿宋_GB2312" w:cs="仿宋_GB2312"/>
          <w:color w:val="000000" w:themeColor="text1"/>
          <w:kern w:val="44"/>
          <w:szCs w:val="32"/>
          <w14:textFill>
            <w14:solidFill>
              <w14:schemeClr w14:val="tx1"/>
            </w14:solidFill>
          </w14:textFill>
        </w:rPr>
      </w:pPr>
      <w:r>
        <w:rPr>
          <w:rFonts w:ascii="仿宋_GB2312" w:hAnsi="仿宋_GB2312" w:cs="仿宋_GB2312"/>
          <w:b/>
          <w:bCs/>
          <w:color w:val="000000" w:themeColor="text1"/>
          <w:kern w:val="44"/>
          <w:szCs w:val="32"/>
          <w14:textFill>
            <w14:solidFill>
              <w14:schemeClr w14:val="tx1"/>
            </w14:solidFill>
          </w14:textFill>
        </w:rPr>
        <w:t>前瞻布局6G等未来通信产业。</w:t>
      </w:r>
      <w:r>
        <w:rPr>
          <w:rFonts w:ascii="仿宋_GB2312" w:hAnsi="仿宋_GB2312" w:cs="仿宋_GB2312"/>
          <w:color w:val="000000" w:themeColor="text1"/>
          <w:kern w:val="44"/>
          <w:szCs w:val="32"/>
          <w14:textFill>
            <w14:solidFill>
              <w14:schemeClr w14:val="tx1"/>
            </w14:solidFill>
          </w14:textFill>
        </w:rPr>
        <w:t>依托中国信通院</w:t>
      </w:r>
      <w:r>
        <w:rPr>
          <w:rFonts w:hint="eastAsia" w:ascii="仿宋_GB2312" w:hAnsi="仿宋_GB2312" w:cs="仿宋_GB2312"/>
          <w:color w:val="000000" w:themeColor="text1"/>
          <w:kern w:val="44"/>
          <w:szCs w:val="32"/>
          <w14:textFill>
            <w14:solidFill>
              <w14:schemeClr w14:val="tx1"/>
            </w14:solidFill>
          </w14:textFill>
        </w:rPr>
        <w:t>“</w:t>
      </w:r>
      <w:r>
        <w:rPr>
          <w:rFonts w:ascii="仿宋_GB2312" w:hAnsi="仿宋_GB2312" w:cs="仿宋_GB2312"/>
          <w:color w:val="000000" w:themeColor="text1"/>
          <w:kern w:val="44"/>
          <w:szCs w:val="32"/>
          <w14:textFill>
            <w14:solidFill>
              <w14:schemeClr w14:val="tx1"/>
            </w14:solidFill>
          </w14:textFill>
        </w:rPr>
        <w:t>国家信息通信技术产业创新基地</w:t>
      </w:r>
      <w:r>
        <w:rPr>
          <w:rFonts w:hint="eastAsia" w:ascii="仿宋_GB2312" w:hAnsi="仿宋_GB2312" w:cs="仿宋_GB2312"/>
          <w:color w:val="000000" w:themeColor="text1"/>
          <w:kern w:val="44"/>
          <w:szCs w:val="32"/>
          <w14:textFill>
            <w14:solidFill>
              <w14:schemeClr w14:val="tx1"/>
            </w14:solidFill>
          </w14:textFill>
        </w:rPr>
        <w:t>”</w:t>
      </w:r>
      <w:r>
        <w:rPr>
          <w:rFonts w:ascii="仿宋_GB2312" w:hAnsi="仿宋_GB2312" w:cs="仿宋_GB2312"/>
          <w:color w:val="000000" w:themeColor="text1"/>
          <w:kern w:val="44"/>
          <w:szCs w:val="32"/>
          <w14:textFill>
            <w14:solidFill>
              <w14:schemeClr w14:val="tx1"/>
            </w14:solidFill>
          </w14:textFill>
        </w:rPr>
        <w:t>等平台载体，围绕未来网络架构、通感一体、智能频谱管理等方向，加强关键技术储备、测试验证和标准研究，推动形成技术研发、验证测试、标准参与、产业导入相衔接的发展路径。</w:t>
      </w:r>
    </w:p>
    <w:p>
      <w:pPr>
        <w:ind w:firstLine="643"/>
        <w:rPr>
          <w:rFonts w:ascii="仿宋_GB2312" w:hAnsi="仿宋_GB2312" w:cs="仿宋_GB2312"/>
          <w:color w:val="000000" w:themeColor="text1"/>
          <w:kern w:val="44"/>
          <w:szCs w:val="32"/>
          <w14:textFill>
            <w14:solidFill>
              <w14:schemeClr w14:val="tx1"/>
            </w14:solidFill>
          </w14:textFill>
        </w:rPr>
      </w:pPr>
      <w:r>
        <w:rPr>
          <w:rFonts w:hint="eastAsia" w:ascii="仿宋_GB2312" w:hAnsi="仿宋_GB2312" w:cs="仿宋_GB2312"/>
          <w:b/>
          <w:bCs/>
          <w:color w:val="000000" w:themeColor="text1"/>
          <w:kern w:val="44"/>
          <w:szCs w:val="32"/>
          <w14:textFill>
            <w14:solidFill>
              <w14:schemeClr w14:val="tx1"/>
            </w14:solidFill>
          </w14:textFill>
        </w:rPr>
        <w:t>二</w:t>
      </w:r>
      <w:r>
        <w:rPr>
          <w:rFonts w:ascii="仿宋_GB2312" w:hAnsi="仿宋_GB2312" w:cs="仿宋_GB2312"/>
          <w:b/>
          <w:bCs/>
          <w:color w:val="000000" w:themeColor="text1"/>
          <w:kern w:val="44"/>
          <w:szCs w:val="32"/>
          <w14:textFill>
            <w14:solidFill>
              <w14:schemeClr w14:val="tx1"/>
            </w14:solidFill>
          </w14:textFill>
        </w:rPr>
        <w:t>是培育数字技术新兴业态。</w:t>
      </w:r>
      <w:r>
        <w:rPr>
          <w:rFonts w:ascii="仿宋_GB2312" w:hAnsi="仿宋_GB2312" w:cs="仿宋_GB2312"/>
          <w:color w:val="000000" w:themeColor="text1"/>
          <w:kern w:val="44"/>
          <w:szCs w:val="32"/>
          <w14:textFill>
            <w14:solidFill>
              <w14:schemeClr w14:val="tx1"/>
            </w14:solidFill>
          </w14:textFill>
        </w:rPr>
        <w:t>围绕数字孪生、虚拟现实、高性能计算等技术方向，推动其在工业仿真、城市管理、文化展示、创意设计等领域加快落地应用。支持张家湾设计小镇发展数字设计、虚拟仿真、沉浸式展示等新模式，推动宋庄艺术创意小镇探索数字艺术创作、虚拟展示交易等新场景，培育一批以虚实融合为特色的新业态和新应用，构筑未来信息产业多点支撑的发展格局。</w:t>
      </w:r>
    </w:p>
    <w:p>
      <w:pPr>
        <w:pStyle w:val="4"/>
        <w:spacing w:before="0" w:after="0"/>
        <w:ind w:firstLine="640"/>
        <w:rPr>
          <w:rFonts w:hint="default" w:ascii="黑体" w:hAnsi="黑体" w:eastAsia="黑体" w:cs="黑体"/>
          <w:b w:val="0"/>
          <w:bCs w:val="0"/>
          <w:color w:val="000000" w:themeColor="text1"/>
          <w14:textFill>
            <w14:solidFill>
              <w14:schemeClr w14:val="tx1"/>
            </w14:solidFill>
          </w14:textFill>
        </w:rPr>
      </w:pPr>
      <w:bookmarkStart w:id="389" w:name="_Toc228193737"/>
      <w:bookmarkStart w:id="390" w:name="_Toc20351"/>
      <w:bookmarkStart w:id="391" w:name="_Toc25435"/>
      <w:r>
        <w:rPr>
          <w:rFonts w:hint="default" w:ascii="黑体" w:hAnsi="黑体" w:eastAsia="黑体" w:cs="黑体"/>
          <w:b w:val="0"/>
          <w:bCs w:val="0"/>
          <w:color w:val="000000" w:themeColor="text1"/>
          <w14:textFill>
            <w14:solidFill>
              <w14:schemeClr w14:val="tx1"/>
            </w14:solidFill>
          </w14:textFill>
        </w:rPr>
        <w:t>二、打造未来健康前沿阵地，培育医工融合创新引擎</w:t>
      </w:r>
      <w:bookmarkEnd w:id="389"/>
      <w:bookmarkEnd w:id="390"/>
      <w:bookmarkEnd w:id="391"/>
    </w:p>
    <w:p>
      <w:pPr>
        <w:ind w:firstLine="643"/>
        <w:rPr>
          <w:rFonts w:ascii="仿宋_GB2312" w:hAnsi="仿宋_GB2312" w:cs="仿宋_GB2312"/>
          <w:color w:val="000000" w:themeColor="text1"/>
          <w:kern w:val="44"/>
          <w:szCs w:val="32"/>
          <w14:textFill>
            <w14:solidFill>
              <w14:schemeClr w14:val="tx1"/>
            </w14:solidFill>
          </w14:textFill>
        </w:rPr>
      </w:pPr>
      <w:r>
        <w:rPr>
          <w:rFonts w:ascii="仿宋_GB2312" w:hAnsi="仿宋_GB2312" w:cs="仿宋_GB2312"/>
          <w:b/>
          <w:bCs/>
          <w:color w:val="000000" w:themeColor="text1"/>
          <w:kern w:val="44"/>
          <w:szCs w:val="32"/>
          <w14:textFill>
            <w14:solidFill>
              <w14:schemeClr w14:val="tx1"/>
            </w14:solidFill>
          </w14:textFill>
        </w:rPr>
        <w:t>一是突破未来健康关键核心技术。</w:t>
      </w:r>
      <w:r>
        <w:rPr>
          <w:rFonts w:ascii="仿宋_GB2312" w:hAnsi="仿宋_GB2312" w:cs="仿宋_GB2312"/>
          <w:color w:val="000000" w:themeColor="text1"/>
          <w:kern w:val="44"/>
          <w:szCs w:val="32"/>
          <w14:textFill>
            <w14:solidFill>
              <w14:schemeClr w14:val="tx1"/>
            </w14:solidFill>
          </w14:textFill>
        </w:rPr>
        <w:t>围绕创新药、高端医疗器械、细胞与基因治疗、脑科学与脑机接口等前沿方向，强化关键共性技术攻关和高水平创新平台建设，</w:t>
      </w:r>
      <w:r>
        <w:rPr>
          <w:rFonts w:hint="eastAsia" w:ascii="仿宋_GB2312" w:hAnsi="仿宋_GB2312" w:cs="仿宋_GB2312"/>
          <w:color w:val="000000" w:themeColor="text1"/>
          <w:kern w:val="44"/>
          <w:szCs w:val="32"/>
          <w14:textFill>
            <w14:solidFill>
              <w14:schemeClr w14:val="tx1"/>
            </w14:solidFill>
          </w14:textFill>
        </w:rPr>
        <w:t>推进中关村（通州）新一代生物医用材料育新平台建设，</w:t>
      </w:r>
      <w:r>
        <w:rPr>
          <w:rFonts w:ascii="仿宋_GB2312" w:hAnsi="仿宋_GB2312" w:cs="仿宋_GB2312"/>
          <w:color w:val="000000" w:themeColor="text1"/>
          <w:kern w:val="44"/>
          <w:szCs w:val="32"/>
          <w14:textFill>
            <w14:solidFill>
              <w14:schemeClr w14:val="tx1"/>
            </w14:solidFill>
          </w14:textFill>
        </w:rPr>
        <w:t>推动形成从基础研究到临床验证再到产业转化的创新体系。</w:t>
      </w:r>
    </w:p>
    <w:p>
      <w:pPr>
        <w:ind w:firstLine="643"/>
        <w:rPr>
          <w:rFonts w:ascii="仿宋_GB2312" w:hAnsi="仿宋_GB2312" w:cs="仿宋_GB2312"/>
          <w:color w:val="000000" w:themeColor="text1"/>
          <w:kern w:val="44"/>
          <w:szCs w:val="32"/>
          <w14:textFill>
            <w14:solidFill>
              <w14:schemeClr w14:val="tx1"/>
            </w14:solidFill>
          </w14:textFill>
        </w:rPr>
      </w:pPr>
      <w:r>
        <w:rPr>
          <w:rFonts w:ascii="仿宋_GB2312" w:hAnsi="仿宋_GB2312" w:cs="仿宋_GB2312"/>
          <w:b/>
          <w:bCs/>
          <w:color w:val="000000" w:themeColor="text1"/>
          <w:kern w:val="44"/>
          <w:szCs w:val="32"/>
          <w14:textFill>
            <w14:solidFill>
              <w14:schemeClr w14:val="tx1"/>
            </w14:solidFill>
          </w14:textFill>
        </w:rPr>
        <w:t>二是做强合成生物等特色方向。</w:t>
      </w:r>
      <w:r>
        <w:rPr>
          <w:rFonts w:ascii="仿宋_GB2312" w:hAnsi="仿宋_GB2312" w:cs="仿宋_GB2312"/>
          <w:color w:val="000000" w:themeColor="text1"/>
          <w:kern w:val="44"/>
          <w:szCs w:val="32"/>
          <w14:textFill>
            <w14:solidFill>
              <w14:schemeClr w14:val="tx1"/>
            </w14:solidFill>
          </w14:textFill>
        </w:rPr>
        <w:t>围绕医药健康、食品科技、能源环保等领域应用需求，推动合成生物技术研发、中试熟化和产业化应用协同推进。加快建设合成生物未来产业园区，强化专业载体、标准厂房、中试平台和服务平台供给，吸引一批在菌种设计、基因编辑、酶工程、绿色制造等领域具有成长潜力的企业和项目集聚发展，推动形成具有</w:t>
      </w:r>
      <w:r>
        <w:rPr>
          <w:rFonts w:hint="eastAsia" w:ascii="仿宋_GB2312" w:hAnsi="仿宋_GB2312" w:cs="仿宋_GB2312"/>
          <w:color w:val="000000" w:themeColor="text1"/>
          <w:kern w:val="44"/>
          <w:szCs w:val="32"/>
          <w14:textFill>
            <w14:solidFill>
              <w14:schemeClr w14:val="tx1"/>
            </w14:solidFill>
          </w14:textFill>
        </w:rPr>
        <w:t>城市</w:t>
      </w:r>
      <w:r>
        <w:rPr>
          <w:rFonts w:ascii="仿宋_GB2312" w:hAnsi="仿宋_GB2312" w:cs="仿宋_GB2312"/>
          <w:color w:val="000000" w:themeColor="text1"/>
          <w:kern w:val="44"/>
          <w:szCs w:val="32"/>
          <w14:textFill>
            <w14:solidFill>
              <w14:schemeClr w14:val="tx1"/>
            </w14:solidFill>
          </w14:textFill>
        </w:rPr>
        <w:t>副中心特色的未来健康细分优势。</w:t>
      </w:r>
    </w:p>
    <w:p>
      <w:pPr>
        <w:ind w:firstLine="643"/>
        <w:rPr>
          <w:rFonts w:ascii="仿宋_GB2312" w:hAnsi="仿宋_GB2312" w:cs="仿宋_GB2312"/>
          <w:color w:val="000000" w:themeColor="text1"/>
          <w:kern w:val="44"/>
          <w:szCs w:val="32"/>
          <w14:textFill>
            <w14:solidFill>
              <w14:schemeClr w14:val="tx1"/>
            </w14:solidFill>
          </w14:textFill>
        </w:rPr>
      </w:pPr>
      <w:r>
        <w:rPr>
          <w:rFonts w:ascii="仿宋_GB2312" w:hAnsi="仿宋_GB2312" w:cs="仿宋_GB2312"/>
          <w:b/>
          <w:bCs/>
          <w:color w:val="000000" w:themeColor="text1"/>
          <w:kern w:val="44"/>
          <w:szCs w:val="32"/>
          <w14:textFill>
            <w14:solidFill>
              <w14:schemeClr w14:val="tx1"/>
            </w14:solidFill>
          </w14:textFill>
        </w:rPr>
        <w:t>三是推动智慧医疗和医产协同发展。</w:t>
      </w:r>
      <w:r>
        <w:rPr>
          <w:rFonts w:ascii="仿宋_GB2312" w:hAnsi="仿宋_GB2312" w:cs="仿宋_GB2312"/>
          <w:color w:val="000000" w:themeColor="text1"/>
          <w:kern w:val="44"/>
          <w:szCs w:val="32"/>
          <w14:textFill>
            <w14:solidFill>
              <w14:schemeClr w14:val="tx1"/>
            </w14:solidFill>
          </w14:textFill>
        </w:rPr>
        <w:t>围绕AI辅助诊疗、智能康复、远程医疗、精准健康管理等方向，推动新技术、新产品在临床服务、康复治疗和健康管理等场景率先落地。依托安贞未来医学创新谷、北大人民医院医产协同创新港等载体，强化医疗场景开放和技术验证能力，推动形成“技术研发—临床应用—成果转化—产业孵化”一体化发展格局，打造医工融合创新发展的示范高地。</w:t>
      </w:r>
    </w:p>
    <w:p>
      <w:pPr>
        <w:pStyle w:val="4"/>
        <w:spacing w:before="0" w:after="0"/>
        <w:ind w:firstLine="640"/>
        <w:rPr>
          <w:rFonts w:hint="default" w:ascii="黑体" w:hAnsi="黑体" w:eastAsia="黑体" w:cs="黑体"/>
          <w:b w:val="0"/>
          <w:bCs w:val="0"/>
          <w:color w:val="000000" w:themeColor="text1"/>
          <w14:textFill>
            <w14:solidFill>
              <w14:schemeClr w14:val="tx1"/>
            </w14:solidFill>
          </w14:textFill>
        </w:rPr>
      </w:pPr>
      <w:bookmarkStart w:id="392" w:name="_Toc228193738"/>
      <w:bookmarkStart w:id="393" w:name="_Toc5206"/>
      <w:bookmarkStart w:id="394" w:name="_Toc28997"/>
      <w:r>
        <w:rPr>
          <w:rFonts w:hint="default" w:ascii="黑体" w:hAnsi="黑体" w:eastAsia="黑体" w:cs="黑体"/>
          <w:b w:val="0"/>
          <w:bCs w:val="0"/>
          <w:color w:val="000000" w:themeColor="text1"/>
          <w14:textFill>
            <w14:solidFill>
              <w14:schemeClr w14:val="tx1"/>
            </w14:solidFill>
          </w14:textFill>
        </w:rPr>
        <w:t>三、培育壮大未来能源，建设低碳技术应用</w:t>
      </w:r>
      <w:r>
        <w:rPr>
          <w:rFonts w:ascii="黑体" w:hAnsi="黑体" w:eastAsia="黑体" w:cs="黑体"/>
          <w:b w:val="0"/>
          <w:bCs w:val="0"/>
          <w:color w:val="000000" w:themeColor="text1"/>
          <w:lang w:eastAsia="zh"/>
          <w14:textFill>
            <w14:solidFill>
              <w14:schemeClr w14:val="tx1"/>
            </w14:solidFill>
          </w14:textFill>
        </w:rPr>
        <w:t>新</w:t>
      </w:r>
      <w:r>
        <w:rPr>
          <w:rFonts w:hint="default" w:ascii="黑体" w:hAnsi="黑体" w:eastAsia="黑体" w:cs="黑体"/>
          <w:b w:val="0"/>
          <w:bCs w:val="0"/>
          <w:color w:val="000000" w:themeColor="text1"/>
          <w14:textFill>
            <w14:solidFill>
              <w14:schemeClr w14:val="tx1"/>
            </w14:solidFill>
          </w14:textFill>
        </w:rPr>
        <w:t>高地</w:t>
      </w:r>
      <w:bookmarkEnd w:id="392"/>
      <w:bookmarkEnd w:id="393"/>
      <w:bookmarkEnd w:id="394"/>
    </w:p>
    <w:p>
      <w:pPr>
        <w:ind w:firstLine="643"/>
        <w:rPr>
          <w:rFonts w:ascii="仿宋_GB2312" w:hAnsi="仿宋_GB2312" w:cs="仿宋_GB2312"/>
          <w:color w:val="000000" w:themeColor="text1"/>
          <w:kern w:val="44"/>
          <w:szCs w:val="32"/>
          <w14:textFill>
            <w14:solidFill>
              <w14:schemeClr w14:val="tx1"/>
            </w14:solidFill>
          </w14:textFill>
        </w:rPr>
      </w:pPr>
      <w:r>
        <w:rPr>
          <w:rFonts w:ascii="仿宋_GB2312" w:hAnsi="仿宋_GB2312" w:cs="仿宋_GB2312"/>
          <w:b/>
          <w:bCs/>
          <w:color w:val="000000" w:themeColor="text1"/>
          <w:kern w:val="44"/>
          <w:szCs w:val="32"/>
          <w14:textFill>
            <w14:solidFill>
              <w14:schemeClr w14:val="tx1"/>
            </w14:solidFill>
          </w14:textFill>
        </w:rPr>
        <w:t>一是加快发展新型储能产业。</w:t>
      </w:r>
      <w:r>
        <w:rPr>
          <w:rFonts w:ascii="仿宋_GB2312" w:hAnsi="仿宋_GB2312" w:cs="仿宋_GB2312"/>
          <w:color w:val="000000" w:themeColor="text1"/>
          <w:kern w:val="44"/>
          <w:szCs w:val="32"/>
          <w14:textFill>
            <w14:solidFill>
              <w14:schemeClr w14:val="tx1"/>
            </w14:solidFill>
          </w14:textFill>
        </w:rPr>
        <w:t>围绕电化学储能、氢储能、空气储能等重点方向，推动储能电池、储能变流器、能量控制系统等关键环节布局发展，提升未来能源系统集成和应用能力。结合园区、楼宇、数据中心、公共设施等应用需求，推动储能技术在重点区域和典型场景先行先试，支持建设源网荷储一体化、虚拟电厂、智能微电网等项目，增强</w:t>
      </w:r>
      <w:r>
        <w:rPr>
          <w:rFonts w:hint="eastAsia" w:ascii="仿宋_GB2312" w:hAnsi="仿宋_GB2312" w:cs="仿宋_GB2312"/>
          <w:color w:val="000000" w:themeColor="text1"/>
          <w:kern w:val="44"/>
          <w:szCs w:val="32"/>
          <w14:textFill>
            <w14:solidFill>
              <w14:schemeClr w14:val="tx1"/>
            </w14:solidFill>
          </w14:textFill>
        </w:rPr>
        <w:t>城市</w:t>
      </w:r>
      <w:r>
        <w:rPr>
          <w:rFonts w:ascii="仿宋_GB2312" w:hAnsi="仿宋_GB2312" w:cs="仿宋_GB2312"/>
          <w:color w:val="000000" w:themeColor="text1"/>
          <w:kern w:val="44"/>
          <w:szCs w:val="32"/>
          <w14:textFill>
            <w14:solidFill>
              <w14:schemeClr w14:val="tx1"/>
            </w14:solidFill>
          </w14:textFill>
        </w:rPr>
        <w:t>副中心绿色能源系统的灵活调节能力和综合支撑能力。</w:t>
      </w:r>
    </w:p>
    <w:p>
      <w:pPr>
        <w:ind w:firstLine="643"/>
        <w:rPr>
          <w:rFonts w:ascii="仿宋_GB2312" w:hAnsi="仿宋_GB2312" w:cs="仿宋_GB2312"/>
          <w:color w:val="000000" w:themeColor="text1"/>
          <w:kern w:val="44"/>
          <w:szCs w:val="32"/>
          <w14:textFill>
            <w14:solidFill>
              <w14:schemeClr w14:val="tx1"/>
            </w14:solidFill>
          </w14:textFill>
        </w:rPr>
      </w:pPr>
      <w:r>
        <w:rPr>
          <w:rFonts w:ascii="仿宋_GB2312" w:hAnsi="仿宋_GB2312" w:cs="仿宋_GB2312"/>
          <w:b/>
          <w:bCs/>
          <w:color w:val="000000" w:themeColor="text1"/>
          <w:kern w:val="44"/>
          <w:szCs w:val="32"/>
          <w14:textFill>
            <w14:solidFill>
              <w14:schemeClr w14:val="tx1"/>
            </w14:solidFill>
          </w14:textFill>
        </w:rPr>
        <w:t>二是积极布局氢能产业链条。</w:t>
      </w:r>
      <w:r>
        <w:rPr>
          <w:rFonts w:ascii="仿宋_GB2312" w:hAnsi="仿宋_GB2312" w:cs="仿宋_GB2312"/>
          <w:color w:val="000000" w:themeColor="text1"/>
          <w:kern w:val="44"/>
          <w:szCs w:val="32"/>
          <w14:textFill>
            <w14:solidFill>
              <w14:schemeClr w14:val="tx1"/>
            </w14:solidFill>
          </w14:textFill>
        </w:rPr>
        <w:t>围绕“制、储、运、加、用”全链条发展路径，推动绿电制氢、储运装备、加氢设施、燃料电池系统等重点方向加快布局，培育氢能装备和氢能服务相关企业。依托交通场站、应急供能、公共建筑等场景，</w:t>
      </w:r>
      <w:r>
        <w:rPr>
          <w:rFonts w:hint="eastAsia" w:ascii="仿宋_GB2312" w:hAnsi="仿宋_GB2312" w:cs="仿宋_GB2312"/>
          <w:color w:val="000000" w:themeColor="text1"/>
          <w:kern w:val="44"/>
          <w:szCs w:val="32"/>
          <w14:textFill>
            <w14:solidFill>
              <w14:schemeClr w14:val="tx1"/>
            </w14:solidFill>
          </w14:textFill>
        </w:rPr>
        <w:t>推进氢能示范场景应用，</w:t>
      </w:r>
      <w:r>
        <w:rPr>
          <w:rFonts w:ascii="仿宋_GB2312" w:hAnsi="仿宋_GB2312" w:cs="仿宋_GB2312"/>
          <w:color w:val="000000" w:themeColor="text1"/>
          <w:kern w:val="44"/>
          <w:szCs w:val="32"/>
          <w14:textFill>
            <w14:solidFill>
              <w14:schemeClr w14:val="tx1"/>
            </w14:solidFill>
          </w14:textFill>
        </w:rPr>
        <w:t>推动氢能在交通运输、分布式供能和综合能源服务等领域率先应用，逐步形成技术突破、装备制造和场景应用协同推进的氢能发展格局。</w:t>
      </w:r>
    </w:p>
    <w:p>
      <w:pPr>
        <w:ind w:firstLine="643"/>
        <w:rPr>
          <w:rFonts w:ascii="仿宋_GB2312" w:hAnsi="仿宋_GB2312" w:cs="仿宋_GB2312"/>
          <w:color w:val="000000" w:themeColor="text1"/>
          <w:kern w:val="44"/>
          <w:szCs w:val="32"/>
          <w14:textFill>
            <w14:solidFill>
              <w14:schemeClr w14:val="tx1"/>
            </w14:solidFill>
          </w14:textFill>
        </w:rPr>
      </w:pPr>
      <w:r>
        <w:rPr>
          <w:rFonts w:ascii="仿宋_GB2312" w:hAnsi="仿宋_GB2312" w:cs="仿宋_GB2312"/>
          <w:b/>
          <w:bCs/>
          <w:color w:val="000000" w:themeColor="text1"/>
          <w:kern w:val="44"/>
          <w:szCs w:val="32"/>
          <w14:textFill>
            <w14:solidFill>
              <w14:schemeClr w14:val="tx1"/>
            </w14:solidFill>
          </w14:textFill>
        </w:rPr>
        <w:t>三是推动碳资源利用与低碳技术应用。</w:t>
      </w:r>
      <w:r>
        <w:rPr>
          <w:rFonts w:ascii="仿宋_GB2312" w:hAnsi="仿宋_GB2312" w:cs="仿宋_GB2312"/>
          <w:color w:val="000000" w:themeColor="text1"/>
          <w:kern w:val="44"/>
          <w:szCs w:val="32"/>
          <w14:textFill>
            <w14:solidFill>
              <w14:schemeClr w14:val="tx1"/>
            </w14:solidFill>
          </w14:textFill>
        </w:rPr>
        <w:t>围绕碳捕集、碳运输、碳利用、碳封存等关键环节，推动相关技术研发、成果转化和示范应用协同发展。加快推进CCUS碳未来产业园建设，围绕京津冀重点行业减排需求，推动形成碳捕集利用与封存一体化示范场景，吸引一批碳减排、碳管理、碳技术服务等领域企业和项目集聚发展，打造服务首都绿色转型的重要未来能源承载地。</w:t>
      </w:r>
    </w:p>
    <w:p>
      <w:pPr>
        <w:pStyle w:val="4"/>
        <w:spacing w:before="0" w:after="0"/>
        <w:ind w:firstLine="640"/>
        <w:rPr>
          <w:rFonts w:hint="default" w:ascii="黑体" w:hAnsi="黑体" w:eastAsia="黑体" w:cs="黑体"/>
          <w:b w:val="0"/>
          <w:bCs w:val="0"/>
          <w:color w:val="000000" w:themeColor="text1"/>
          <w14:textFill>
            <w14:solidFill>
              <w14:schemeClr w14:val="tx1"/>
            </w14:solidFill>
          </w14:textFill>
        </w:rPr>
      </w:pPr>
      <w:bookmarkStart w:id="395" w:name="_Toc3177"/>
      <w:bookmarkStart w:id="396" w:name="_Toc228193739"/>
      <w:bookmarkStart w:id="397" w:name="_Toc10677"/>
      <w:r>
        <w:rPr>
          <w:rFonts w:hint="default" w:ascii="黑体" w:hAnsi="黑体" w:eastAsia="黑体" w:cs="黑体"/>
          <w:b w:val="0"/>
          <w:bCs w:val="0"/>
          <w:color w:val="000000" w:themeColor="text1"/>
          <w14:textFill>
            <w14:solidFill>
              <w14:schemeClr w14:val="tx1"/>
            </w14:solidFill>
          </w14:textFill>
        </w:rPr>
        <w:t>四、前瞻布局潜力赛道，培育未来产业</w:t>
      </w:r>
      <w:r>
        <w:rPr>
          <w:rFonts w:ascii="黑体" w:hAnsi="黑体" w:eastAsia="黑体" w:cs="黑体"/>
          <w:b w:val="0"/>
          <w:bCs w:val="0"/>
          <w:color w:val="000000" w:themeColor="text1"/>
          <w14:textFill>
            <w14:solidFill>
              <w14:schemeClr w14:val="tx1"/>
            </w14:solidFill>
          </w14:textFill>
        </w:rPr>
        <w:t>发展</w:t>
      </w:r>
      <w:r>
        <w:rPr>
          <w:rFonts w:hint="default" w:ascii="黑体" w:hAnsi="黑体" w:eastAsia="黑体" w:cs="黑体"/>
          <w:b w:val="0"/>
          <w:bCs w:val="0"/>
          <w:color w:val="000000" w:themeColor="text1"/>
          <w14:textFill>
            <w14:solidFill>
              <w14:schemeClr w14:val="tx1"/>
            </w14:solidFill>
          </w14:textFill>
        </w:rPr>
        <w:t>新动能</w:t>
      </w:r>
      <w:bookmarkEnd w:id="395"/>
      <w:bookmarkEnd w:id="396"/>
      <w:bookmarkEnd w:id="397"/>
    </w:p>
    <w:p>
      <w:pPr>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打造具身智能研发转化高地。</w:t>
      </w:r>
      <w:r>
        <w:rPr>
          <w:rFonts w:hint="eastAsia" w:ascii="仿宋_GB2312" w:hAnsi="仿宋_GB2312" w:cs="仿宋_GB2312"/>
          <w:color w:val="000000" w:themeColor="text1"/>
          <w:szCs w:val="32"/>
          <w:lang w:bidi="ar"/>
          <w14:textFill>
            <w14:solidFill>
              <w14:schemeClr w14:val="tx1"/>
            </w14:solidFill>
          </w14:textFill>
        </w:rPr>
        <w:t>发挥北京数据基础制度先行示范区优势，围绕台湖等区域，依托北京人形机器人创新中心等龙头企业，重点推进具身智能技术研发与成果转化，建设真实场景数据训练基地，打通实验室到产业化的“最后一公里”。推动建设具身智能创新中心、概念验证平台和应用测试基地，强化智能传感器、核心算法、执行机构等关键环节集聚。围绕工业制造、生活服务、城市治理等重点场景，推动具身智能技术与实体经济深度融合。</w:t>
      </w:r>
    </w:p>
    <w:p>
      <w:pPr>
        <w:ind w:firstLine="643"/>
        <w:rPr>
          <w:rFonts w:ascii="仿宋_GB2312" w:hAnsi="仿宋_GB2312" w:cs="仿宋_GB2312"/>
          <w:color w:val="000000" w:themeColor="text1"/>
          <w:kern w:val="44"/>
          <w:szCs w:val="32"/>
          <w14:textFill>
            <w14:solidFill>
              <w14:schemeClr w14:val="tx1"/>
            </w14:solidFill>
          </w14:textFill>
        </w:rPr>
      </w:pPr>
      <w:r>
        <w:rPr>
          <w:rFonts w:hint="eastAsia" w:ascii="仿宋_GB2312" w:hAnsi="仿宋_GB2312" w:cs="仿宋_GB2312"/>
          <w:b/>
          <w:bCs/>
          <w:color w:val="000000" w:themeColor="text1"/>
          <w:kern w:val="44"/>
          <w:szCs w:val="32"/>
          <w14:textFill>
            <w14:solidFill>
              <w14:schemeClr w14:val="tx1"/>
            </w14:solidFill>
          </w14:textFill>
        </w:rPr>
        <w:t>二</w:t>
      </w:r>
      <w:r>
        <w:rPr>
          <w:rFonts w:ascii="仿宋_GB2312" w:hAnsi="仿宋_GB2312" w:cs="仿宋_GB2312"/>
          <w:b/>
          <w:bCs/>
          <w:color w:val="000000" w:themeColor="text1"/>
          <w:kern w:val="44"/>
          <w:szCs w:val="32"/>
          <w14:textFill>
            <w14:solidFill>
              <w14:schemeClr w14:val="tx1"/>
            </w14:solidFill>
          </w14:textFill>
        </w:rPr>
        <w:t>是完善未来产业育成机制。</w:t>
      </w:r>
      <w:r>
        <w:rPr>
          <w:rFonts w:ascii="仿宋_GB2312" w:hAnsi="仿宋_GB2312" w:cs="仿宋_GB2312"/>
          <w:color w:val="000000" w:themeColor="text1"/>
          <w:kern w:val="44"/>
          <w:szCs w:val="32"/>
          <w14:textFill>
            <w14:solidFill>
              <w14:schemeClr w14:val="tx1"/>
            </w14:solidFill>
          </w14:textFill>
        </w:rPr>
        <w:t>加强前沿技术和新兴产业跟踪研究，健全颠覆性技术创新成果发现、筛选和培育机制，强化应用场景对未来产业发展的牵引作用。支持建设开放式未来产业育成平台、专业孵化器和成果转化基地，推动未来材料、新型生物基材料等前沿领域超前布局、超前孵化，培育一批具有成长潜力的未来产业项目和创新主体，为</w:t>
      </w:r>
      <w:r>
        <w:rPr>
          <w:rFonts w:hint="eastAsia" w:ascii="仿宋_GB2312" w:hAnsi="仿宋_GB2312" w:cs="仿宋_GB2312"/>
          <w:color w:val="000000" w:themeColor="text1"/>
          <w:kern w:val="44"/>
          <w:szCs w:val="32"/>
          <w14:textFill>
            <w14:solidFill>
              <w14:schemeClr w14:val="tx1"/>
            </w14:solidFill>
          </w14:textFill>
        </w:rPr>
        <w:t>城市</w:t>
      </w:r>
      <w:r>
        <w:rPr>
          <w:rFonts w:ascii="仿宋_GB2312" w:hAnsi="仿宋_GB2312" w:cs="仿宋_GB2312"/>
          <w:color w:val="000000" w:themeColor="text1"/>
          <w:kern w:val="44"/>
          <w:szCs w:val="32"/>
          <w14:textFill>
            <w14:solidFill>
              <w14:schemeClr w14:val="tx1"/>
            </w14:solidFill>
          </w14:textFill>
        </w:rPr>
        <w:t>副中心未来产业发展持续注入新动能。</w:t>
      </w:r>
    </w:p>
    <w:p>
      <w:pPr>
        <w:ind w:firstLine="0" w:firstLineChars="0"/>
        <w:rPr>
          <w:rFonts w:ascii="仿宋_GB2312" w:hAnsi="仿宋_GB2312" w:cs="仿宋_GB2312"/>
          <w:color w:val="000000" w:themeColor="text1"/>
          <w:kern w:val="44"/>
          <w:szCs w:val="32"/>
          <w14:textFill>
            <w14:solidFill>
              <w14:schemeClr w14:val="tx1"/>
            </w14:solidFill>
          </w14:textFill>
        </w:rPr>
      </w:pPr>
      <w:r>
        <w:rPr>
          <w:rFonts w:ascii="仿宋_GB2312" w:hAnsi="仿宋_GB2312" w:cs="仿宋_GB2312"/>
          <w:color w:val="000000" w:themeColor="text1"/>
          <w:kern w:val="44"/>
          <w:szCs w:val="32"/>
          <w14:textFill>
            <w14:solidFill>
              <w14:schemeClr w14:val="tx1"/>
            </w14:solidFill>
          </w14:textFill>
        </w:rPr>
        <w:br w:type="page"/>
      </w:r>
    </w:p>
    <w:bookmarkEnd w:id="385"/>
    <w:p>
      <w:pPr>
        <w:pStyle w:val="2"/>
        <w:keepNext w:val="0"/>
        <w:keepLines w:val="0"/>
        <w:ind w:firstLine="0" w:firstLineChars="0"/>
        <w:jc w:val="center"/>
        <w:rPr>
          <w:rFonts w:hint="default" w:ascii="方正小标宋简体" w:hAnsi="方正小标宋简体" w:eastAsia="方正小标宋简体" w:cs="方正小标宋简体"/>
          <w:bCs w:val="0"/>
          <w:kern w:val="44"/>
          <w:sz w:val="36"/>
          <w:szCs w:val="36"/>
        </w:rPr>
      </w:pPr>
      <w:bookmarkStart w:id="398" w:name="_Toc13557"/>
      <w:bookmarkEnd w:id="398"/>
      <w:bookmarkStart w:id="399" w:name="_Toc14674"/>
      <w:bookmarkEnd w:id="399"/>
      <w:bookmarkStart w:id="400" w:name="_Toc20432"/>
      <w:bookmarkEnd w:id="400"/>
      <w:bookmarkStart w:id="401" w:name="_Toc15772"/>
      <w:bookmarkEnd w:id="401"/>
      <w:bookmarkStart w:id="402" w:name="_Toc6100"/>
      <w:bookmarkEnd w:id="402"/>
      <w:bookmarkStart w:id="403" w:name="_Toc223085223"/>
      <w:bookmarkEnd w:id="403"/>
      <w:bookmarkStart w:id="404" w:name="_Toc23131"/>
      <w:bookmarkEnd w:id="404"/>
      <w:bookmarkStart w:id="405" w:name="_Toc1764"/>
      <w:bookmarkEnd w:id="405"/>
      <w:bookmarkStart w:id="406" w:name="_Toc12746"/>
      <w:bookmarkEnd w:id="406"/>
      <w:bookmarkStart w:id="407" w:name="_Toc23536"/>
      <w:bookmarkEnd w:id="407"/>
      <w:bookmarkStart w:id="408" w:name="_Toc4909"/>
      <w:bookmarkEnd w:id="408"/>
      <w:bookmarkStart w:id="409" w:name="_Toc28441"/>
      <w:bookmarkStart w:id="410" w:name="_Toc228193740"/>
      <w:bookmarkStart w:id="411" w:name="_Toc526"/>
      <w:bookmarkStart w:id="412" w:name="_Toc31284"/>
      <w:bookmarkStart w:id="413" w:name="_Toc15692"/>
      <w:bookmarkStart w:id="414" w:name="_Toc12854"/>
      <w:r>
        <w:rPr>
          <w:rFonts w:ascii="方正小标宋简体" w:hAnsi="方正小标宋简体" w:eastAsia="方正小标宋简体" w:cs="方正小标宋简体"/>
          <w:bCs w:val="0"/>
          <w:kern w:val="44"/>
          <w:sz w:val="36"/>
          <w:szCs w:val="36"/>
        </w:rPr>
        <w:t>第四篇 落实战略任务 构筑高质量发展强支撑</w:t>
      </w:r>
      <w:bookmarkEnd w:id="409"/>
      <w:bookmarkEnd w:id="410"/>
      <w:bookmarkEnd w:id="411"/>
    </w:p>
    <w:bookmarkEnd w:id="412"/>
    <w:bookmarkEnd w:id="413"/>
    <w:bookmarkEnd w:id="414"/>
    <w:p>
      <w:pPr>
        <w:widowControl/>
        <w:ind w:firstLine="640"/>
        <w:rPr>
          <w:rFonts w:ascii="仿宋_GB2312" w:hAnsi="等线" w:cs="仿宋_GB2312"/>
          <w:color w:val="000000" w:themeColor="text1"/>
          <w:szCs w:val="32"/>
          <w:lang w:bidi="ar"/>
          <w14:textFill>
            <w14:solidFill>
              <w14:schemeClr w14:val="tx1"/>
            </w14:solidFill>
          </w14:textFill>
        </w:rPr>
      </w:pPr>
    </w:p>
    <w:p>
      <w:pPr>
        <w:pStyle w:val="3"/>
        <w:spacing w:before="0" w:after="0"/>
        <w:ind w:firstLine="0" w:firstLineChars="0"/>
        <w:jc w:val="center"/>
        <w:rPr>
          <w:rFonts w:hint="default" w:ascii="黑体" w:hAnsi="黑体" w:eastAsia="黑体" w:cs="黑体"/>
          <w:b w:val="0"/>
          <w:bCs w:val="0"/>
          <w:color w:val="000000" w:themeColor="text1"/>
          <w:sz w:val="32"/>
          <w:szCs w:val="32"/>
          <w14:textFill>
            <w14:solidFill>
              <w14:schemeClr w14:val="tx1"/>
            </w14:solidFill>
          </w14:textFill>
        </w:rPr>
      </w:pPr>
      <w:bookmarkStart w:id="415" w:name="_Toc228193741"/>
      <w:bookmarkStart w:id="416" w:name="_Toc19008"/>
      <w:bookmarkStart w:id="417" w:name="_Toc15219"/>
      <w:r>
        <w:rPr>
          <w:rFonts w:hint="default" w:ascii="黑体" w:hAnsi="黑体" w:eastAsia="黑体" w:cs="黑体"/>
          <w:b w:val="0"/>
          <w:bCs w:val="0"/>
          <w:color w:val="000000" w:themeColor="text1"/>
          <w:sz w:val="32"/>
          <w:szCs w:val="32"/>
          <w14:textFill>
            <w14:solidFill>
              <w14:schemeClr w14:val="tx1"/>
            </w14:solidFill>
          </w14:textFill>
        </w:rPr>
        <w:t>第</w:t>
      </w:r>
      <w:r>
        <w:rPr>
          <w:rFonts w:ascii="黑体" w:hAnsi="黑体" w:eastAsia="黑体" w:cs="黑体"/>
          <w:b w:val="0"/>
          <w:bCs w:val="0"/>
          <w:color w:val="000000" w:themeColor="text1"/>
          <w:sz w:val="32"/>
          <w:szCs w:val="32"/>
          <w14:textFill>
            <w14:solidFill>
              <w14:schemeClr w14:val="tx1"/>
            </w14:solidFill>
          </w14:textFill>
        </w:rPr>
        <w:t>十三</w:t>
      </w:r>
      <w:r>
        <w:rPr>
          <w:rFonts w:hint="default" w:ascii="黑体" w:hAnsi="黑体" w:eastAsia="黑体" w:cs="黑体"/>
          <w:b w:val="0"/>
          <w:bCs w:val="0"/>
          <w:color w:val="000000" w:themeColor="text1"/>
          <w:sz w:val="32"/>
          <w:szCs w:val="32"/>
          <w14:textFill>
            <w14:solidFill>
              <w14:schemeClr w14:val="tx1"/>
            </w14:solidFill>
          </w14:textFill>
        </w:rPr>
        <w:t>章 深化要素市场</w:t>
      </w:r>
      <w:r>
        <w:rPr>
          <w:rFonts w:ascii="黑体" w:hAnsi="黑体" w:eastAsia="黑体" w:cs="黑体"/>
          <w:b w:val="0"/>
          <w:bCs w:val="0"/>
          <w:color w:val="000000" w:themeColor="text1"/>
          <w:sz w:val="32"/>
          <w:szCs w:val="32"/>
          <w14:textFill>
            <w14:solidFill>
              <w14:schemeClr w14:val="tx1"/>
            </w14:solidFill>
          </w14:textFill>
        </w:rPr>
        <w:t>化</w:t>
      </w:r>
      <w:r>
        <w:rPr>
          <w:rFonts w:hint="default" w:ascii="黑体" w:hAnsi="黑体" w:eastAsia="黑体" w:cs="黑体"/>
          <w:b w:val="0"/>
          <w:bCs w:val="0"/>
          <w:color w:val="000000" w:themeColor="text1"/>
          <w:sz w:val="32"/>
          <w:szCs w:val="32"/>
          <w14:textFill>
            <w14:solidFill>
              <w14:schemeClr w14:val="tx1"/>
            </w14:solidFill>
          </w14:textFill>
        </w:rPr>
        <w:t>改革，强化新质生产力支撑</w:t>
      </w:r>
      <w:bookmarkEnd w:id="415"/>
      <w:bookmarkEnd w:id="416"/>
      <w:bookmarkEnd w:id="417"/>
    </w:p>
    <w:p>
      <w:pPr>
        <w:pStyle w:val="4"/>
        <w:widowControl/>
        <w:kinsoku w:val="0"/>
        <w:autoSpaceDE w:val="0"/>
        <w:autoSpaceDN w:val="0"/>
        <w:adjustRightInd w:val="0"/>
        <w:snapToGrid w:val="0"/>
        <w:spacing w:before="0" w:after="0"/>
        <w:ind w:firstLine="640" w:firstLineChars="0"/>
        <w:textAlignment w:val="baseline"/>
        <w:rPr>
          <w:rFonts w:hint="default" w:ascii="黑体" w:hAnsi="黑体" w:eastAsia="黑体" w:cs="黑体"/>
          <w:b w:val="0"/>
          <w:bCs w:val="0"/>
          <w:color w:val="000000" w:themeColor="text1"/>
          <w14:textFill>
            <w14:solidFill>
              <w14:schemeClr w14:val="tx1"/>
            </w14:solidFill>
          </w14:textFill>
        </w:rPr>
      </w:pPr>
      <w:bookmarkStart w:id="418" w:name="_Toc228193742"/>
      <w:bookmarkStart w:id="419" w:name="_Toc15339"/>
      <w:bookmarkStart w:id="420" w:name="_Toc12712"/>
      <w:r>
        <w:rPr>
          <w:rFonts w:ascii="黑体" w:hAnsi="黑体" w:eastAsia="黑体" w:cs="黑体"/>
          <w:b w:val="0"/>
          <w:bCs w:val="0"/>
          <w:color w:val="000000" w:themeColor="text1"/>
          <w14:textFill>
            <w14:solidFill>
              <w14:schemeClr w14:val="tx1"/>
            </w14:solidFill>
          </w14:textFill>
        </w:rPr>
        <w:t>一、强化科技要素支撑，提升创新转化能力</w:t>
      </w:r>
      <w:bookmarkEnd w:id="418"/>
      <w:bookmarkEnd w:id="419"/>
      <w:bookmarkEnd w:id="420"/>
    </w:p>
    <w:p>
      <w:pPr>
        <w:widowControl/>
        <w:ind w:firstLine="643"/>
        <w:rPr>
          <w:rFonts w:ascii="仿宋_GB2312" w:hAnsi="等线" w:cs="仿宋_GB2312"/>
          <w:color w:val="000000" w:themeColor="text1"/>
          <w:szCs w:val="32"/>
          <w:lang w:bidi="ar"/>
          <w14:textFill>
            <w14:solidFill>
              <w14:schemeClr w14:val="tx1"/>
            </w14:solidFill>
          </w14:textFill>
        </w:rPr>
      </w:pPr>
      <w:r>
        <w:rPr>
          <w:rFonts w:hint="eastAsia" w:ascii="仿宋_GB2312" w:hAnsi="等线" w:cs="仿宋_GB2312"/>
          <w:b/>
          <w:bCs/>
          <w:color w:val="000000" w:themeColor="text1"/>
          <w:szCs w:val="32"/>
          <w:lang w:bidi="ar"/>
          <w14:textFill>
            <w14:solidFill>
              <w14:schemeClr w14:val="tx1"/>
            </w14:solidFill>
          </w14:textFill>
        </w:rPr>
        <w:t>一是强化创新资源导入，提升科技要素集聚水平</w:t>
      </w:r>
      <w:r>
        <w:rPr>
          <w:rFonts w:hint="eastAsia" w:ascii="仿宋_GB2312" w:hAnsi="等线" w:cs="仿宋_GB2312"/>
          <w:color w:val="000000" w:themeColor="text1"/>
          <w:szCs w:val="32"/>
          <w:lang w:bidi="ar"/>
          <w14:textFill>
            <w14:solidFill>
              <w14:schemeClr w14:val="tx1"/>
            </w14:solidFill>
          </w14:textFill>
        </w:rPr>
        <w:t>。围绕城市副中心产业发展方向和科技创新需求，依托重点高校、科研院所、创新平台和科技服务机构，持续增强高端创新资源集聚能力。聚焦未来信息、未来健康、未来能源等重点领域，推动高水平研发机构、国际创新组织、跨国企业研发中心和技术转移机构在城市副中心布局发展，增强区域科技创新策源能力和源头供给能力。</w:t>
      </w:r>
    </w:p>
    <w:p>
      <w:pPr>
        <w:widowControl/>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二是</w:t>
      </w:r>
      <w:r>
        <w:rPr>
          <w:b/>
          <w:bCs/>
          <w:color w:val="000000" w:themeColor="text1"/>
          <w14:textFill>
            <w14:solidFill>
              <w14:schemeClr w14:val="tx1"/>
            </w14:solidFill>
          </w14:textFill>
        </w:rPr>
        <w:t>畅通成果转化链条，提升科技成果产业化效率。</w:t>
      </w:r>
      <w:r>
        <w:rPr>
          <w:color w:val="000000" w:themeColor="text1"/>
          <w14:textFill>
            <w14:solidFill>
              <w14:schemeClr w14:val="tx1"/>
            </w14:solidFill>
          </w14:textFill>
        </w:rPr>
        <w:t>围绕科技成果</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转不出、接不住、落不下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的关键问题，推动构建覆盖概念验证、中试熟化、成果孵化、产业应用的全链条转化体系。支持中央单位、高校院所和科研机构科技成果在</w:t>
      </w:r>
      <w:r>
        <w:rPr>
          <w:rFonts w:hint="eastAsia"/>
          <w:color w:val="000000" w:themeColor="text1"/>
          <w14:textFill>
            <w14:solidFill>
              <w14:schemeClr w14:val="tx1"/>
            </w14:solidFill>
          </w14:textFill>
        </w:rPr>
        <w:t>城市</w:t>
      </w:r>
      <w:r>
        <w:rPr>
          <w:color w:val="000000" w:themeColor="text1"/>
          <w14:textFill>
            <w14:solidFill>
              <w14:schemeClr w14:val="tx1"/>
            </w14:solidFill>
          </w14:textFill>
        </w:rPr>
        <w:t>副中心优先转化落地，强化技术转移、成果评价、应用验证等关键环节支撑，推动更多科研成果加快从实验室走向生产线、从创新成果转化为现实生产力。</w:t>
      </w:r>
    </w:p>
    <w:p>
      <w:pPr>
        <w:widowControl/>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三是</w:t>
      </w:r>
      <w:r>
        <w:rPr>
          <w:b/>
          <w:bCs/>
          <w:color w:val="000000" w:themeColor="text1"/>
          <w14:textFill>
            <w14:solidFill>
              <w14:schemeClr w14:val="tx1"/>
            </w14:solidFill>
          </w14:textFill>
        </w:rPr>
        <w:t>创新科技金融机制，增强科技创新市场支撑能力。</w:t>
      </w:r>
      <w:r>
        <w:rPr>
          <w:color w:val="000000" w:themeColor="text1"/>
          <w14:textFill>
            <w14:solidFill>
              <w14:schemeClr w14:val="tx1"/>
            </w14:solidFill>
          </w14:textFill>
        </w:rPr>
        <w:t>围绕科技创新与资本市场衔接不足问题，探索更加适应创新活动规律的科技金融服务模式。依托重点金融平台和专业机构，积极探索科技投行、知识产权综合评价、科技保险、技术融资等创新机制，推动技术价值、创新能力与资本价值更好衔接，提升科技要素配置效率和创新资源市场化转化水平。</w:t>
      </w:r>
    </w:p>
    <w:p>
      <w:pPr>
        <w:pStyle w:val="4"/>
        <w:widowControl/>
        <w:kinsoku w:val="0"/>
        <w:autoSpaceDE w:val="0"/>
        <w:autoSpaceDN w:val="0"/>
        <w:adjustRightInd w:val="0"/>
        <w:snapToGrid w:val="0"/>
        <w:spacing w:before="0" w:after="0"/>
        <w:ind w:firstLine="640"/>
        <w:textAlignment w:val="baseline"/>
        <w:rPr>
          <w:rFonts w:hint="default" w:ascii="黑体" w:hAnsi="黑体" w:eastAsia="黑体" w:cs="黑体"/>
          <w:b w:val="0"/>
          <w:bCs w:val="0"/>
          <w:color w:val="000000" w:themeColor="text1"/>
          <w14:textFill>
            <w14:solidFill>
              <w14:schemeClr w14:val="tx1"/>
            </w14:solidFill>
          </w14:textFill>
        </w:rPr>
      </w:pPr>
      <w:bookmarkStart w:id="421" w:name="_Toc23649"/>
      <w:bookmarkStart w:id="422" w:name="_Toc228193743"/>
      <w:bookmarkStart w:id="423" w:name="_Toc27341"/>
      <w:r>
        <w:rPr>
          <w:rFonts w:ascii="黑体" w:hAnsi="黑体" w:eastAsia="黑体" w:cs="黑体"/>
          <w:b w:val="0"/>
          <w:bCs w:val="0"/>
          <w:color w:val="000000" w:themeColor="text1"/>
          <w14:textFill>
            <w14:solidFill>
              <w14:schemeClr w14:val="tx1"/>
            </w14:solidFill>
          </w14:textFill>
        </w:rPr>
        <w:t>二、统筹土地要素配置，</w:t>
      </w:r>
      <w:r>
        <w:rPr>
          <w:rFonts w:ascii="黑体" w:hAnsi="黑体" w:eastAsia="黑体" w:cs="黑体"/>
          <w:b w:val="0"/>
          <w:bCs w:val="0"/>
          <w:color w:val="000000" w:themeColor="text1"/>
          <w:lang w:eastAsia="zh"/>
          <w14:textFill>
            <w14:solidFill>
              <w14:schemeClr w14:val="tx1"/>
            </w14:solidFill>
          </w14:textFill>
        </w:rPr>
        <w:t>优化</w:t>
      </w:r>
      <w:r>
        <w:rPr>
          <w:rFonts w:ascii="黑体" w:hAnsi="黑体" w:eastAsia="黑体" w:cs="黑体"/>
          <w:b w:val="0"/>
          <w:bCs w:val="0"/>
          <w:color w:val="000000" w:themeColor="text1"/>
          <w14:textFill>
            <w14:solidFill>
              <w14:schemeClr w14:val="tx1"/>
            </w14:solidFill>
          </w14:textFill>
        </w:rPr>
        <w:t>空间集约利用水平</w:t>
      </w:r>
      <w:bookmarkEnd w:id="421"/>
      <w:bookmarkEnd w:id="422"/>
      <w:bookmarkEnd w:id="423"/>
    </w:p>
    <w:p>
      <w:pPr>
        <w:widowControl/>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一是推进空间统筹整合，增强产业发展承载能力</w:t>
      </w:r>
      <w:r>
        <w:rPr>
          <w:rFonts w:hint="eastAsia"/>
          <w:color w:val="000000" w:themeColor="text1"/>
          <w14:textFill>
            <w14:solidFill>
              <w14:schemeClr w14:val="tx1"/>
            </w14:solidFill>
          </w14:textFill>
        </w:rPr>
        <w:t>。围绕产业空间布局不优、资源分布不均等问题，坚持节约集约、高效利用原则，统筹推进重点区域、重点片区和重点园区空间资源整合。聚焦产业发展重点方向和项目落地需求，优化产业空间供给结构，增强先进制造、数字经济、绿色产业和现代服务业等重点领域的空间承载能力，推动土地资源更好地服务产业集聚发展。</w:t>
      </w:r>
    </w:p>
    <w:p>
      <w:pPr>
        <w:widowControl/>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二是盘活低效存量资源，释放土地要素内生发展潜力</w:t>
      </w:r>
      <w:r>
        <w:rPr>
          <w:rFonts w:hint="eastAsia"/>
          <w:color w:val="000000" w:themeColor="text1"/>
          <w14:textFill>
            <w14:solidFill>
              <w14:schemeClr w14:val="tx1"/>
            </w14:solidFill>
          </w14:textFill>
        </w:rPr>
        <w:t>。围绕低效用地、闲置资源，系统推进土地资源再开发、再利用、再配置。稳步推进全域土地综合整治，推动低效工业用地、闲置国有资产、存量楼宇和老旧园区等资源盘活利用，引导优质产业项目和创新型企业向存量空间有序集聚，提升土地资源投入产出效率和空间利用效能。</w:t>
      </w:r>
    </w:p>
    <w:p>
      <w:pPr>
        <w:widowControl/>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三是创新复合利用模式，提升空间配置灵活适配水平</w:t>
      </w:r>
      <w:r>
        <w:rPr>
          <w:rFonts w:hint="eastAsia"/>
          <w:color w:val="000000" w:themeColor="text1"/>
          <w14:textFill>
            <w14:solidFill>
              <w14:schemeClr w14:val="tx1"/>
            </w14:solidFill>
          </w14:textFill>
        </w:rPr>
        <w:t>。围绕产业发展多元化、融合化趋势，积极探索点状供地、功能混合、空间复合利用等新模式。推动滨水空间、更新空间、产业园区和重点片区在符合规划前提下植入创新研发、商务办公、文化展示、休闲消费等多元功能，增强空间使用弹性和产业适配能力，推动土地要素由单一承载向综合赋能转变。创新集体产业用地开发模式，在潞城产业园等项目实践中探索自主开发、合作开发、入市交易等多元供给模式，拓宽产业空间供给渠道。</w:t>
      </w:r>
    </w:p>
    <w:p>
      <w:pPr>
        <w:pStyle w:val="4"/>
        <w:widowControl/>
        <w:kinsoku w:val="0"/>
        <w:autoSpaceDE w:val="0"/>
        <w:autoSpaceDN w:val="0"/>
        <w:adjustRightInd w:val="0"/>
        <w:snapToGrid w:val="0"/>
        <w:spacing w:before="0" w:after="0"/>
        <w:ind w:firstLine="640"/>
        <w:textAlignment w:val="baseline"/>
        <w:rPr>
          <w:rFonts w:hint="default" w:ascii="黑体" w:hAnsi="黑体" w:eastAsia="黑体" w:cs="黑体"/>
          <w:b w:val="0"/>
          <w:bCs w:val="0"/>
          <w:color w:val="000000" w:themeColor="text1"/>
          <w14:textFill>
            <w14:solidFill>
              <w14:schemeClr w14:val="tx1"/>
            </w14:solidFill>
          </w14:textFill>
        </w:rPr>
      </w:pPr>
      <w:bookmarkStart w:id="424" w:name="_Toc228193744"/>
      <w:bookmarkStart w:id="425" w:name="_Toc31550"/>
      <w:bookmarkStart w:id="426" w:name="_Toc9027"/>
      <w:r>
        <w:rPr>
          <w:rFonts w:ascii="黑体" w:hAnsi="黑体" w:eastAsia="黑体" w:cs="黑体"/>
          <w:b w:val="0"/>
          <w:bCs w:val="0"/>
          <w:color w:val="000000" w:themeColor="text1"/>
          <w14:textFill>
            <w14:solidFill>
              <w14:schemeClr w14:val="tx1"/>
            </w14:solidFill>
          </w14:textFill>
        </w:rPr>
        <w:t>三、优化人才要素供给，打造创新创业人才高地</w:t>
      </w:r>
      <w:bookmarkEnd w:id="424"/>
      <w:bookmarkEnd w:id="425"/>
      <w:bookmarkEnd w:id="426"/>
    </w:p>
    <w:p>
      <w:pPr>
        <w:widowControl/>
        <w:ind w:firstLine="643"/>
        <w:rPr>
          <w:rFonts w:ascii="仿宋_GB2312" w:hAnsi="仿宋_GB2312" w:cs="仿宋_GB2312"/>
          <w:color w:val="000000" w:themeColor="text1"/>
          <w14:textFill>
            <w14:solidFill>
              <w14:schemeClr w14:val="tx1"/>
            </w14:solidFill>
          </w14:textFill>
        </w:rPr>
      </w:pPr>
      <w:r>
        <w:rPr>
          <w:rFonts w:hint="eastAsia" w:ascii="仿宋_GB2312" w:hAnsi="仿宋_GB2312" w:cs="仿宋_GB2312"/>
          <w:b/>
          <w:bCs/>
          <w:color w:val="000000" w:themeColor="text1"/>
          <w14:textFill>
            <w14:solidFill>
              <w14:schemeClr w14:val="tx1"/>
            </w14:solidFill>
          </w14:textFill>
        </w:rPr>
        <w:t>一是聚焦重点产业需求，加强高端人才引育。</w:t>
      </w:r>
      <w:r>
        <w:rPr>
          <w:rFonts w:hint="eastAsia" w:ascii="仿宋_GB2312" w:hAnsi="仿宋_GB2312" w:cs="仿宋_GB2312"/>
          <w:color w:val="000000" w:themeColor="text1"/>
          <w14:textFill>
            <w14:solidFill>
              <w14:schemeClr w14:val="tx1"/>
            </w14:solidFill>
          </w14:textFill>
        </w:rPr>
        <w:t>引进专业成熟的技术经理人和高端项目管理人才，推动先进技术落地转化。加大博士后双站建设支持力度，完善高层次人才培养与流动机制。创新“人才+项目”协同引进模式，推动高端人才与重点产业、重大项目深度融合，持续提升城市副中心对高层次人才的吸引力。</w:t>
      </w:r>
    </w:p>
    <w:p>
      <w:pPr>
        <w:widowControl/>
        <w:ind w:firstLine="643"/>
        <w:rPr>
          <w:rFonts w:ascii="仿宋_GB2312" w:hAnsi="仿宋_GB2312" w:cs="仿宋_GB2312"/>
          <w:color w:val="000000" w:themeColor="text1"/>
          <w14:textFill>
            <w14:solidFill>
              <w14:schemeClr w14:val="tx1"/>
            </w14:solidFill>
          </w14:textFill>
        </w:rPr>
      </w:pPr>
      <w:r>
        <w:rPr>
          <w:rFonts w:hint="eastAsia" w:ascii="仿宋_GB2312" w:hAnsi="仿宋_GB2312" w:cs="仿宋_GB2312"/>
          <w:b/>
          <w:bCs/>
          <w:color w:val="000000" w:themeColor="text1"/>
          <w14:textFill>
            <w14:solidFill>
              <w14:schemeClr w14:val="tx1"/>
            </w14:solidFill>
          </w14:textFill>
        </w:rPr>
        <w:t>二是强化未来产业导向，争取创新人才试点布局。</w:t>
      </w:r>
      <w:r>
        <w:rPr>
          <w:rFonts w:hint="eastAsia" w:ascii="仿宋_GB2312" w:hAnsi="仿宋_GB2312" w:cs="仿宋_GB2312"/>
          <w:color w:val="000000" w:themeColor="text1"/>
          <w14:textFill>
            <w14:solidFill>
              <w14:schemeClr w14:val="tx1"/>
            </w14:solidFill>
          </w14:textFill>
        </w:rPr>
        <w:t>结合城市副中心人口增长空间和产业发展方向，实施更加积极、开放、灵活的人才政策，积极推动北京青年人才创新创业生态区建设，促进前沿领域人才加快集聚。聚焦人工智能、合成生物等未来产业方向，强化人才储备与创新支持，推动形成“人才引领技术突破、技术带动产业发展”的良性循环。</w:t>
      </w:r>
    </w:p>
    <w:p>
      <w:pPr>
        <w:widowControl/>
        <w:ind w:firstLine="643"/>
        <w:rPr>
          <w:rFonts w:ascii="仿宋_GB2312" w:hAnsi="仿宋_GB2312" w:cs="仿宋_GB2312"/>
          <w:color w:val="000000" w:themeColor="text1"/>
          <w14:textFill>
            <w14:solidFill>
              <w14:schemeClr w14:val="tx1"/>
            </w14:solidFill>
          </w14:textFill>
        </w:rPr>
      </w:pPr>
      <w:r>
        <w:rPr>
          <w:rFonts w:hint="eastAsia" w:ascii="仿宋_GB2312" w:hAnsi="仿宋_GB2312" w:cs="仿宋_GB2312"/>
          <w:b/>
          <w:bCs/>
          <w:color w:val="000000" w:themeColor="text1"/>
          <w14:textFill>
            <w14:solidFill>
              <w14:schemeClr w14:val="tx1"/>
            </w14:solidFill>
          </w14:textFill>
        </w:rPr>
        <w:t>三是优化制度与平台供给，提升国际化人才承载能力。</w:t>
      </w:r>
      <w:r>
        <w:rPr>
          <w:rFonts w:hint="eastAsia" w:ascii="仿宋_GB2312" w:hAnsi="仿宋_GB2312" w:cs="仿宋_GB2312"/>
          <w:color w:val="000000" w:themeColor="text1"/>
          <w14:textFill>
            <w14:solidFill>
              <w14:schemeClr w14:val="tx1"/>
            </w14:solidFill>
          </w14:textFill>
        </w:rPr>
        <w:t>统筹推进教育、科研与产业资源协同，探索扩大北京市级海外引才计划自主认定范围，积极推动符合条件的高校、科研院所、重点实验室、企业纳入自主认定范围，靶向引进一批海外顶尖及紧缺急需人才，强化战略性新兴产业和未来产业人才支撑。</w:t>
      </w:r>
    </w:p>
    <w:p>
      <w:pPr>
        <w:pStyle w:val="4"/>
        <w:widowControl/>
        <w:numPr>
          <w:ilvl w:val="255"/>
          <w:numId w:val="0"/>
        </w:numPr>
        <w:kinsoku w:val="0"/>
        <w:autoSpaceDE w:val="0"/>
        <w:autoSpaceDN w:val="0"/>
        <w:adjustRightInd w:val="0"/>
        <w:snapToGrid w:val="0"/>
        <w:spacing w:before="0" w:after="0"/>
        <w:ind w:firstLine="640"/>
        <w:textAlignment w:val="baseline"/>
        <w:rPr>
          <w:rFonts w:hint="default" w:ascii="黑体" w:hAnsi="黑体" w:eastAsia="黑体" w:cs="黑体"/>
          <w:b w:val="0"/>
          <w:bCs w:val="0"/>
          <w:color w:val="000000" w:themeColor="text1"/>
          <w14:textFill>
            <w14:solidFill>
              <w14:schemeClr w14:val="tx1"/>
            </w14:solidFill>
          </w14:textFill>
        </w:rPr>
      </w:pPr>
      <w:bookmarkStart w:id="427" w:name="_Toc282"/>
      <w:bookmarkStart w:id="428" w:name="_Toc228193745"/>
      <w:bookmarkStart w:id="429" w:name="_Toc26789"/>
      <w:r>
        <w:rPr>
          <w:rFonts w:ascii="黑体" w:hAnsi="黑体" w:eastAsia="黑体" w:cs="黑体"/>
          <w:b w:val="0"/>
          <w:bCs w:val="0"/>
          <w:color w:val="000000" w:themeColor="text1"/>
          <w:lang w:eastAsia="zh"/>
          <w14:textFill>
            <w14:solidFill>
              <w14:schemeClr w14:val="tx1"/>
            </w14:solidFill>
          </w14:textFill>
        </w:rPr>
        <w:t>四、</w:t>
      </w:r>
      <w:r>
        <w:rPr>
          <w:rFonts w:ascii="黑体" w:hAnsi="黑体" w:eastAsia="黑体" w:cs="黑体"/>
          <w:b w:val="0"/>
          <w:bCs w:val="0"/>
          <w:color w:val="000000" w:themeColor="text1"/>
          <w14:textFill>
            <w14:solidFill>
              <w14:schemeClr w14:val="tx1"/>
            </w14:solidFill>
          </w14:textFill>
        </w:rPr>
        <w:t>健全数据流通机制，构建高效安全数据要素体系</w:t>
      </w:r>
      <w:bookmarkEnd w:id="427"/>
      <w:bookmarkEnd w:id="428"/>
      <w:bookmarkEnd w:id="429"/>
    </w:p>
    <w:p>
      <w:pPr>
        <w:widowControl/>
        <w:kinsoku w:val="0"/>
        <w:autoSpaceDE w:val="0"/>
        <w:autoSpaceDN w:val="0"/>
        <w:adjustRightInd w:val="0"/>
        <w:snapToGrid w:val="0"/>
        <w:ind w:firstLine="643"/>
        <w:textAlignment w:val="baseline"/>
        <w:rPr>
          <w:color w:val="000000" w:themeColor="text1"/>
          <w14:textFill>
            <w14:solidFill>
              <w14:schemeClr w14:val="tx1"/>
            </w14:solidFill>
          </w14:textFill>
        </w:rPr>
      </w:pPr>
      <w:r>
        <w:rPr>
          <w:b/>
          <w:bCs/>
          <w:color w:val="000000" w:themeColor="text1"/>
          <w14:textFill>
            <w14:solidFill>
              <w14:schemeClr w14:val="tx1"/>
            </w14:solidFill>
          </w14:textFill>
        </w:rPr>
        <w:t>一是夯实数据资源供给，强化创新载体与空间支撑。</w:t>
      </w:r>
      <w:r>
        <w:rPr>
          <w:color w:val="000000" w:themeColor="text1"/>
          <w14:textFill>
            <w14:solidFill>
              <w14:schemeClr w14:val="tx1"/>
            </w14:solidFill>
          </w14:textFill>
        </w:rPr>
        <w:t>围绕数字经济和人工智能发展需求，依托</w:t>
      </w:r>
      <w:r>
        <w:rPr>
          <w:rFonts w:hint="eastAsia"/>
          <w:color w:val="000000" w:themeColor="text1"/>
          <w14:textFill>
            <w14:solidFill>
              <w14:schemeClr w14:val="tx1"/>
            </w14:solidFill>
          </w14:textFill>
        </w:rPr>
        <w:t>城市</w:t>
      </w:r>
      <w:r>
        <w:rPr>
          <w:color w:val="000000" w:themeColor="text1"/>
          <w14:textFill>
            <w14:solidFill>
              <w14:schemeClr w14:val="tx1"/>
            </w14:solidFill>
          </w14:textFill>
        </w:rPr>
        <w:t>副中心数字基础设施和应用场景优势，推进公共、行业和企业数据有序汇聚开放，建设高质量数据集和数据融合创新载体，探索设立文旅、金融等数据专区。依托智能算力中心等平台，完善算力、算法、数据协同供给体系，布局数据创新中心和特色创新空间，提升数据要素支撑能力。</w:t>
      </w:r>
    </w:p>
    <w:p>
      <w:pPr>
        <w:widowControl/>
        <w:kinsoku w:val="0"/>
        <w:autoSpaceDE w:val="0"/>
        <w:autoSpaceDN w:val="0"/>
        <w:adjustRightInd w:val="0"/>
        <w:snapToGrid w:val="0"/>
        <w:ind w:firstLine="643"/>
        <w:textAlignment w:val="baseline"/>
        <w:rPr>
          <w:b/>
          <w:bCs/>
          <w:color w:val="000000" w:themeColor="text1"/>
          <w14:textFill>
            <w14:solidFill>
              <w14:schemeClr w14:val="tx1"/>
            </w14:solidFill>
          </w14:textFill>
        </w:rPr>
      </w:pPr>
      <w:r>
        <w:rPr>
          <w:b/>
          <w:bCs/>
          <w:color w:val="000000" w:themeColor="text1"/>
          <w14:textFill>
            <w14:solidFill>
              <w14:schemeClr w14:val="tx1"/>
            </w14:solidFill>
          </w14:textFill>
        </w:rPr>
        <w:t>二是创新数据流通机制，促进数据要素高效配置。</w:t>
      </w:r>
      <w:r>
        <w:rPr>
          <w:color w:val="000000" w:themeColor="text1"/>
          <w14:textFill>
            <w14:solidFill>
              <w14:schemeClr w14:val="tx1"/>
            </w14:solidFill>
          </w14:textFill>
        </w:rPr>
        <w:t>探索数据供需对接、授权运营、场景化应用等多元流通模式，推动数据在产业协同、企业服务、人工智能训练和城市治理等领域深度应用。依托数据交易平台和应用场景，培育数据流通服务机构，完善数据产品开发、交易撮合和应用转化机制。</w:t>
      </w:r>
    </w:p>
    <w:p>
      <w:pPr>
        <w:widowControl/>
        <w:kinsoku w:val="0"/>
        <w:autoSpaceDE w:val="0"/>
        <w:autoSpaceDN w:val="0"/>
        <w:adjustRightInd w:val="0"/>
        <w:snapToGrid w:val="0"/>
        <w:ind w:firstLine="643"/>
        <w:textAlignment w:val="baseline"/>
        <w:rPr>
          <w:color w:val="000000" w:themeColor="text1"/>
          <w14:textFill>
            <w14:solidFill>
              <w14:schemeClr w14:val="tx1"/>
            </w14:solidFill>
          </w14:textFill>
        </w:rPr>
      </w:pPr>
      <w:r>
        <w:rPr>
          <w:b/>
          <w:bCs/>
          <w:color w:val="000000" w:themeColor="text1"/>
          <w14:textFill>
            <w14:solidFill>
              <w14:schemeClr w14:val="tx1"/>
            </w14:solidFill>
          </w14:textFill>
        </w:rPr>
        <w:t>三是完善制度规则体系，强化央地协同与示范引领。</w:t>
      </w:r>
      <w:r>
        <w:rPr>
          <w:color w:val="000000" w:themeColor="text1"/>
          <w14:textFill>
            <w14:solidFill>
              <w14:schemeClr w14:val="tx1"/>
            </w14:solidFill>
          </w14:textFill>
        </w:rPr>
        <w:t>统筹数据开发利用与安全治理，完善数据流通、交易和安全管理制度。依托国家网络安全产业园等载体，强化数据安全能力建设。深化央地协同，积极争取国家数据要素综合试验区等重大示范区落地，推动高价值数据资源和制度创新先行先试，提升</w:t>
      </w:r>
      <w:r>
        <w:rPr>
          <w:rFonts w:hint="eastAsia"/>
          <w:color w:val="000000" w:themeColor="text1"/>
          <w14:textFill>
            <w14:solidFill>
              <w14:schemeClr w14:val="tx1"/>
            </w14:solidFill>
          </w14:textFill>
        </w:rPr>
        <w:t>城市</w:t>
      </w:r>
      <w:r>
        <w:rPr>
          <w:color w:val="000000" w:themeColor="text1"/>
          <w14:textFill>
            <w14:solidFill>
              <w14:schemeClr w14:val="tx1"/>
            </w14:solidFill>
          </w14:textFill>
        </w:rPr>
        <w:t>副中心在全国数据要素体系中的承载能力和影响力。</w:t>
      </w:r>
    </w:p>
    <w:p>
      <w:pPr>
        <w:pStyle w:val="4"/>
        <w:widowControl/>
        <w:kinsoku w:val="0"/>
        <w:autoSpaceDE w:val="0"/>
        <w:autoSpaceDN w:val="0"/>
        <w:adjustRightInd w:val="0"/>
        <w:snapToGrid w:val="0"/>
        <w:spacing w:before="0" w:after="0"/>
        <w:ind w:firstLine="640"/>
        <w:textAlignment w:val="baseline"/>
        <w:rPr>
          <w:rFonts w:hint="default" w:ascii="黑体" w:hAnsi="黑体" w:eastAsia="黑体" w:cs="黑体"/>
          <w:b w:val="0"/>
          <w:bCs w:val="0"/>
          <w:color w:val="000000" w:themeColor="text1"/>
          <w14:textFill>
            <w14:solidFill>
              <w14:schemeClr w14:val="tx1"/>
            </w14:solidFill>
          </w14:textFill>
        </w:rPr>
      </w:pPr>
      <w:bookmarkStart w:id="430" w:name="_Toc16626"/>
      <w:bookmarkStart w:id="431" w:name="_Toc228193746"/>
      <w:bookmarkStart w:id="432" w:name="_Toc24221"/>
      <w:r>
        <w:rPr>
          <w:rFonts w:ascii="黑体" w:hAnsi="黑体" w:eastAsia="黑体" w:cs="黑体"/>
          <w:b w:val="0"/>
          <w:bCs w:val="0"/>
          <w:color w:val="000000" w:themeColor="text1"/>
          <w14:textFill>
            <w14:solidFill>
              <w14:schemeClr w14:val="tx1"/>
            </w14:solidFill>
          </w14:textFill>
        </w:rPr>
        <w:t>五、增强资本赋能支撑，促进金融服务实体经济质效</w:t>
      </w:r>
      <w:bookmarkEnd w:id="430"/>
      <w:bookmarkEnd w:id="431"/>
      <w:bookmarkEnd w:id="432"/>
    </w:p>
    <w:p>
      <w:pPr>
        <w:widowControl/>
        <w:kinsoku w:val="0"/>
        <w:autoSpaceDE w:val="0"/>
        <w:autoSpaceDN w:val="0"/>
        <w:adjustRightInd w:val="0"/>
        <w:snapToGrid w:val="0"/>
        <w:ind w:firstLine="643"/>
        <w:textAlignment w:val="baseline"/>
        <w:rPr>
          <w:color w:val="000000" w:themeColor="text1"/>
          <w14:textFill>
            <w14:solidFill>
              <w14:schemeClr w14:val="tx1"/>
            </w14:solidFill>
          </w14:textFill>
        </w:rPr>
      </w:pPr>
      <w:r>
        <w:rPr>
          <w:rFonts w:hint="eastAsia"/>
          <w:b/>
          <w:bCs/>
          <w:color w:val="000000" w:themeColor="text1"/>
          <w14:textFill>
            <w14:solidFill>
              <w14:schemeClr w14:val="tx1"/>
            </w14:solidFill>
          </w14:textFill>
        </w:rPr>
        <w:t>一是完善金融支持机制，增强资本服务精准性。</w:t>
      </w:r>
      <w:r>
        <w:rPr>
          <w:rFonts w:hint="eastAsia"/>
          <w:color w:val="000000" w:themeColor="text1"/>
          <w14:textFill>
            <w14:solidFill>
              <w14:schemeClr w14:val="tx1"/>
            </w14:solidFill>
          </w14:textFill>
        </w:rPr>
        <w:t>围绕企业成长全过程和产业发展全链条需求，健全多层次、多类型、多阶段的金融服务体系。聚焦科技型企业、成长型企业和专精特新企业融资难点，探索完善贷款风险补偿、融资担保、投贷联动等支持机制，增强资本对重点产业、重点企业和重点项目的精准滴灌能力。</w:t>
      </w:r>
    </w:p>
    <w:p>
      <w:pPr>
        <w:widowControl/>
        <w:kinsoku w:val="0"/>
        <w:autoSpaceDE w:val="0"/>
        <w:autoSpaceDN w:val="0"/>
        <w:adjustRightInd w:val="0"/>
        <w:snapToGrid w:val="0"/>
        <w:ind w:firstLine="643"/>
        <w:textAlignment w:val="baseline"/>
        <w:rPr>
          <w:color w:val="000000" w:themeColor="text1"/>
          <w14:textFill>
            <w14:solidFill>
              <w14:schemeClr w14:val="tx1"/>
            </w14:solidFill>
          </w14:textFill>
        </w:rPr>
      </w:pPr>
      <w:r>
        <w:rPr>
          <w:rFonts w:hint="eastAsia"/>
          <w:b/>
          <w:bCs/>
          <w:color w:val="000000" w:themeColor="text1"/>
          <w14:textFill>
            <w14:solidFill>
              <w14:schemeClr w14:val="tx1"/>
            </w14:solidFill>
          </w14:textFill>
        </w:rPr>
        <w:t>二是集聚高端金融业态，增强资本市场服务功能。</w:t>
      </w:r>
      <w:r>
        <w:rPr>
          <w:rFonts w:hint="eastAsia"/>
          <w:color w:val="000000" w:themeColor="text1"/>
          <w14:textFill>
            <w14:solidFill>
              <w14:schemeClr w14:val="tx1"/>
            </w14:solidFill>
          </w14:textFill>
        </w:rPr>
        <w:t>围绕城市副中心现代金融发展布局，持续引导各类基金、资产管理、财富管理、产业投资和专业金融服务机构集聚发展。依托运河商务区和重点金融平台，增强资本运作、股权投资、并购重组、产业基金等功能，推动资本市场资源更好地服务科技创新、产业升级和重大项目建设。</w:t>
      </w:r>
    </w:p>
    <w:p>
      <w:pPr>
        <w:widowControl/>
        <w:kinsoku w:val="0"/>
        <w:autoSpaceDE w:val="0"/>
        <w:autoSpaceDN w:val="0"/>
        <w:adjustRightInd w:val="0"/>
        <w:snapToGrid w:val="0"/>
        <w:ind w:firstLine="643"/>
        <w:textAlignment w:val="baseline"/>
        <w:rPr>
          <w:color w:val="000000" w:themeColor="text1"/>
          <w14:textFill>
            <w14:solidFill>
              <w14:schemeClr w14:val="tx1"/>
            </w14:solidFill>
          </w14:textFill>
        </w:rPr>
      </w:pPr>
      <w:r>
        <w:rPr>
          <w:rFonts w:hint="eastAsia"/>
          <w:b/>
          <w:bCs/>
          <w:color w:val="000000" w:themeColor="text1"/>
          <w14:textFill>
            <w14:solidFill>
              <w14:schemeClr w14:val="tx1"/>
            </w14:solidFill>
          </w14:textFill>
        </w:rPr>
        <w:t>三是深化金融开放创新，提升跨境资本配置能力。</w:t>
      </w:r>
      <w:r>
        <w:rPr>
          <w:rFonts w:hint="eastAsia"/>
          <w:color w:val="000000" w:themeColor="text1"/>
          <w14:textFill>
            <w14:solidFill>
              <w14:schemeClr w14:val="tx1"/>
            </w14:solidFill>
          </w14:textFill>
        </w:rPr>
        <w:t>围绕更高水平开放发展需求，积极探索资本跨境流动和国际化配置新路径。</w:t>
      </w:r>
      <w:r>
        <w:rPr>
          <w:rFonts w:hint="eastAsia" w:ascii="仿宋_GB2312" w:hAnsi="仿宋_GB2312" w:cs="仿宋_GB2312"/>
          <w:color w:val="000000" w:themeColor="text1"/>
          <w14:textFill>
            <w14:solidFill>
              <w14:schemeClr w14:val="tx1"/>
            </w14:solidFill>
          </w14:textFill>
        </w:rPr>
        <w:t>稳步推进</w:t>
      </w:r>
      <w:r>
        <w:rPr>
          <w:rFonts w:ascii="仿宋_GB2312" w:hAnsi="仿宋_GB2312" w:cs="仿宋_GB2312"/>
          <w:color w:val="000000" w:themeColor="text1"/>
          <w14:textFill>
            <w14:solidFill>
              <w14:schemeClr w14:val="tx1"/>
            </w14:solidFill>
          </w14:textFill>
        </w:rPr>
        <w:t>QFLP、跨境资产管理、外资基金合作等金融开放创新，支持金融机构拓展跨境投资、跨境结算和跨</w:t>
      </w:r>
      <w:r>
        <w:rPr>
          <w:rFonts w:hint="eastAsia"/>
          <w:color w:val="000000" w:themeColor="text1"/>
          <w14:textFill>
            <w14:solidFill>
              <w14:schemeClr w14:val="tx1"/>
            </w14:solidFill>
          </w14:textFill>
        </w:rPr>
        <w:t>境金融服务功能，提升城市副中心链接全球资本、服务开放型经济发展的能力水平。</w:t>
      </w:r>
    </w:p>
    <w:p>
      <w:pPr>
        <w:pStyle w:val="3"/>
        <w:spacing w:before="0" w:after="0"/>
        <w:ind w:firstLine="0" w:firstLineChars="0"/>
        <w:jc w:val="center"/>
        <w:rPr>
          <w:rFonts w:hint="default" w:ascii="黑体" w:hAnsi="黑体" w:eastAsia="黑体" w:cs="黑体"/>
          <w:b w:val="0"/>
          <w:bCs w:val="0"/>
          <w:color w:val="000000" w:themeColor="text1"/>
          <w:sz w:val="32"/>
          <w:szCs w:val="32"/>
          <w14:textFill>
            <w14:solidFill>
              <w14:schemeClr w14:val="tx1"/>
            </w14:solidFill>
          </w14:textFill>
        </w:rPr>
      </w:pPr>
      <w:bookmarkStart w:id="433" w:name="_Toc30078"/>
      <w:bookmarkStart w:id="434" w:name="_Toc228193747"/>
      <w:bookmarkStart w:id="435" w:name="_Toc10393"/>
      <w:r>
        <w:rPr>
          <w:rFonts w:hint="default" w:ascii="黑体" w:hAnsi="黑体" w:eastAsia="黑体" w:cs="黑体"/>
          <w:b w:val="0"/>
          <w:bCs w:val="0"/>
          <w:color w:val="000000" w:themeColor="text1"/>
          <w:sz w:val="32"/>
          <w:szCs w:val="32"/>
          <w14:textFill>
            <w14:solidFill>
              <w14:schemeClr w14:val="tx1"/>
            </w14:solidFill>
          </w14:textFill>
        </w:rPr>
        <w:t>第</w:t>
      </w:r>
      <w:r>
        <w:rPr>
          <w:rFonts w:ascii="黑体" w:hAnsi="黑体" w:eastAsia="黑体" w:cs="黑体"/>
          <w:b w:val="0"/>
          <w:bCs w:val="0"/>
          <w:color w:val="000000" w:themeColor="text1"/>
          <w:sz w:val="32"/>
          <w:szCs w:val="32"/>
          <w14:textFill>
            <w14:solidFill>
              <w14:schemeClr w14:val="tx1"/>
            </w14:solidFill>
          </w14:textFill>
        </w:rPr>
        <w:t>十四</w:t>
      </w:r>
      <w:r>
        <w:rPr>
          <w:rFonts w:hint="default" w:ascii="黑体" w:hAnsi="黑体" w:eastAsia="黑体" w:cs="黑体"/>
          <w:b w:val="0"/>
          <w:bCs w:val="0"/>
          <w:color w:val="000000" w:themeColor="text1"/>
          <w:sz w:val="32"/>
          <w:szCs w:val="32"/>
          <w14:textFill>
            <w14:solidFill>
              <w14:schemeClr w14:val="tx1"/>
            </w14:solidFill>
          </w14:textFill>
        </w:rPr>
        <w:t>章 促进绿色发展，高标准建设国家绿色发展示范区</w:t>
      </w:r>
      <w:bookmarkEnd w:id="433"/>
      <w:bookmarkEnd w:id="434"/>
      <w:bookmarkEnd w:id="435"/>
    </w:p>
    <w:p>
      <w:pPr>
        <w:pStyle w:val="4"/>
        <w:widowControl/>
        <w:kinsoku w:val="0"/>
        <w:autoSpaceDE w:val="0"/>
        <w:autoSpaceDN w:val="0"/>
        <w:adjustRightInd w:val="0"/>
        <w:snapToGrid w:val="0"/>
        <w:spacing w:before="0" w:after="0"/>
        <w:ind w:firstLine="640"/>
        <w:textAlignment w:val="baseline"/>
        <w:rPr>
          <w:rFonts w:hint="default" w:ascii="黑体" w:hAnsi="黑体" w:eastAsia="黑体" w:cs="黑体"/>
          <w:b w:val="0"/>
          <w:bCs w:val="0"/>
          <w:color w:val="000000" w:themeColor="text1"/>
          <w14:textFill>
            <w14:solidFill>
              <w14:schemeClr w14:val="tx1"/>
            </w14:solidFill>
          </w14:textFill>
        </w:rPr>
      </w:pPr>
      <w:bookmarkStart w:id="436" w:name="_Toc228193748"/>
      <w:bookmarkStart w:id="437" w:name="_Toc27790"/>
      <w:bookmarkStart w:id="438" w:name="_Toc29578"/>
      <w:r>
        <w:rPr>
          <w:rFonts w:ascii="黑体" w:hAnsi="黑体" w:eastAsia="黑体" w:cs="黑体"/>
          <w:b w:val="0"/>
          <w:bCs w:val="0"/>
          <w:color w:val="000000" w:themeColor="text1"/>
          <w14:textFill>
            <w14:solidFill>
              <w14:schemeClr w14:val="tx1"/>
            </w14:solidFill>
          </w14:textFill>
        </w:rPr>
        <w:t>一、抢占绿色技术高地，增强创新引领能力</w:t>
      </w:r>
      <w:bookmarkEnd w:id="436"/>
      <w:bookmarkEnd w:id="437"/>
      <w:bookmarkEnd w:id="438"/>
    </w:p>
    <w:p>
      <w:pPr>
        <w:widowControl/>
        <w:kinsoku w:val="0"/>
        <w:autoSpaceDE w:val="0"/>
        <w:autoSpaceDN w:val="0"/>
        <w:adjustRightInd w:val="0"/>
        <w:snapToGrid w:val="0"/>
        <w:ind w:firstLine="643"/>
        <w:textAlignment w:val="baseline"/>
        <w:rPr>
          <w:color w:val="000000" w:themeColor="text1"/>
          <w14:textFill>
            <w14:solidFill>
              <w14:schemeClr w14:val="tx1"/>
            </w14:solidFill>
          </w14:textFill>
        </w:rPr>
      </w:pPr>
      <w:r>
        <w:rPr>
          <w:rFonts w:hint="eastAsia"/>
          <w:b/>
          <w:bCs/>
          <w:color w:val="000000" w:themeColor="text1"/>
          <w14:textFill>
            <w14:solidFill>
              <w14:schemeClr w14:val="tx1"/>
            </w14:solidFill>
          </w14:textFill>
        </w:rPr>
        <w:t>一是完善技术创新与交易体系。</w:t>
      </w:r>
      <w:r>
        <w:rPr>
          <w:rFonts w:hint="eastAsia"/>
          <w:color w:val="000000" w:themeColor="text1"/>
          <w14:textFill>
            <w14:solidFill>
              <w14:schemeClr w14:val="tx1"/>
            </w14:solidFill>
          </w14:textFill>
        </w:rPr>
        <w:t>依托国家绿色技术交易中心，健全技术确权、评估、交易、转化机制，提升绿色技术市场化配置水平。构建覆盖研发、验证、孵化、中试熟化的创新载体体系，吸引国家级、市级绿色技术工程研究中心、创新中心落地，培育绿色技术领军企业与科技型中小企业。</w:t>
      </w:r>
    </w:p>
    <w:p>
      <w:pPr>
        <w:widowControl/>
        <w:kinsoku w:val="0"/>
        <w:autoSpaceDE w:val="0"/>
        <w:autoSpaceDN w:val="0"/>
        <w:adjustRightInd w:val="0"/>
        <w:snapToGrid w:val="0"/>
        <w:ind w:firstLine="643"/>
        <w:textAlignment w:val="baseline"/>
        <w:rPr>
          <w:color w:val="000000" w:themeColor="text1"/>
          <w14:textFill>
            <w14:solidFill>
              <w14:schemeClr w14:val="tx1"/>
            </w14:solidFill>
          </w14:textFill>
        </w:rPr>
      </w:pPr>
      <w:r>
        <w:rPr>
          <w:rFonts w:hint="eastAsia"/>
          <w:b/>
          <w:bCs/>
          <w:color w:val="000000" w:themeColor="text1"/>
          <w14:textFill>
            <w14:solidFill>
              <w14:schemeClr w14:val="tx1"/>
            </w14:solidFill>
          </w14:textFill>
        </w:rPr>
        <w:t>二是攻坚关键核心技术。</w:t>
      </w:r>
      <w:r>
        <w:rPr>
          <w:rFonts w:hint="eastAsia"/>
          <w:color w:val="000000" w:themeColor="text1"/>
          <w14:textFill>
            <w14:solidFill>
              <w14:schemeClr w14:val="tx1"/>
            </w14:solidFill>
          </w14:textFill>
        </w:rPr>
        <w:t>联合高校、科研机构设立零碳建筑、能源、碳捕集等联合实验室，重点突破超导储能、建筑光伏一</w:t>
      </w:r>
      <w:r>
        <w:rPr>
          <w:rFonts w:hint="eastAsia" w:ascii="仿宋_GB2312" w:hAnsi="仿宋_GB2312" w:cs="仿宋_GB2312"/>
          <w:color w:val="000000" w:themeColor="text1"/>
          <w14:textFill>
            <w14:solidFill>
              <w14:schemeClr w14:val="tx1"/>
            </w14:solidFill>
          </w14:textFill>
        </w:rPr>
        <w:t>体化（BIPV）、</w:t>
      </w:r>
      <w:r>
        <w:rPr>
          <w:rFonts w:hint="eastAsia"/>
          <w:color w:val="000000" w:themeColor="text1"/>
          <w14:textFill>
            <w14:solidFill>
              <w14:schemeClr w14:val="tx1"/>
            </w14:solidFill>
          </w14:textFill>
        </w:rPr>
        <w:t>钙钛矿光伏、氢能储运、虚拟电厂等关键技术，建设示范项目，提升新能源消纳与源网荷储智能互动能力。</w:t>
      </w:r>
    </w:p>
    <w:p>
      <w:pPr>
        <w:widowControl/>
        <w:kinsoku w:val="0"/>
        <w:autoSpaceDE w:val="0"/>
        <w:autoSpaceDN w:val="0"/>
        <w:adjustRightInd w:val="0"/>
        <w:snapToGrid w:val="0"/>
        <w:ind w:firstLine="643"/>
        <w:textAlignment w:val="baseline"/>
        <w:rPr>
          <w:color w:val="000000" w:themeColor="text1"/>
          <w14:textFill>
            <w14:solidFill>
              <w14:schemeClr w14:val="tx1"/>
            </w14:solidFill>
          </w14:textFill>
        </w:rPr>
      </w:pPr>
      <w:r>
        <w:rPr>
          <w:rFonts w:hint="eastAsia"/>
          <w:b/>
          <w:bCs/>
          <w:color w:val="000000" w:themeColor="text1"/>
          <w14:textFill>
            <w14:solidFill>
              <w14:schemeClr w14:val="tx1"/>
            </w14:solidFill>
          </w14:textFill>
        </w:rPr>
        <w:t>三是数字技术赋能绿色转型。</w:t>
      </w:r>
      <w:r>
        <w:rPr>
          <w:rFonts w:hint="eastAsia"/>
          <w:color w:val="000000" w:themeColor="text1"/>
          <w14:textFill>
            <w14:solidFill>
              <w14:schemeClr w14:val="tx1"/>
            </w14:solidFill>
          </w14:textFill>
        </w:rPr>
        <w:t>搭建城市级碳管理平台，整合能源、交通、建筑等数据，实现碳排放实时监测、分析与预警。</w:t>
      </w:r>
      <w:r>
        <w:rPr>
          <w:rFonts w:hint="eastAsia" w:ascii="仿宋_GB2312" w:hAnsi="仿宋_GB2312" w:cs="仿宋_GB2312"/>
          <w:color w:val="000000" w:themeColor="text1"/>
          <w14:textFill>
            <w14:solidFill>
              <w14:schemeClr w14:val="tx1"/>
            </w14:solidFill>
          </w14:textFill>
        </w:rPr>
        <w:t>推广BIM+智慧工地、AI能效优化</w:t>
      </w:r>
      <w:r>
        <w:rPr>
          <w:rFonts w:hint="eastAsia"/>
          <w:color w:val="000000" w:themeColor="text1"/>
          <w14:textFill>
            <w14:solidFill>
              <w14:schemeClr w14:val="tx1"/>
            </w14:solidFill>
          </w14:textFill>
        </w:rPr>
        <w:t>等技术，推动绿色技术与城市建设、产业发展深度融合，以数字技术赋能“双碳”管理</w:t>
      </w:r>
      <w:r>
        <w:rPr>
          <w:color w:val="000000" w:themeColor="text1"/>
          <w14:textFill>
            <w14:solidFill>
              <w14:schemeClr w14:val="tx1"/>
            </w14:solidFill>
          </w14:textFill>
        </w:rPr>
        <w:t>。</w:t>
      </w:r>
    </w:p>
    <w:p>
      <w:pPr>
        <w:pStyle w:val="4"/>
        <w:widowControl/>
        <w:kinsoku w:val="0"/>
        <w:autoSpaceDE w:val="0"/>
        <w:autoSpaceDN w:val="0"/>
        <w:adjustRightInd w:val="0"/>
        <w:snapToGrid w:val="0"/>
        <w:spacing w:before="0" w:after="0"/>
        <w:ind w:firstLine="640"/>
        <w:textAlignment w:val="baseline"/>
        <w:rPr>
          <w:rFonts w:hint="default" w:ascii="黑体" w:hAnsi="黑体" w:eastAsia="黑体" w:cs="黑体"/>
          <w:b w:val="0"/>
          <w:bCs w:val="0"/>
          <w:color w:val="000000" w:themeColor="text1"/>
          <w14:textFill>
            <w14:solidFill>
              <w14:schemeClr w14:val="tx1"/>
            </w14:solidFill>
          </w14:textFill>
        </w:rPr>
      </w:pPr>
      <w:bookmarkStart w:id="439" w:name="_Toc228193749"/>
      <w:bookmarkStart w:id="440" w:name="_Toc13941"/>
      <w:bookmarkStart w:id="441" w:name="_Toc13493"/>
      <w:r>
        <w:rPr>
          <w:rFonts w:ascii="黑体" w:hAnsi="黑体" w:eastAsia="黑体" w:cs="黑体"/>
          <w:b w:val="0"/>
          <w:bCs w:val="0"/>
          <w:color w:val="000000" w:themeColor="text1"/>
          <w14:textFill>
            <w14:solidFill>
              <w14:schemeClr w14:val="tx1"/>
            </w14:solidFill>
          </w14:textFill>
        </w:rPr>
        <w:t>二、构建绿色产业生态，培育绿色发展新动能</w:t>
      </w:r>
      <w:bookmarkEnd w:id="439"/>
      <w:bookmarkEnd w:id="440"/>
      <w:bookmarkEnd w:id="441"/>
    </w:p>
    <w:p>
      <w:pPr>
        <w:widowControl/>
        <w:kinsoku w:val="0"/>
        <w:autoSpaceDE w:val="0"/>
        <w:autoSpaceDN w:val="0"/>
        <w:adjustRightInd w:val="0"/>
        <w:snapToGrid w:val="0"/>
        <w:ind w:firstLine="643"/>
        <w:textAlignment w:val="baseline"/>
        <w:rPr>
          <w:rFonts w:ascii="仿宋_GB2312" w:hAnsi="仿宋_GB2312" w:cs="仿宋_GB2312"/>
          <w:color w:val="000000" w:themeColor="text1"/>
          <w14:textFill>
            <w14:solidFill>
              <w14:schemeClr w14:val="tx1"/>
            </w14:solidFill>
          </w14:textFill>
        </w:rPr>
      </w:pPr>
      <w:r>
        <w:rPr>
          <w:rFonts w:hint="eastAsia" w:ascii="仿宋_GB2312" w:hAnsi="仿宋_GB2312" w:cs="仿宋_GB2312"/>
          <w:b/>
          <w:bCs/>
          <w:color w:val="000000" w:themeColor="text1"/>
          <w14:textFill>
            <w14:solidFill>
              <w14:schemeClr w14:val="tx1"/>
            </w14:solidFill>
          </w14:textFill>
        </w:rPr>
        <w:t>一是打造绿色产业矩阵。</w:t>
      </w:r>
      <w:r>
        <w:rPr>
          <w:rFonts w:hint="eastAsia" w:ascii="仿宋_GB2312" w:hAnsi="仿宋_GB2312" w:cs="仿宋_GB2312"/>
          <w:color w:val="000000" w:themeColor="text1"/>
          <w14:textFill>
            <w14:solidFill>
              <w14:schemeClr w14:val="tx1"/>
            </w14:solidFill>
          </w14:textFill>
        </w:rPr>
        <w:t>培育先进能源、绿色建造、合成生物、碳专业服务、ESG、氢能利用、生物基材料、生物医药等特色产业，超前布局超导材料、真空系统等前沿领域，推动绿色产业规模化发展。加快建设面向全球的国家级绿色交易所，打造碳市场生态圈，建设国际</w:t>
      </w:r>
      <w:r>
        <w:rPr>
          <w:rFonts w:ascii="仿宋_GB2312" w:hAnsi="仿宋_GB2312" w:cs="仿宋_GB2312"/>
          <w:color w:val="000000" w:themeColor="text1"/>
          <w14:textFill>
            <w14:solidFill>
              <w14:schemeClr w14:val="tx1"/>
            </w14:solidFill>
          </w14:textFill>
        </w:rPr>
        <w:t>ESG服务业集聚区</w:t>
      </w:r>
      <w:r>
        <w:rPr>
          <w:rFonts w:hint="eastAsia" w:ascii="仿宋_GB2312" w:hAnsi="仿宋_GB2312" w:cs="仿宋_GB2312"/>
          <w:color w:val="000000" w:themeColor="text1"/>
          <w14:textFill>
            <w14:solidFill>
              <w14:schemeClr w14:val="tx1"/>
            </w14:solidFill>
          </w14:textFill>
        </w:rPr>
        <w:t>，完善碳资产开发、交易、投融资全链条服务。</w:t>
      </w:r>
    </w:p>
    <w:p>
      <w:pPr>
        <w:widowControl/>
        <w:kinsoku w:val="0"/>
        <w:autoSpaceDE w:val="0"/>
        <w:autoSpaceDN w:val="0"/>
        <w:adjustRightInd w:val="0"/>
        <w:snapToGrid w:val="0"/>
        <w:ind w:firstLine="643"/>
        <w:textAlignment w:val="baseline"/>
        <w:rPr>
          <w:rFonts w:ascii="仿宋_GB2312" w:hAnsi="仿宋_GB2312" w:cs="仿宋_GB2312"/>
          <w:color w:val="000000" w:themeColor="text1"/>
          <w14:textFill>
            <w14:solidFill>
              <w14:schemeClr w14:val="tx1"/>
            </w14:solidFill>
          </w14:textFill>
        </w:rPr>
      </w:pPr>
      <w:r>
        <w:rPr>
          <w:rFonts w:hint="eastAsia" w:ascii="仿宋_GB2312" w:hAnsi="仿宋_GB2312" w:cs="仿宋_GB2312"/>
          <w:b/>
          <w:bCs/>
          <w:color w:val="000000" w:themeColor="text1"/>
          <w14:textFill>
            <w14:solidFill>
              <w14:schemeClr w14:val="tx1"/>
            </w14:solidFill>
          </w14:textFill>
        </w:rPr>
        <w:t>二是推动传统产业绿色化升级。</w:t>
      </w:r>
      <w:r>
        <w:rPr>
          <w:rFonts w:hint="eastAsia" w:ascii="仿宋_GB2312" w:hAnsi="仿宋_GB2312" w:cs="仿宋_GB2312"/>
          <w:color w:val="000000" w:themeColor="text1"/>
          <w14:textFill>
            <w14:solidFill>
              <w14:schemeClr w14:val="tx1"/>
            </w14:solidFill>
          </w14:textFill>
        </w:rPr>
        <w:t>对建材等高耗能行业实施“一企一策”低碳改造，推广余热回收、智慧能效管理系统。建立绿色供应链认证体系，支持广泛应用绿色认证产品，推动产业链绿色转型。支持固体废物资源化、危险废物综合利用，发展循环再生型环保产业。</w:t>
      </w:r>
    </w:p>
    <w:p>
      <w:pPr>
        <w:widowControl/>
        <w:kinsoku w:val="0"/>
        <w:autoSpaceDE w:val="0"/>
        <w:autoSpaceDN w:val="0"/>
        <w:adjustRightInd w:val="0"/>
        <w:snapToGrid w:val="0"/>
        <w:ind w:firstLine="643"/>
        <w:textAlignment w:val="baseline"/>
        <w:rPr>
          <w:rFonts w:ascii="仿宋_GB2312" w:hAnsi="仿宋_GB2312" w:cs="仿宋_GB2312"/>
          <w:color w:val="000000" w:themeColor="text1"/>
          <w14:textFill>
            <w14:solidFill>
              <w14:schemeClr w14:val="tx1"/>
            </w14:solidFill>
          </w14:textFill>
        </w:rPr>
      </w:pPr>
      <w:r>
        <w:rPr>
          <w:rFonts w:hint="eastAsia"/>
          <w:b/>
          <w:bCs/>
          <w:color w:val="000000" w:themeColor="text1"/>
          <w14:textFill>
            <w14:solidFill>
              <w14:schemeClr w14:val="tx1"/>
            </w14:solidFill>
          </w14:textFill>
        </w:rPr>
        <w:t>三是拓展国际交流合作。</w:t>
      </w:r>
      <w:r>
        <w:rPr>
          <w:rFonts w:hint="eastAsia"/>
          <w:color w:val="000000" w:themeColor="text1"/>
          <w14:textFill>
            <w14:solidFill>
              <w14:schemeClr w14:val="tx1"/>
            </w14:solidFill>
          </w14:textFill>
        </w:rPr>
        <w:t>依托联合国气候变化大会等国际平台，讲好城市副中心绿色发展故事，深化绿色技术、碳市场、绿色金融等领域国际合作。持续举办北京绿色发展论坛，形成“绿色发展看城市副中心”的品牌导向。</w:t>
      </w:r>
    </w:p>
    <w:p>
      <w:pPr>
        <w:pStyle w:val="4"/>
        <w:widowControl/>
        <w:kinsoku w:val="0"/>
        <w:autoSpaceDE w:val="0"/>
        <w:autoSpaceDN w:val="0"/>
        <w:adjustRightInd w:val="0"/>
        <w:snapToGrid w:val="0"/>
        <w:spacing w:before="0" w:after="0"/>
        <w:ind w:firstLine="640"/>
        <w:textAlignment w:val="baseline"/>
        <w:rPr>
          <w:rFonts w:hint="default" w:ascii="黑体" w:hAnsi="黑体" w:eastAsia="黑体" w:cs="黑体"/>
          <w:b w:val="0"/>
          <w:bCs w:val="0"/>
          <w:color w:val="000000" w:themeColor="text1"/>
          <w14:textFill>
            <w14:solidFill>
              <w14:schemeClr w14:val="tx1"/>
            </w14:solidFill>
          </w14:textFill>
        </w:rPr>
      </w:pPr>
      <w:bookmarkStart w:id="442" w:name="_Toc25834"/>
      <w:bookmarkStart w:id="443" w:name="_Toc228193750"/>
      <w:bookmarkStart w:id="444" w:name="_Toc21549"/>
      <w:r>
        <w:rPr>
          <w:rFonts w:ascii="黑体" w:hAnsi="黑体" w:eastAsia="黑体" w:cs="黑体"/>
          <w:b w:val="0"/>
          <w:bCs w:val="0"/>
          <w:color w:val="000000" w:themeColor="text1"/>
          <w14:textFill>
            <w14:solidFill>
              <w14:schemeClr w14:val="tx1"/>
            </w14:solidFill>
          </w14:textFill>
        </w:rPr>
        <w:t>三、推广绿色建筑模式，打造</w:t>
      </w:r>
      <w:r>
        <w:rPr>
          <w:rFonts w:ascii="黑体" w:hAnsi="黑体" w:eastAsia="黑体" w:cs="黑体"/>
          <w:b w:val="0"/>
          <w:bCs w:val="0"/>
          <w:color w:val="000000" w:themeColor="text1"/>
          <w:lang w:eastAsia="zh"/>
          <w14:textFill>
            <w14:solidFill>
              <w14:schemeClr w14:val="tx1"/>
            </w14:solidFill>
          </w14:textFill>
        </w:rPr>
        <w:t>零碳园区</w:t>
      </w:r>
      <w:r>
        <w:rPr>
          <w:rFonts w:ascii="黑体" w:hAnsi="黑体" w:eastAsia="黑体" w:cs="黑体"/>
          <w:b w:val="0"/>
          <w:bCs w:val="0"/>
          <w:color w:val="000000" w:themeColor="text1"/>
          <w14:textFill>
            <w14:solidFill>
              <w14:schemeClr w14:val="tx1"/>
            </w14:solidFill>
          </w14:textFill>
        </w:rPr>
        <w:t>示范</w:t>
      </w:r>
      <w:bookmarkEnd w:id="442"/>
      <w:bookmarkEnd w:id="443"/>
      <w:bookmarkEnd w:id="444"/>
    </w:p>
    <w:p>
      <w:pPr>
        <w:widowControl/>
        <w:kinsoku w:val="0"/>
        <w:autoSpaceDE w:val="0"/>
        <w:autoSpaceDN w:val="0"/>
        <w:adjustRightInd w:val="0"/>
        <w:snapToGrid w:val="0"/>
        <w:ind w:firstLine="643"/>
        <w:textAlignment w:val="baseline"/>
        <w:rPr>
          <w:color w:val="000000" w:themeColor="text1"/>
          <w14:textFill>
            <w14:solidFill>
              <w14:schemeClr w14:val="tx1"/>
            </w14:solidFill>
          </w14:textFill>
        </w:rPr>
      </w:pPr>
      <w:r>
        <w:rPr>
          <w:rFonts w:hint="eastAsia"/>
          <w:b/>
          <w:bCs/>
          <w:color w:val="000000" w:themeColor="text1"/>
          <w14:textFill>
            <w14:solidFill>
              <w14:schemeClr w14:val="tx1"/>
            </w14:solidFill>
          </w14:textFill>
        </w:rPr>
        <w:t>一是提升绿色建筑规模化水平。</w:t>
      </w:r>
      <w:r>
        <w:rPr>
          <w:rFonts w:hint="eastAsia"/>
          <w:color w:val="000000" w:themeColor="text1"/>
          <w14:textFill>
            <w14:solidFill>
              <w14:schemeClr w14:val="tx1"/>
            </w14:solidFill>
          </w14:textFill>
        </w:rPr>
        <w:t>健全绿色建材推广应用机制，完善建筑垃圾“产生—转运—处置—再利用”全链条管理，全面落实绿色建筑标准，推动绿色建筑从示范向全域普及，大力发展超低能耗、近零能耗、零碳建筑，打造“双零”建筑标杆，吸引低碳建筑上下游企业集聚。</w:t>
      </w:r>
    </w:p>
    <w:p>
      <w:pPr>
        <w:widowControl/>
        <w:kinsoku w:val="0"/>
        <w:autoSpaceDE w:val="0"/>
        <w:autoSpaceDN w:val="0"/>
        <w:adjustRightInd w:val="0"/>
        <w:snapToGrid w:val="0"/>
        <w:ind w:firstLine="643"/>
        <w:textAlignment w:val="baseline"/>
        <w:rPr>
          <w:color w:val="000000" w:themeColor="text1"/>
          <w14:textFill>
            <w14:solidFill>
              <w14:schemeClr w14:val="tx1"/>
            </w14:solidFill>
          </w14:textFill>
        </w:rPr>
      </w:pPr>
      <w:r>
        <w:rPr>
          <w:rFonts w:hint="eastAsia"/>
          <w:b/>
          <w:bCs/>
          <w:color w:val="000000" w:themeColor="text1"/>
          <w14:textFill>
            <w14:solidFill>
              <w14:schemeClr w14:val="tx1"/>
            </w14:solidFill>
          </w14:textFill>
        </w:rPr>
        <w:t>二是发展智能建造与装配式建筑。</w:t>
      </w:r>
      <w:r>
        <w:rPr>
          <w:rFonts w:hint="eastAsia"/>
          <w:color w:val="000000" w:themeColor="text1"/>
          <w14:textFill>
            <w14:solidFill>
              <w14:schemeClr w14:val="tx1"/>
            </w14:solidFill>
          </w14:textFill>
        </w:rPr>
        <w:t>加快智能建造与装配式建筑融合应用，提升建造过程数字化、工业化、绿色化水平。推广基坑气膜、全电工地、新能源工地等绿色施工模式，深化“绿牌工地”创建，降低建造环节碳排放与污染物排放。</w:t>
      </w:r>
    </w:p>
    <w:p>
      <w:pPr>
        <w:widowControl/>
        <w:kinsoku w:val="0"/>
        <w:autoSpaceDE w:val="0"/>
        <w:autoSpaceDN w:val="0"/>
        <w:adjustRightInd w:val="0"/>
        <w:snapToGrid w:val="0"/>
        <w:ind w:firstLine="643"/>
        <w:textAlignment w:val="baseline"/>
        <w:rPr>
          <w:color w:val="000000" w:themeColor="text1"/>
          <w14:textFill>
            <w14:solidFill>
              <w14:schemeClr w14:val="tx1"/>
            </w14:solidFill>
          </w14:textFill>
        </w:rPr>
      </w:pPr>
      <w:r>
        <w:rPr>
          <w:rFonts w:hint="eastAsia" w:ascii="仿宋_GB2312" w:hAnsi="仿宋_GB2312" w:cs="仿宋_GB2312"/>
          <w:b/>
          <w:bCs/>
          <w:color w:val="000000" w:themeColor="text1"/>
          <w14:textFill>
            <w14:solidFill>
              <w14:schemeClr w14:val="tx1"/>
            </w14:solidFill>
          </w14:textFill>
        </w:rPr>
        <w:t>三是建设标杆绿色产业载体。</w:t>
      </w:r>
      <w:r>
        <w:rPr>
          <w:rFonts w:hint="eastAsia" w:ascii="仿宋_GB2312" w:hAnsi="仿宋_GB2312" w:cs="仿宋_GB2312"/>
          <w:color w:val="000000" w:themeColor="text1"/>
          <w14:textFill>
            <w14:solidFill>
              <w14:schemeClr w14:val="tx1"/>
            </w14:solidFill>
          </w14:textFill>
        </w:rPr>
        <w:t>建成北京绿色技术创新服务产业园，打造“绿色技术+商务服务”低碳园区，实现100%绿电供应，布局碳核算、碳捕集等技术研发中心，推动绿色技术商业化应用。围绕城市绿心建设零碳园区，实现净零碳排放，形成示范引领。</w:t>
      </w:r>
    </w:p>
    <w:p>
      <w:pPr>
        <w:pStyle w:val="3"/>
        <w:spacing w:before="0" w:after="0"/>
        <w:ind w:firstLine="0" w:firstLineChars="0"/>
        <w:jc w:val="center"/>
        <w:rPr>
          <w:rFonts w:hint="default" w:ascii="黑体" w:hAnsi="黑体" w:eastAsia="黑体" w:cs="黑体"/>
          <w:b w:val="0"/>
          <w:bCs w:val="0"/>
          <w:color w:val="000000" w:themeColor="text1"/>
          <w:sz w:val="32"/>
          <w:szCs w:val="32"/>
          <w14:textFill>
            <w14:solidFill>
              <w14:schemeClr w14:val="tx1"/>
            </w14:solidFill>
          </w14:textFill>
        </w:rPr>
      </w:pPr>
      <w:bookmarkStart w:id="445" w:name="_Toc10432"/>
      <w:bookmarkStart w:id="446" w:name="_Toc228193751"/>
      <w:bookmarkStart w:id="447" w:name="_Toc12813"/>
      <w:r>
        <w:rPr>
          <w:rFonts w:hint="default" w:ascii="黑体" w:hAnsi="黑体" w:eastAsia="黑体" w:cs="黑体"/>
          <w:b w:val="0"/>
          <w:bCs w:val="0"/>
          <w:color w:val="000000" w:themeColor="text1"/>
          <w:sz w:val="32"/>
          <w:szCs w:val="32"/>
          <w14:textFill>
            <w14:solidFill>
              <w14:schemeClr w14:val="tx1"/>
            </w14:solidFill>
          </w14:textFill>
        </w:rPr>
        <w:t>第</w:t>
      </w:r>
      <w:r>
        <w:rPr>
          <w:rFonts w:ascii="黑体" w:hAnsi="黑体" w:eastAsia="黑体" w:cs="黑体"/>
          <w:b w:val="0"/>
          <w:bCs w:val="0"/>
          <w:color w:val="000000" w:themeColor="text1"/>
          <w:sz w:val="32"/>
          <w:szCs w:val="32"/>
          <w14:textFill>
            <w14:solidFill>
              <w14:schemeClr w14:val="tx1"/>
            </w14:solidFill>
          </w14:textFill>
        </w:rPr>
        <w:t>十五</w:t>
      </w:r>
      <w:r>
        <w:rPr>
          <w:rFonts w:hint="default" w:ascii="黑体" w:hAnsi="黑体" w:eastAsia="黑体" w:cs="黑体"/>
          <w:b w:val="0"/>
          <w:bCs w:val="0"/>
          <w:color w:val="000000" w:themeColor="text1"/>
          <w:sz w:val="32"/>
          <w:szCs w:val="32"/>
          <w14:textFill>
            <w14:solidFill>
              <w14:schemeClr w14:val="tx1"/>
            </w14:solidFill>
          </w14:textFill>
        </w:rPr>
        <w:t>章 深化协同，推动区域融合与功能提升</w:t>
      </w:r>
      <w:bookmarkEnd w:id="445"/>
      <w:bookmarkEnd w:id="446"/>
      <w:bookmarkEnd w:id="447"/>
    </w:p>
    <w:p>
      <w:pPr>
        <w:widowControl/>
        <w:kinsoku w:val="0"/>
        <w:autoSpaceDE w:val="0"/>
        <w:autoSpaceDN w:val="0"/>
        <w:adjustRightInd w:val="0"/>
        <w:snapToGrid w:val="0"/>
        <w:ind w:firstLine="640"/>
        <w:textAlignment w:val="baseline"/>
        <w:outlineLvl w:val="2"/>
        <w:rPr>
          <w:rFonts w:ascii="黑体" w:hAnsi="黑体" w:eastAsia="黑体" w:cs="黑体"/>
          <w:color w:val="000000" w:themeColor="text1"/>
          <w:szCs w:val="32"/>
          <w14:textFill>
            <w14:solidFill>
              <w14:schemeClr w14:val="tx1"/>
            </w14:solidFill>
          </w14:textFill>
        </w:rPr>
      </w:pPr>
      <w:bookmarkStart w:id="448" w:name="_Toc228193752"/>
      <w:bookmarkStart w:id="449" w:name="_Toc21649"/>
      <w:bookmarkStart w:id="450" w:name="_Toc29697"/>
      <w:r>
        <w:rPr>
          <w:rFonts w:ascii="黑体" w:hAnsi="黑体" w:eastAsia="黑体" w:cs="黑体"/>
          <w:color w:val="000000" w:themeColor="text1"/>
          <w:szCs w:val="32"/>
          <w14:textFill>
            <w14:solidFill>
              <w14:schemeClr w14:val="tx1"/>
            </w14:solidFill>
          </w14:textFill>
        </w:rPr>
        <w:t>一、</w:t>
      </w:r>
      <w:r>
        <w:rPr>
          <w:rFonts w:hint="eastAsia" w:ascii="黑体" w:hAnsi="黑体" w:eastAsia="黑体" w:cs="黑体"/>
          <w:color w:val="000000" w:themeColor="text1"/>
          <w:szCs w:val="32"/>
          <w14:textFill>
            <w14:solidFill>
              <w14:schemeClr w14:val="tx1"/>
            </w14:solidFill>
          </w14:textFill>
        </w:rPr>
        <w:t>强化</w:t>
      </w:r>
      <w:r>
        <w:rPr>
          <w:rFonts w:ascii="黑体" w:hAnsi="黑体" w:eastAsia="黑体" w:cs="黑体"/>
          <w:color w:val="000000" w:themeColor="text1"/>
          <w:szCs w:val="32"/>
          <w14:textFill>
            <w14:solidFill>
              <w14:schemeClr w14:val="tx1"/>
            </w14:solidFill>
          </w14:textFill>
        </w:rPr>
        <w:t>京雄协同，</w:t>
      </w:r>
      <w:bookmarkEnd w:id="448"/>
      <w:bookmarkEnd w:id="449"/>
      <w:r>
        <w:rPr>
          <w:rFonts w:hint="eastAsia" w:ascii="黑体" w:hAnsi="黑体" w:eastAsia="黑体" w:cs="黑体"/>
          <w:color w:val="000000" w:themeColor="text1"/>
          <w:szCs w:val="32"/>
          <w14:textFill>
            <w14:solidFill>
              <w14:schemeClr w14:val="tx1"/>
            </w14:solidFill>
          </w14:textFill>
        </w:rPr>
        <w:t>助力创新共同体建设</w:t>
      </w:r>
      <w:bookmarkEnd w:id="450"/>
    </w:p>
    <w:p>
      <w:pPr>
        <w:tabs>
          <w:tab w:val="left" w:pos="720"/>
        </w:tabs>
        <w:ind w:firstLine="643"/>
        <w:rPr>
          <w:rFonts w:ascii="仿宋_GB2312" w:hAnsi="等线" w:cs="仿宋_GB2312"/>
          <w:color w:val="000000" w:themeColor="text1"/>
          <w:szCs w:val="32"/>
          <w14:textFill>
            <w14:solidFill>
              <w14:schemeClr w14:val="tx1"/>
            </w14:solidFill>
          </w14:textFill>
        </w:rPr>
      </w:pPr>
      <w:r>
        <w:rPr>
          <w:rFonts w:ascii="仿宋_GB2312" w:hAnsi="等线" w:cs="仿宋_GB2312"/>
          <w:b/>
          <w:bCs/>
          <w:color w:val="000000" w:themeColor="text1"/>
          <w:szCs w:val="32"/>
          <w:lang w:bidi="ar"/>
          <w14:textFill>
            <w14:solidFill>
              <w14:schemeClr w14:val="tx1"/>
            </w14:solidFill>
          </w14:textFill>
        </w:rPr>
        <w:t>一是强化产业协同与资源错位布局</w:t>
      </w:r>
      <w:r>
        <w:rPr>
          <w:rFonts w:ascii="仿宋_GB2312" w:hAnsi="等线" w:cs="仿宋_GB2312"/>
          <w:color w:val="000000" w:themeColor="text1"/>
          <w:szCs w:val="32"/>
          <w:lang w:bidi="ar"/>
          <w14:textFill>
            <w14:solidFill>
              <w14:schemeClr w14:val="tx1"/>
            </w14:solidFill>
          </w14:textFill>
        </w:rPr>
        <w:t>。依托常态化对接机制，围绕城市建设、绿色发展和重大项目推进等重点领域，深化两地协同合作，推动产业在细分领域和产业链关键环节实现错位承接与协同布局，促进优势互补、协同发展，提升区域整体产业承载能力与发展效率。</w:t>
      </w:r>
    </w:p>
    <w:p>
      <w:pPr>
        <w:tabs>
          <w:tab w:val="left" w:pos="720"/>
        </w:tabs>
        <w:ind w:firstLine="643"/>
        <w:rPr>
          <w:rFonts w:ascii="仿宋_GB2312" w:hAnsi="等线" w:cs="仿宋_GB2312"/>
          <w:color w:val="000000" w:themeColor="text1"/>
          <w:szCs w:val="32"/>
          <w14:textFill>
            <w14:solidFill>
              <w14:schemeClr w14:val="tx1"/>
            </w14:solidFill>
          </w14:textFill>
        </w:rPr>
      </w:pPr>
      <w:r>
        <w:rPr>
          <w:rFonts w:ascii="仿宋_GB2312" w:hAnsi="等线" w:cs="仿宋_GB2312"/>
          <w:b/>
          <w:bCs/>
          <w:color w:val="000000" w:themeColor="text1"/>
          <w:szCs w:val="32"/>
          <w:lang w:bidi="ar"/>
          <w14:textFill>
            <w14:solidFill>
              <w14:schemeClr w14:val="tx1"/>
            </w14:solidFill>
          </w14:textFill>
        </w:rPr>
        <w:t>二是协同推进制度创新与发展模式探索</w:t>
      </w:r>
      <w:r>
        <w:rPr>
          <w:rFonts w:ascii="仿宋_GB2312" w:hAnsi="等线" w:cs="仿宋_GB2312"/>
          <w:color w:val="000000" w:themeColor="text1"/>
          <w:szCs w:val="32"/>
          <w:lang w:bidi="ar"/>
          <w14:textFill>
            <w14:solidFill>
              <w14:schemeClr w14:val="tx1"/>
            </w14:solidFill>
          </w14:textFill>
        </w:rPr>
        <w:t>。围绕高质量发展要求，在规划建设、城市治理、公共服务等领域加强经验互鉴，联合探索土地开发、产业承接、投融资机制、智慧城市建设、生态治理及社区发展等方面的制度创新，推动形成可复制、可推广的区域协同发展模式。</w:t>
      </w:r>
    </w:p>
    <w:p>
      <w:pPr>
        <w:tabs>
          <w:tab w:val="left" w:pos="720"/>
        </w:tabs>
        <w:ind w:firstLine="643"/>
        <w:rPr>
          <w:rFonts w:ascii="仿宋_GB2312" w:hAnsi="等线" w:cs="仿宋_GB2312"/>
          <w:color w:val="000000" w:themeColor="text1"/>
          <w:szCs w:val="32"/>
          <w14:textFill>
            <w14:solidFill>
              <w14:schemeClr w14:val="tx1"/>
            </w14:solidFill>
          </w14:textFill>
        </w:rPr>
      </w:pPr>
      <w:r>
        <w:rPr>
          <w:rFonts w:ascii="仿宋_GB2312" w:hAnsi="等线" w:cs="仿宋_GB2312"/>
          <w:b/>
          <w:bCs/>
          <w:color w:val="000000" w:themeColor="text1"/>
          <w:szCs w:val="32"/>
          <w:lang w:bidi="ar"/>
          <w14:textFill>
            <w14:solidFill>
              <w14:schemeClr w14:val="tx1"/>
            </w14:solidFill>
          </w14:textFill>
        </w:rPr>
        <w:t>三是深化创新链与公共服务协同联动</w:t>
      </w:r>
      <w:r>
        <w:rPr>
          <w:rFonts w:ascii="仿宋_GB2312" w:hAnsi="等线" w:cs="仿宋_GB2312"/>
          <w:color w:val="000000" w:themeColor="text1"/>
          <w:szCs w:val="32"/>
          <w:lang w:bidi="ar"/>
          <w14:textFill>
            <w14:solidFill>
              <w14:schemeClr w14:val="tx1"/>
            </w14:solidFill>
          </w14:textFill>
        </w:rPr>
        <w:t>。围绕京津冀协同创新共同体建设，推动科技创新链跨区域协同布局，探索共建科研基础设施和产业技术创新平台，加强大数据、人工智能等领域技术成果协同转化与应用。推进教育、医疗、文体等公共服务领域对接合作，探索数据共享与协同治理路径，提升区域一体化发展水平与公共服务品质。</w:t>
      </w:r>
    </w:p>
    <w:p>
      <w:pPr>
        <w:widowControl/>
        <w:kinsoku w:val="0"/>
        <w:autoSpaceDE w:val="0"/>
        <w:autoSpaceDN w:val="0"/>
        <w:adjustRightInd w:val="0"/>
        <w:snapToGrid w:val="0"/>
        <w:ind w:firstLine="640"/>
        <w:textAlignment w:val="baseline"/>
        <w:outlineLvl w:val="2"/>
        <w:rPr>
          <w:rFonts w:ascii="黑体" w:hAnsi="黑体" w:eastAsia="黑体" w:cs="黑体"/>
          <w:color w:val="000000" w:themeColor="text1"/>
          <w:szCs w:val="32"/>
          <w14:textFill>
            <w14:solidFill>
              <w14:schemeClr w14:val="tx1"/>
            </w14:solidFill>
          </w14:textFill>
        </w:rPr>
      </w:pPr>
      <w:bookmarkStart w:id="451" w:name="_Toc10778"/>
      <w:bookmarkStart w:id="452" w:name="_Toc228193753"/>
      <w:bookmarkStart w:id="453" w:name="_Toc31829"/>
      <w:r>
        <w:rPr>
          <w:rFonts w:ascii="黑体" w:hAnsi="黑体" w:eastAsia="黑体" w:cs="黑体"/>
          <w:color w:val="000000" w:themeColor="text1"/>
          <w:szCs w:val="32"/>
          <w14:textFill>
            <w14:solidFill>
              <w14:schemeClr w14:val="tx1"/>
            </w14:solidFill>
          </w14:textFill>
        </w:rPr>
        <w:t>二、加强京津冀协同，促进产业功能互补</w:t>
      </w:r>
      <w:bookmarkEnd w:id="451"/>
      <w:bookmarkEnd w:id="452"/>
      <w:bookmarkEnd w:id="453"/>
    </w:p>
    <w:p>
      <w:pPr>
        <w:tabs>
          <w:tab w:val="left" w:pos="720"/>
        </w:tabs>
        <w:ind w:firstLine="643"/>
        <w:rPr>
          <w:rFonts w:ascii="仿宋_GB2312" w:hAnsi="等线" w:cs="仿宋_GB2312"/>
          <w:b/>
          <w:bCs/>
          <w:color w:val="000000" w:themeColor="text1"/>
          <w:szCs w:val="32"/>
          <w:lang w:bidi="ar"/>
          <w14:textFill>
            <w14:solidFill>
              <w14:schemeClr w14:val="tx1"/>
            </w14:solidFill>
          </w14:textFill>
        </w:rPr>
      </w:pPr>
      <w:r>
        <w:rPr>
          <w:rFonts w:ascii="仿宋_GB2312" w:hAnsi="等线" w:cs="仿宋_GB2312"/>
          <w:b/>
          <w:bCs/>
          <w:color w:val="000000" w:themeColor="text1"/>
          <w:szCs w:val="32"/>
          <w:lang w:bidi="ar"/>
          <w14:textFill>
            <w14:solidFill>
              <w14:schemeClr w14:val="tx1"/>
            </w14:solidFill>
          </w14:textFill>
        </w:rPr>
        <w:t>一是构建跨区域协同招商与产业联动机制。</w:t>
      </w:r>
      <w:r>
        <w:rPr>
          <w:rFonts w:ascii="仿宋_GB2312" w:hAnsi="等线" w:cs="仿宋_GB2312"/>
          <w:color w:val="000000" w:themeColor="text1"/>
          <w:szCs w:val="32"/>
          <w:lang w:bidi="ar"/>
          <w14:textFill>
            <w14:solidFill>
              <w14:schemeClr w14:val="tx1"/>
            </w14:solidFill>
          </w14:textFill>
        </w:rPr>
        <w:t>围绕通州区与北三县一体化高质量发展示范区建设，</w:t>
      </w:r>
      <w:r>
        <w:rPr>
          <w:rFonts w:hint="eastAsia" w:ascii="仿宋_GB2312" w:hAnsi="等线" w:cs="仿宋_GB2312"/>
          <w:color w:val="000000" w:themeColor="text1"/>
          <w:szCs w:val="32"/>
          <w:lang w:bidi="ar"/>
          <w14:textFill>
            <w14:solidFill>
              <w14:schemeClr w14:val="tx1"/>
            </w14:solidFill>
          </w14:textFill>
        </w:rPr>
        <w:t>常态化开展跨区域项目对接洽谈，</w:t>
      </w:r>
      <w:r>
        <w:rPr>
          <w:rFonts w:ascii="仿宋_GB2312" w:hAnsi="等线" w:cs="仿宋_GB2312"/>
          <w:color w:val="000000" w:themeColor="text1"/>
          <w:szCs w:val="32"/>
          <w:lang w:bidi="ar"/>
          <w14:textFill>
            <w14:solidFill>
              <w14:schemeClr w14:val="tx1"/>
            </w14:solidFill>
          </w14:textFill>
        </w:rPr>
        <w:t>强化联合招商和项目统筹推进，探索建立统一的项目信息库和招商资源共享平台，提升优质项目跨区域配置效率。</w:t>
      </w:r>
    </w:p>
    <w:p>
      <w:pPr>
        <w:tabs>
          <w:tab w:val="left" w:pos="720"/>
        </w:tabs>
        <w:ind w:firstLine="643"/>
        <w:rPr>
          <w:rFonts w:ascii="仿宋_GB2312" w:hAnsi="等线" w:cs="仿宋_GB2312"/>
          <w:color w:val="000000" w:themeColor="text1"/>
          <w:szCs w:val="32"/>
          <w:lang w:bidi="ar"/>
          <w14:textFill>
            <w14:solidFill>
              <w14:schemeClr w14:val="tx1"/>
            </w14:solidFill>
          </w14:textFill>
        </w:rPr>
      </w:pPr>
      <w:r>
        <w:rPr>
          <w:rFonts w:ascii="仿宋_GB2312" w:hAnsi="等线" w:cs="仿宋_GB2312"/>
          <w:b/>
          <w:bCs/>
          <w:color w:val="000000" w:themeColor="text1"/>
          <w:szCs w:val="32"/>
          <w:lang w:bidi="ar"/>
          <w14:textFill>
            <w14:solidFill>
              <w14:schemeClr w14:val="tx1"/>
            </w14:solidFill>
          </w14:textFill>
        </w:rPr>
        <w:t>二是推动重点园区共建与产业链协同布局。</w:t>
      </w:r>
      <w:r>
        <w:rPr>
          <w:rFonts w:ascii="仿宋_GB2312" w:hAnsi="等线" w:cs="仿宋_GB2312"/>
          <w:color w:val="000000" w:themeColor="text1"/>
          <w:szCs w:val="32"/>
          <w:lang w:bidi="ar"/>
          <w14:textFill>
            <w14:solidFill>
              <w14:schemeClr w14:val="tx1"/>
            </w14:solidFill>
          </w14:textFill>
        </w:rPr>
        <w:t>以中关村通州园为核心载体，加强与燕郊高新区、三河经开区等北三县重点园区的对接协作，探索园区共建、协同运营和利益共享机制。围绕重点产业方向，推动研发中心、生产基地、配套服务等关键环节跨区域合理布局，促进创新资源与制造能力高效衔接。拓展园区间合作深度，在平台招商、产业孵化、成果转化等方面开展联动，提升区域整体产业承载能力和发展能级。</w:t>
      </w:r>
    </w:p>
    <w:p>
      <w:pPr>
        <w:widowControl/>
        <w:kinsoku w:val="0"/>
        <w:autoSpaceDE w:val="0"/>
        <w:autoSpaceDN w:val="0"/>
        <w:adjustRightInd w:val="0"/>
        <w:snapToGrid w:val="0"/>
        <w:ind w:firstLine="640"/>
        <w:textAlignment w:val="baseline"/>
        <w:outlineLvl w:val="2"/>
        <w:rPr>
          <w:rFonts w:ascii="黑体" w:hAnsi="黑体" w:eastAsia="黑体" w:cs="黑体"/>
          <w:color w:val="000000" w:themeColor="text1"/>
          <w:szCs w:val="32"/>
          <w14:textFill>
            <w14:solidFill>
              <w14:schemeClr w14:val="tx1"/>
            </w14:solidFill>
          </w14:textFill>
        </w:rPr>
      </w:pPr>
      <w:bookmarkStart w:id="454" w:name="_Toc228193754"/>
      <w:bookmarkStart w:id="455" w:name="_Toc4047"/>
      <w:bookmarkStart w:id="456" w:name="_Toc10209"/>
      <w:r>
        <w:rPr>
          <w:rFonts w:ascii="黑体" w:hAnsi="黑体" w:eastAsia="黑体" w:cs="黑体"/>
          <w:color w:val="000000" w:themeColor="text1"/>
          <w:szCs w:val="32"/>
          <w14:textFill>
            <w14:solidFill>
              <w14:schemeClr w14:val="tx1"/>
            </w14:solidFill>
          </w14:textFill>
        </w:rPr>
        <w:t>三、</w:t>
      </w:r>
      <w:r>
        <w:rPr>
          <w:rFonts w:hint="eastAsia" w:ascii="黑体" w:hAnsi="黑体" w:eastAsia="黑体" w:cs="黑体"/>
          <w:color w:val="000000" w:themeColor="text1"/>
          <w:szCs w:val="32"/>
          <w14:textFill>
            <w14:solidFill>
              <w14:schemeClr w14:val="tx1"/>
            </w14:solidFill>
          </w14:textFill>
        </w:rPr>
        <w:t>推进区域协作，强化产业链共生发展</w:t>
      </w:r>
      <w:bookmarkEnd w:id="454"/>
      <w:bookmarkEnd w:id="455"/>
      <w:bookmarkEnd w:id="456"/>
    </w:p>
    <w:p>
      <w:pPr>
        <w:widowControl/>
        <w:ind w:firstLine="643"/>
        <w:jc w:val="left"/>
        <w:rPr>
          <w:rFonts w:ascii="仿宋_GB2312" w:hAnsi="等线" w:cs="仿宋_GB2312"/>
          <w:color w:val="000000" w:themeColor="text1"/>
          <w:szCs w:val="32"/>
          <w:lang w:bidi="ar"/>
          <w14:textFill>
            <w14:solidFill>
              <w14:schemeClr w14:val="tx1"/>
            </w14:solidFill>
          </w14:textFill>
        </w:rPr>
      </w:pPr>
      <w:r>
        <w:rPr>
          <w:rFonts w:hint="eastAsia" w:ascii="仿宋_GB2312" w:hAnsi="等线" w:cs="仿宋_GB2312"/>
          <w:b/>
          <w:bCs/>
          <w:color w:val="000000" w:themeColor="text1"/>
          <w:szCs w:val="32"/>
          <w:lang w:bidi="ar"/>
          <w14:textFill>
            <w14:solidFill>
              <w14:schemeClr w14:val="tx1"/>
            </w14:solidFill>
          </w14:textFill>
        </w:rPr>
        <w:t>一是</w:t>
      </w:r>
      <w:r>
        <w:rPr>
          <w:rFonts w:ascii="仿宋_GB2312" w:hAnsi="等线" w:cs="仿宋_GB2312"/>
          <w:b/>
          <w:bCs/>
          <w:color w:val="000000" w:themeColor="text1"/>
          <w:szCs w:val="32"/>
          <w:lang w:bidi="ar"/>
          <w14:textFill>
            <w14:solidFill>
              <w14:schemeClr w14:val="tx1"/>
            </w14:solidFill>
          </w14:textFill>
        </w:rPr>
        <w:t>强化与中心城区功能疏解</w:t>
      </w:r>
      <w:r>
        <w:rPr>
          <w:rFonts w:hint="eastAsia" w:ascii="仿宋_GB2312" w:hAnsi="等线" w:cs="仿宋_GB2312"/>
          <w:b/>
          <w:bCs/>
          <w:color w:val="000000" w:themeColor="text1"/>
          <w:szCs w:val="32"/>
          <w:lang w:bidi="ar"/>
          <w14:textFill>
            <w14:solidFill>
              <w14:schemeClr w14:val="tx1"/>
            </w14:solidFill>
          </w14:textFill>
        </w:rPr>
        <w:t>及</w:t>
      </w:r>
      <w:r>
        <w:rPr>
          <w:rFonts w:ascii="仿宋_GB2312" w:hAnsi="等线" w:cs="仿宋_GB2312"/>
          <w:b/>
          <w:bCs/>
          <w:color w:val="000000" w:themeColor="text1"/>
          <w:szCs w:val="32"/>
          <w:lang w:bidi="ar"/>
          <w14:textFill>
            <w14:solidFill>
              <w14:schemeClr w14:val="tx1"/>
            </w14:solidFill>
          </w14:textFill>
        </w:rPr>
        <w:t>产业协同联动。</w:t>
      </w:r>
      <w:r>
        <w:rPr>
          <w:rFonts w:ascii="仿宋_GB2312" w:hAnsi="等线" w:cs="仿宋_GB2312"/>
          <w:color w:val="000000" w:themeColor="text1"/>
          <w:szCs w:val="32"/>
          <w:lang w:bidi="ar"/>
          <w14:textFill>
            <w14:solidFill>
              <w14:schemeClr w14:val="tx1"/>
            </w14:solidFill>
          </w14:textFill>
        </w:rPr>
        <w:t>立足</w:t>
      </w:r>
      <w:r>
        <w:rPr>
          <w:rFonts w:hint="eastAsia" w:ascii="仿宋_GB2312" w:hAnsi="等线" w:cs="仿宋_GB2312"/>
          <w:color w:val="000000" w:themeColor="text1"/>
          <w:szCs w:val="32"/>
          <w:lang w:bidi="ar"/>
          <w14:textFill>
            <w14:solidFill>
              <w14:schemeClr w14:val="tx1"/>
            </w14:solidFill>
          </w14:textFill>
        </w:rPr>
        <w:t>城市</w:t>
      </w:r>
      <w:r>
        <w:rPr>
          <w:rFonts w:ascii="仿宋_GB2312" w:hAnsi="等线" w:cs="仿宋_GB2312"/>
          <w:color w:val="000000" w:themeColor="text1"/>
          <w:szCs w:val="32"/>
          <w:lang w:bidi="ar"/>
          <w14:textFill>
            <w14:solidFill>
              <w14:schemeClr w14:val="tx1"/>
            </w14:solidFill>
          </w14:textFill>
        </w:rPr>
        <w:t>副中心承接中心城区功能疏解的战略定位，重点围绕市属国企总部、事业单位、公共服务资源和高端功能板块外溢需求，提升产业协同承接能力。</w:t>
      </w:r>
    </w:p>
    <w:p>
      <w:pPr>
        <w:widowControl/>
        <w:ind w:firstLine="643"/>
        <w:jc w:val="left"/>
        <w:rPr>
          <w:rFonts w:ascii="仿宋_GB2312" w:hAnsi="等线" w:cs="仿宋_GB2312"/>
          <w:color w:val="000000" w:themeColor="text1"/>
          <w:szCs w:val="32"/>
          <w:lang w:bidi="ar"/>
          <w14:textFill>
            <w14:solidFill>
              <w14:schemeClr w14:val="tx1"/>
            </w14:solidFill>
          </w14:textFill>
        </w:rPr>
      </w:pPr>
      <w:r>
        <w:rPr>
          <w:rFonts w:hint="eastAsia" w:ascii="仿宋_GB2312" w:hAnsi="等线" w:cs="仿宋_GB2312"/>
          <w:b/>
          <w:bCs/>
          <w:color w:val="000000" w:themeColor="text1"/>
          <w:szCs w:val="32"/>
          <w:lang w:bidi="ar"/>
          <w14:textFill>
            <w14:solidFill>
              <w14:schemeClr w14:val="tx1"/>
            </w14:solidFill>
          </w14:textFill>
        </w:rPr>
        <w:t>二</w:t>
      </w:r>
      <w:r>
        <w:rPr>
          <w:rFonts w:ascii="仿宋_GB2312" w:hAnsi="等线" w:cs="仿宋_GB2312"/>
          <w:b/>
          <w:bCs/>
          <w:color w:val="000000" w:themeColor="text1"/>
          <w:szCs w:val="32"/>
          <w:lang w:bidi="ar"/>
          <w14:textFill>
            <w14:solidFill>
              <w14:schemeClr w14:val="tx1"/>
            </w14:solidFill>
          </w14:textFill>
        </w:rPr>
        <w:t>是</w:t>
      </w:r>
      <w:r>
        <w:rPr>
          <w:rFonts w:hint="eastAsia" w:ascii="仿宋_GB2312" w:hAnsi="Calibri" w:cs="仿宋_GB2312"/>
          <w:b/>
          <w:bCs/>
          <w:color w:val="000000" w:themeColor="text1"/>
          <w:szCs w:val="32"/>
          <w:lang w:bidi="ar"/>
          <w14:textFill>
            <w14:solidFill>
              <w14:schemeClr w14:val="tx1"/>
            </w14:solidFill>
          </w14:textFill>
        </w:rPr>
        <w:t>深化通亦</w:t>
      </w:r>
      <w:r>
        <w:rPr>
          <w:rFonts w:hint="eastAsia" w:ascii="仿宋_GB2312" w:hAnsi="Calibri" w:cs="仿宋_GB2312"/>
          <w:b/>
          <w:bCs/>
          <w:color w:val="000000" w:themeColor="text1"/>
          <w:szCs w:val="32"/>
          <w:lang w:eastAsia="zh" w:bidi="ar"/>
          <w14:textFill>
            <w14:solidFill>
              <w14:schemeClr w14:val="tx1"/>
            </w14:solidFill>
          </w14:textFill>
        </w:rPr>
        <w:t>协同</w:t>
      </w:r>
      <w:r>
        <w:rPr>
          <w:rFonts w:hint="eastAsia" w:ascii="仿宋_GB2312" w:hAnsi="Calibri" w:cs="仿宋_GB2312"/>
          <w:b/>
          <w:bCs/>
          <w:color w:val="000000" w:themeColor="text1"/>
          <w:szCs w:val="32"/>
          <w:lang w:bidi="ar"/>
          <w14:textFill>
            <w14:solidFill>
              <w14:schemeClr w14:val="tx1"/>
            </w14:solidFill>
          </w14:textFill>
        </w:rPr>
        <w:t>加快建设东南部智造廊</w:t>
      </w:r>
      <w:r>
        <w:rPr>
          <w:rFonts w:hint="eastAsia" w:ascii="仿宋_GB2312" w:hAnsi="Calibri" w:cs="仿宋_GB2312"/>
          <w:color w:val="000000" w:themeColor="text1"/>
          <w:szCs w:val="32"/>
          <w:lang w:bidi="ar"/>
          <w14:textFill>
            <w14:solidFill>
              <w14:schemeClr w14:val="tx1"/>
            </w14:solidFill>
          </w14:textFill>
        </w:rPr>
        <w:t>。</w:t>
      </w:r>
      <w:r>
        <w:rPr>
          <w:rFonts w:ascii="仿宋_GB2312" w:hAnsi="等线" w:cs="仿宋_GB2312"/>
          <w:color w:val="000000" w:themeColor="text1"/>
          <w:szCs w:val="32"/>
          <w:lang w:bidi="ar"/>
          <w14:textFill>
            <w14:solidFill>
              <w14:schemeClr w14:val="tx1"/>
            </w14:solidFill>
          </w14:textFill>
        </w:rPr>
        <w:t>充分发挥国道230串联通亦的区位优势，</w:t>
      </w:r>
      <w:r>
        <w:rPr>
          <w:rFonts w:hint="eastAsia" w:ascii="仿宋_GB2312" w:hAnsi="等线" w:cs="仿宋_GB2312"/>
          <w:color w:val="000000" w:themeColor="text1"/>
          <w:szCs w:val="32"/>
          <w:lang w:bidi="ar"/>
          <w14:textFill>
            <w14:solidFill>
              <w14:schemeClr w14:val="tx1"/>
            </w14:solidFill>
          </w14:textFill>
        </w:rPr>
        <w:t>加快推动经开区与马驹桥东部区域、南部乡镇之间的交通基础设施贯通，形成高效顺畅的产业联络通道。</w:t>
      </w:r>
      <w:r>
        <w:rPr>
          <w:rFonts w:ascii="仿宋_GB2312" w:hAnsi="等线" w:cs="仿宋_GB2312"/>
          <w:color w:val="000000" w:themeColor="text1"/>
          <w:szCs w:val="32"/>
          <w:lang w:bidi="ar"/>
          <w14:textFill>
            <w14:solidFill>
              <w14:schemeClr w14:val="tx1"/>
            </w14:solidFill>
          </w14:textFill>
        </w:rPr>
        <w:t>以</w:t>
      </w:r>
      <w:r>
        <w:rPr>
          <w:rFonts w:hint="eastAsia" w:ascii="仿宋_GB2312" w:hAnsi="等线" w:cs="仿宋_GB2312"/>
          <w:color w:val="000000" w:themeColor="text1"/>
          <w:szCs w:val="32"/>
          <w:lang w:bidi="ar"/>
          <w14:textFill>
            <w14:solidFill>
              <w14:schemeClr w14:val="tx1"/>
            </w14:solidFill>
          </w14:textFill>
        </w:rPr>
        <w:t>台马协同区</w:t>
      </w:r>
      <w:r>
        <w:rPr>
          <w:rFonts w:ascii="仿宋_GB2312" w:hAnsi="等线" w:cs="仿宋_GB2312"/>
          <w:color w:val="000000" w:themeColor="text1"/>
          <w:szCs w:val="32"/>
          <w:lang w:bidi="ar"/>
          <w14:textFill>
            <w14:solidFill>
              <w14:schemeClr w14:val="tx1"/>
            </w14:solidFill>
          </w14:textFill>
        </w:rPr>
        <w:t>为关键节点，</w:t>
      </w:r>
      <w:r>
        <w:rPr>
          <w:rFonts w:hint="eastAsia" w:ascii="仿宋_GB2312" w:hAnsi="等线" w:cs="仿宋_GB2312"/>
          <w:color w:val="000000" w:themeColor="text1"/>
          <w:szCs w:val="32"/>
          <w:lang w:bidi="ar"/>
          <w14:textFill>
            <w14:solidFill>
              <w14:schemeClr w14:val="tx1"/>
            </w14:solidFill>
          </w14:textFill>
        </w:rPr>
        <w:t>深化城市副中心与经开区在智能网联新能源汽车、人形机器人等领域对接合作</w:t>
      </w:r>
      <w:r>
        <w:rPr>
          <w:rFonts w:ascii="仿宋_GB2312" w:hAnsi="等线" w:cs="仿宋_GB2312"/>
          <w:color w:val="000000" w:themeColor="text1"/>
          <w:szCs w:val="32"/>
          <w:lang w:bidi="ar"/>
          <w14:textFill>
            <w14:solidFill>
              <w14:schemeClr w14:val="tx1"/>
            </w14:solidFill>
          </w14:textFill>
        </w:rPr>
        <w:t>，</w:t>
      </w:r>
      <w:r>
        <w:rPr>
          <w:rFonts w:hint="eastAsia" w:ascii="仿宋_GB2312" w:hAnsi="等线" w:cs="仿宋_GB2312"/>
          <w:color w:val="000000" w:themeColor="text1"/>
          <w:szCs w:val="32"/>
          <w:lang w:bidi="ar"/>
          <w14:textFill>
            <w14:solidFill>
              <w14:schemeClr w14:val="tx1"/>
            </w14:solidFill>
          </w14:textFill>
        </w:rPr>
        <w:t>并</w:t>
      </w:r>
      <w:r>
        <w:rPr>
          <w:rFonts w:ascii="仿宋_GB2312" w:hAnsi="等线" w:cs="仿宋_GB2312"/>
          <w:color w:val="000000" w:themeColor="text1"/>
          <w:szCs w:val="32"/>
          <w:lang w:bidi="ar"/>
          <w14:textFill>
            <w14:solidFill>
              <w14:schemeClr w14:val="tx1"/>
            </w14:solidFill>
          </w14:textFill>
        </w:rPr>
        <w:t>沿东南智造廊向于家务乡、永乐店镇等区域延伸，</w:t>
      </w:r>
      <w:r>
        <w:rPr>
          <w:rFonts w:hint="eastAsia" w:ascii="仿宋_GB2312" w:hAnsi="等线" w:cs="仿宋_GB2312"/>
          <w:color w:val="000000" w:themeColor="text1"/>
          <w:szCs w:val="32"/>
          <w:lang w:eastAsia="zh" w:bidi="ar"/>
          <w14:textFill>
            <w14:solidFill>
              <w14:schemeClr w14:val="tx1"/>
            </w14:solidFill>
          </w14:textFill>
        </w:rPr>
        <w:t>并</w:t>
      </w:r>
      <w:r>
        <w:rPr>
          <w:rFonts w:ascii="仿宋_GB2312" w:hAnsi="等线" w:cs="仿宋_GB2312"/>
          <w:color w:val="000000" w:themeColor="text1"/>
          <w:szCs w:val="32"/>
          <w:lang w:bidi="ar"/>
          <w14:textFill>
            <w14:solidFill>
              <w14:schemeClr w14:val="tx1"/>
            </w14:solidFill>
          </w14:textFill>
        </w:rPr>
        <w:t>进一步辐射京津冀区域。</w:t>
      </w:r>
    </w:p>
    <w:p>
      <w:pPr>
        <w:widowControl/>
        <w:ind w:firstLine="643"/>
        <w:jc w:val="left"/>
        <w:rPr>
          <w:rFonts w:ascii="仿宋_GB2312" w:hAnsi="等线" w:cs="仿宋_GB2312"/>
          <w:color w:val="000000" w:themeColor="text1"/>
          <w:szCs w:val="32"/>
          <w:lang w:bidi="ar"/>
          <w14:textFill>
            <w14:solidFill>
              <w14:schemeClr w14:val="tx1"/>
            </w14:solidFill>
          </w14:textFill>
        </w:rPr>
      </w:pPr>
      <w:r>
        <w:rPr>
          <w:rFonts w:hint="eastAsia" w:ascii="仿宋_GB2312" w:hAnsi="等线" w:cs="仿宋_GB2312"/>
          <w:b/>
          <w:bCs/>
          <w:color w:val="000000" w:themeColor="text1"/>
          <w:szCs w:val="32"/>
          <w:lang w:bidi="ar"/>
          <w14:textFill>
            <w14:solidFill>
              <w14:schemeClr w14:val="tx1"/>
            </w14:solidFill>
          </w14:textFill>
        </w:rPr>
        <w:t>三</w:t>
      </w:r>
      <w:r>
        <w:rPr>
          <w:rFonts w:ascii="仿宋_GB2312" w:hAnsi="等线" w:cs="仿宋_GB2312"/>
          <w:b/>
          <w:bCs/>
          <w:color w:val="000000" w:themeColor="text1"/>
          <w:szCs w:val="32"/>
          <w:lang w:bidi="ar"/>
          <w14:textFill>
            <w14:solidFill>
              <w14:schemeClr w14:val="tx1"/>
            </w14:solidFill>
          </w14:textFill>
        </w:rPr>
        <w:t>是</w:t>
      </w:r>
      <w:r>
        <w:rPr>
          <w:rFonts w:hint="eastAsia" w:ascii="仿宋_GB2312" w:hAnsi="等线" w:cs="仿宋_GB2312"/>
          <w:b/>
          <w:bCs/>
          <w:color w:val="000000" w:themeColor="text1"/>
          <w:szCs w:val="32"/>
          <w:lang w:bidi="ar"/>
          <w14:textFill>
            <w14:solidFill>
              <w14:schemeClr w14:val="tx1"/>
            </w14:solidFill>
          </w14:textFill>
        </w:rPr>
        <w:t>深化四区结对促进跨区协同。</w:t>
      </w:r>
      <w:r>
        <w:rPr>
          <w:rFonts w:hint="eastAsia" w:ascii="仿宋_GB2312" w:hAnsi="仿宋_GB2312" w:cs="仿宋_GB2312"/>
          <w:color w:val="000000" w:themeColor="text1"/>
          <w:szCs w:val="32"/>
          <w14:textFill>
            <w14:solidFill>
              <w14:schemeClr w14:val="tx1"/>
            </w14:solidFill>
          </w14:textFill>
        </w:rPr>
        <w:t>推进“四区结对”产业项目高质量落地发展，</w:t>
      </w:r>
      <w:r>
        <w:rPr>
          <w:rFonts w:ascii="仿宋_GB2312" w:hAnsi="等线" w:cs="仿宋_GB2312"/>
          <w:color w:val="000000" w:themeColor="text1"/>
          <w:szCs w:val="32"/>
          <w:lang w:bidi="ar"/>
          <w14:textFill>
            <w14:solidFill>
              <w14:schemeClr w14:val="tx1"/>
            </w14:solidFill>
          </w14:textFill>
        </w:rPr>
        <w:t>深化与西城、朝阳、海淀等中心城区的结对共建，通过开展联合招商、产业推介会、技术对接会等活动，吸引更多优质项目、高端人才和资源要素汇聚</w:t>
      </w:r>
      <w:r>
        <w:rPr>
          <w:rFonts w:hint="eastAsia" w:ascii="仿宋_GB2312" w:hAnsi="等线" w:cs="仿宋_GB2312"/>
          <w:color w:val="000000" w:themeColor="text1"/>
          <w:szCs w:val="32"/>
          <w:lang w:bidi="ar"/>
          <w14:textFill>
            <w14:solidFill>
              <w14:schemeClr w14:val="tx1"/>
            </w14:solidFill>
          </w14:textFill>
        </w:rPr>
        <w:t>城市</w:t>
      </w:r>
      <w:r>
        <w:rPr>
          <w:rFonts w:ascii="仿宋_GB2312" w:hAnsi="等线" w:cs="仿宋_GB2312"/>
          <w:color w:val="000000" w:themeColor="text1"/>
          <w:szCs w:val="32"/>
          <w:lang w:bidi="ar"/>
          <w14:textFill>
            <w14:solidFill>
              <w14:schemeClr w14:val="tx1"/>
            </w14:solidFill>
          </w14:textFill>
        </w:rPr>
        <w:t>副中心。</w:t>
      </w:r>
    </w:p>
    <w:p>
      <w:pPr>
        <w:ind w:firstLine="720"/>
        <w:rPr>
          <w:rFonts w:ascii="方正小标宋简体" w:hAnsi="方正小标宋简体" w:eastAsia="方正小标宋简体" w:cs="方正小标宋简体"/>
          <w:color w:val="000000" w:themeColor="text1"/>
          <w:kern w:val="44"/>
          <w:sz w:val="36"/>
          <w:szCs w:val="36"/>
          <w14:textFill>
            <w14:solidFill>
              <w14:schemeClr w14:val="tx1"/>
            </w14:solidFill>
          </w14:textFill>
        </w:rPr>
      </w:pPr>
      <w:bookmarkStart w:id="457" w:name="_Toc8092"/>
      <w:bookmarkStart w:id="458" w:name="_Toc228193755"/>
      <w:bookmarkStart w:id="459" w:name="_Toc30125"/>
      <w:r>
        <w:rPr>
          <w:rFonts w:ascii="方正小标宋简体" w:hAnsi="方正小标宋简体" w:eastAsia="方正小标宋简体" w:cs="方正小标宋简体"/>
          <w:color w:val="000000" w:themeColor="text1"/>
          <w:kern w:val="44"/>
          <w:sz w:val="36"/>
          <w:szCs w:val="36"/>
          <w14:textFill>
            <w14:solidFill>
              <w14:schemeClr w14:val="tx1"/>
            </w14:solidFill>
          </w14:textFill>
        </w:rPr>
        <w:br w:type="page"/>
      </w:r>
    </w:p>
    <w:p>
      <w:pPr>
        <w:pStyle w:val="2"/>
        <w:keepNext w:val="0"/>
        <w:keepLines w:val="0"/>
        <w:numPr>
          <w:ilvl w:val="0"/>
          <w:numId w:val="1"/>
        </w:numPr>
        <w:ind w:firstLine="0" w:firstLineChars="0"/>
        <w:jc w:val="center"/>
        <w:rPr>
          <w:rFonts w:hint="default" w:ascii="方正小标宋简体" w:hAnsi="方正小标宋简体" w:eastAsia="方正小标宋简体" w:cs="方正小标宋简体"/>
          <w:bCs w:val="0"/>
          <w:kern w:val="44"/>
          <w:sz w:val="36"/>
          <w:szCs w:val="36"/>
        </w:rPr>
      </w:pPr>
      <w:bookmarkStart w:id="460" w:name="_Toc20412"/>
      <w:bookmarkStart w:id="461" w:name="_Toc21123"/>
      <w:r>
        <w:rPr>
          <w:rFonts w:hint="default" w:ascii="方正小标宋简体" w:hAnsi="方正小标宋简体" w:eastAsia="方正小标宋简体" w:cs="方正小标宋简体"/>
          <w:bCs w:val="0"/>
          <w:kern w:val="44"/>
          <w:sz w:val="36"/>
          <w:szCs w:val="36"/>
        </w:rPr>
        <w:t xml:space="preserve">集聚发展动能 </w:t>
      </w:r>
      <w:r>
        <w:rPr>
          <w:rFonts w:ascii="方正小标宋简体" w:hAnsi="方正小标宋简体" w:eastAsia="方正小标宋简体" w:cs="方正小标宋简体"/>
          <w:bCs w:val="0"/>
          <w:kern w:val="44"/>
          <w:sz w:val="36"/>
          <w:szCs w:val="36"/>
        </w:rPr>
        <w:t>构建产业发展</w:t>
      </w:r>
      <w:r>
        <w:rPr>
          <w:rFonts w:hint="default" w:ascii="方正小标宋简体" w:hAnsi="方正小标宋简体" w:eastAsia="方正小标宋简体" w:cs="方正小标宋简体"/>
          <w:bCs w:val="0"/>
          <w:kern w:val="44"/>
          <w:sz w:val="36"/>
          <w:szCs w:val="36"/>
        </w:rPr>
        <w:t>创新生态</w:t>
      </w:r>
      <w:bookmarkEnd w:id="457"/>
      <w:bookmarkEnd w:id="458"/>
      <w:bookmarkEnd w:id="459"/>
      <w:bookmarkEnd w:id="460"/>
      <w:bookmarkEnd w:id="461"/>
    </w:p>
    <w:p>
      <w:pPr>
        <w:pStyle w:val="3"/>
        <w:spacing w:before="0" w:after="0"/>
        <w:ind w:firstLine="0" w:firstLineChars="0"/>
        <w:jc w:val="center"/>
        <w:rPr>
          <w:rFonts w:hint="default" w:ascii="黑体" w:hAnsi="黑体" w:eastAsia="黑体" w:cs="黑体"/>
          <w:b w:val="0"/>
          <w:bCs w:val="0"/>
          <w:color w:val="000000" w:themeColor="text1"/>
          <w:sz w:val="32"/>
          <w:szCs w:val="32"/>
          <w14:textFill>
            <w14:solidFill>
              <w14:schemeClr w14:val="tx1"/>
            </w14:solidFill>
          </w14:textFill>
        </w:rPr>
      </w:pPr>
      <w:bookmarkStart w:id="462" w:name="_Toc228193756"/>
      <w:bookmarkStart w:id="463" w:name="_Toc4307"/>
      <w:bookmarkStart w:id="464" w:name="_Toc6700"/>
      <w:r>
        <w:rPr>
          <w:rFonts w:ascii="黑体" w:hAnsi="黑体" w:eastAsia="黑体" w:cs="黑体"/>
          <w:b w:val="0"/>
          <w:bCs w:val="0"/>
          <w:color w:val="000000" w:themeColor="text1"/>
          <w:sz w:val="32"/>
          <w:szCs w:val="32"/>
          <w14:textFill>
            <w14:solidFill>
              <w14:schemeClr w14:val="tx1"/>
            </w14:solidFill>
          </w14:textFill>
        </w:rPr>
        <w:t>第十六章 育链聚势，构建链群式产业生态圈</w:t>
      </w:r>
      <w:bookmarkEnd w:id="462"/>
      <w:bookmarkEnd w:id="463"/>
      <w:bookmarkEnd w:id="464"/>
    </w:p>
    <w:p>
      <w:pPr>
        <w:widowControl/>
        <w:shd w:val="clear" w:color="auto" w:fill="FFFFFF" w:themeFill="background1"/>
        <w:kinsoku w:val="0"/>
        <w:autoSpaceDE w:val="0"/>
        <w:autoSpaceDN w:val="0"/>
        <w:adjustRightInd w:val="0"/>
        <w:snapToGrid w:val="0"/>
        <w:ind w:firstLine="640"/>
        <w:textAlignment w:val="baseline"/>
        <w:outlineLvl w:val="2"/>
        <w:rPr>
          <w:rFonts w:ascii="黑体" w:hAnsi="黑体" w:eastAsia="黑体" w:cs="黑体"/>
          <w:color w:val="000000" w:themeColor="text1"/>
          <w:szCs w:val="32"/>
          <w14:textFill>
            <w14:solidFill>
              <w14:schemeClr w14:val="tx1"/>
            </w14:solidFill>
          </w14:textFill>
        </w:rPr>
      </w:pPr>
      <w:bookmarkStart w:id="465" w:name="_Toc15140"/>
      <w:bookmarkStart w:id="466" w:name="_Toc228193757"/>
      <w:bookmarkStart w:id="467" w:name="_Toc4662"/>
      <w:r>
        <w:rPr>
          <w:rFonts w:ascii="黑体" w:hAnsi="黑体" w:eastAsia="黑体" w:cs="黑体"/>
          <w:color w:val="000000" w:themeColor="text1"/>
          <w:szCs w:val="32"/>
          <w14:textFill>
            <w14:solidFill>
              <w14:schemeClr w14:val="tx1"/>
            </w14:solidFill>
          </w14:textFill>
        </w:rPr>
        <w:t>一、强链补链延链，提升产业链协同韧性</w:t>
      </w:r>
      <w:bookmarkEnd w:id="465"/>
      <w:bookmarkEnd w:id="466"/>
      <w:bookmarkEnd w:id="467"/>
    </w:p>
    <w:p>
      <w:pPr>
        <w:widowControl/>
        <w:shd w:val="clear" w:color="auto" w:fill="FFFFFF" w:themeFill="background1"/>
        <w:topLinePunct/>
        <w:ind w:firstLine="643"/>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bCs/>
          <w:color w:val="000000" w:themeColor="text1"/>
          <w:szCs w:val="32"/>
          <w14:textFill>
            <w14:solidFill>
              <w14:schemeClr w14:val="tx1"/>
            </w14:solidFill>
          </w14:textFill>
        </w:rPr>
        <w:t>一是编制主导产业图谱。</w:t>
      </w:r>
      <w:r>
        <w:rPr>
          <w:rFonts w:hint="eastAsia" w:ascii="仿宋_GB2312" w:hAnsi="仿宋_GB2312" w:cs="仿宋_GB2312"/>
          <w:color w:val="000000" w:themeColor="text1"/>
          <w:szCs w:val="32"/>
          <w14:textFill>
            <w14:solidFill>
              <w14:schemeClr w14:val="tx1"/>
            </w14:solidFill>
          </w14:textFill>
        </w:rPr>
        <w:t>梳理城市副中心主要企业链、价值链、供应链、空间链情况，编制主导产业图谱，绘制产业链全景图，按“链主企业－配套企业－技术服务商”分层锁定目标，明确区域产业分工，以靶向招商完善产业集群。以产业链图谱支撑产业生态评估，动态监测补链效果，提升产业配套率，推动政策精准滴灌、资源精准投放、项目精准匹配，提高政府服务效率与企业满意度。</w:t>
      </w:r>
    </w:p>
    <w:p>
      <w:pPr>
        <w:widowControl/>
        <w:shd w:val="clear" w:color="auto" w:fill="FFFFFF" w:themeFill="background1"/>
        <w:topLinePunct/>
        <w:ind w:firstLine="643"/>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bCs/>
          <w:color w:val="000000" w:themeColor="text1"/>
          <w:szCs w:val="32"/>
          <w14:textFill>
            <w14:solidFill>
              <w14:schemeClr w14:val="tx1"/>
            </w14:solidFill>
          </w14:textFill>
        </w:rPr>
        <w:t>二是发挥龙头企业带动作用</w:t>
      </w:r>
      <w:r>
        <w:rPr>
          <w:rFonts w:hint="eastAsia" w:ascii="仿宋_GB2312" w:hAnsi="仿宋_GB2312" w:cs="仿宋_GB2312"/>
          <w:color w:val="000000" w:themeColor="text1"/>
          <w:szCs w:val="32"/>
          <w14:textFill>
            <w14:solidFill>
              <w14:schemeClr w14:val="tx1"/>
            </w14:solidFill>
          </w14:textFill>
        </w:rPr>
        <w:t>。培育壮大一批技术领先、带动力强的龙头企业，支持其实施集团化经营和总部经济模式。通过技术赋能、场景开放、生态协同，构建“链主引领—配套协同—场景驱动”的链群生态。推行“链主企业+联合招商团”制度，搭建创新协作体系。支持龙头企业主导或参与制定国家标准，鼓励其通过标准化管理和数字化改造，带动产业链协同发展，提升产业链供应链整体水平。</w:t>
      </w:r>
    </w:p>
    <w:p>
      <w:pPr>
        <w:widowControl/>
        <w:shd w:val="clear" w:color="auto" w:fill="FFFFFF" w:themeFill="background1"/>
        <w:topLinePunct/>
        <w:ind w:firstLine="643"/>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bCs/>
          <w:color w:val="000000" w:themeColor="text1"/>
          <w:szCs w:val="32"/>
          <w14:textFill>
            <w14:solidFill>
              <w14:schemeClr w14:val="tx1"/>
            </w14:solidFill>
          </w14:textFill>
        </w:rPr>
        <w:t>三是促进大中小企业融通发展</w:t>
      </w:r>
      <w:r>
        <w:rPr>
          <w:rFonts w:hint="eastAsia" w:ascii="仿宋_GB2312" w:hAnsi="仿宋_GB2312" w:cs="仿宋_GB2312"/>
          <w:color w:val="000000" w:themeColor="text1"/>
          <w:szCs w:val="32"/>
          <w14:textFill>
            <w14:solidFill>
              <w14:schemeClr w14:val="tx1"/>
            </w14:solidFill>
          </w14:textFill>
        </w:rPr>
        <w:t>。支持中小企业向“专精特新”方向发展，培育一批“小巨人”和“隐形冠军”，形成大中小梯度发展格局。对传统产业实施“设备更新+数字赋能”工程，加速向智能建造、先进制造转型。聚焦优势产业和新兴产业赛道，培育创新产业集群，强链补链构建产业闭环。支持中小企业特色产业集群参与团体标准研制与示范应用。</w:t>
      </w:r>
    </w:p>
    <w:p>
      <w:pPr>
        <w:widowControl/>
        <w:shd w:val="clear" w:color="auto" w:fill="FFFFFF" w:themeFill="background1"/>
        <w:kinsoku w:val="0"/>
        <w:autoSpaceDE w:val="0"/>
        <w:autoSpaceDN w:val="0"/>
        <w:adjustRightInd w:val="0"/>
        <w:snapToGrid w:val="0"/>
        <w:ind w:firstLine="640"/>
        <w:textAlignment w:val="baseline"/>
        <w:outlineLvl w:val="2"/>
        <w:rPr>
          <w:rFonts w:ascii="黑体" w:hAnsi="黑体" w:eastAsia="黑体" w:cs="黑体"/>
          <w:color w:val="000000" w:themeColor="text1"/>
          <w:szCs w:val="32"/>
          <w14:textFill>
            <w14:solidFill>
              <w14:schemeClr w14:val="tx1"/>
            </w14:solidFill>
          </w14:textFill>
        </w:rPr>
      </w:pPr>
      <w:bookmarkStart w:id="468" w:name="_Toc228193758"/>
      <w:bookmarkStart w:id="469" w:name="_Toc25314"/>
      <w:bookmarkStart w:id="470" w:name="_Toc3060"/>
      <w:r>
        <w:rPr>
          <w:rFonts w:ascii="黑体" w:hAnsi="黑体" w:eastAsia="黑体" w:cs="黑体"/>
          <w:color w:val="000000" w:themeColor="text1"/>
          <w:szCs w:val="32"/>
          <w14:textFill>
            <w14:solidFill>
              <w14:schemeClr w14:val="tx1"/>
            </w14:solidFill>
          </w14:textFill>
        </w:rPr>
        <w:t>二、</w:t>
      </w:r>
      <w:r>
        <w:rPr>
          <w:rFonts w:hint="eastAsia" w:ascii="黑体" w:hAnsi="黑体" w:eastAsia="黑体" w:cs="黑体"/>
          <w:color w:val="000000" w:themeColor="text1"/>
          <w:szCs w:val="32"/>
          <w14:textFill>
            <w14:solidFill>
              <w14:schemeClr w14:val="tx1"/>
            </w14:solidFill>
          </w14:textFill>
        </w:rPr>
        <w:t>深化融通发展，促进跨产业融合升级</w:t>
      </w:r>
      <w:bookmarkEnd w:id="468"/>
      <w:bookmarkEnd w:id="469"/>
      <w:bookmarkEnd w:id="470"/>
    </w:p>
    <w:p>
      <w:pPr>
        <w:widowControl/>
        <w:shd w:val="clear" w:color="auto" w:fill="FFFFFF" w:themeFill="background1"/>
        <w:topLinePunct/>
        <w:ind w:firstLine="643"/>
        <w:rPr>
          <w:rFonts w:ascii="仿宋_GB2312" w:hAnsi="仿宋_GB2312" w:cs="仿宋_GB2312"/>
          <w:color w:val="000000" w:themeColor="text1"/>
          <w:szCs w:val="32"/>
          <w14:textFill>
            <w14:solidFill>
              <w14:schemeClr w14:val="tx1"/>
            </w14:solidFill>
          </w14:textFill>
        </w:rPr>
      </w:pPr>
      <w:r>
        <w:rPr>
          <w:rFonts w:ascii="仿宋_GB2312" w:hAnsi="仿宋_GB2312" w:cs="仿宋_GB2312"/>
          <w:b/>
          <w:bCs/>
          <w:color w:val="000000" w:themeColor="text1"/>
          <w:szCs w:val="32"/>
          <w14:textFill>
            <w14:solidFill>
              <w14:schemeClr w14:val="tx1"/>
            </w14:solidFill>
          </w14:textFill>
        </w:rPr>
        <w:t>一是构建融合发展生态，推动多领域协同赋能。</w:t>
      </w:r>
      <w:r>
        <w:rPr>
          <w:rFonts w:ascii="仿宋_GB2312" w:hAnsi="仿宋_GB2312" w:cs="仿宋_GB2312"/>
          <w:color w:val="000000" w:themeColor="text1"/>
          <w:szCs w:val="32"/>
          <w14:textFill>
            <w14:solidFill>
              <w14:schemeClr w14:val="tx1"/>
            </w14:solidFill>
          </w14:textFill>
        </w:rPr>
        <w:t>围绕绿色经济、数字经济与实体经济融合发展，促进产业间要素流动与功能耦合，推动制造业转型升级与现代服务业提质发展。强化金融、数据等关键要素对产业发展的支撑作用，提升资源配置效率。</w:t>
      </w:r>
    </w:p>
    <w:p>
      <w:pPr>
        <w:widowControl/>
        <w:shd w:val="clear" w:color="auto" w:fill="FFFFFF" w:themeFill="background1"/>
        <w:topLinePunct/>
        <w:ind w:firstLine="643"/>
        <w:rPr>
          <w:rFonts w:ascii="仿宋_GB2312" w:hAnsi="仿宋_GB2312" w:cs="仿宋_GB2312"/>
          <w:color w:val="000000" w:themeColor="text1"/>
          <w:szCs w:val="32"/>
          <w14:textFill>
            <w14:solidFill>
              <w14:schemeClr w14:val="tx1"/>
            </w14:solidFill>
          </w14:textFill>
        </w:rPr>
      </w:pPr>
      <w:r>
        <w:rPr>
          <w:rFonts w:ascii="仿宋_GB2312" w:hAnsi="仿宋_GB2312" w:cs="仿宋_GB2312"/>
          <w:b/>
          <w:bCs/>
          <w:color w:val="000000" w:themeColor="text1"/>
          <w:szCs w:val="32"/>
          <w14:textFill>
            <w14:solidFill>
              <w14:schemeClr w14:val="tx1"/>
            </w14:solidFill>
          </w14:textFill>
        </w:rPr>
        <w:t>二是完善产业链协同机制，提升体系运行效率。</w:t>
      </w:r>
      <w:r>
        <w:rPr>
          <w:rFonts w:ascii="仿宋_GB2312" w:hAnsi="仿宋_GB2312" w:cs="仿宋_GB2312"/>
          <w:color w:val="000000" w:themeColor="text1"/>
          <w:szCs w:val="32"/>
          <w14:textFill>
            <w14:solidFill>
              <w14:schemeClr w14:val="tx1"/>
            </w14:solidFill>
          </w14:textFill>
        </w:rPr>
        <w:t>健全产业链上下游协同发展机制，强化重点环节衔接和资源协同配置，推动形成分工合理、协作高效的产业体系。推进重点领域标准体系建设，增强产业协同的规则支撑。优化金融服务供给，拓展股权投资、供应链金融等多元化融资方式，提升企业参与产业协同的能力。依托园区、平台和产业联盟，促进企业间资源共享与协同联动，增强产业链稳定性和整体运行效率。</w:t>
      </w:r>
    </w:p>
    <w:p>
      <w:pPr>
        <w:widowControl/>
        <w:shd w:val="clear" w:color="auto" w:fill="FFFFFF" w:themeFill="background1"/>
        <w:topLinePunct/>
        <w:ind w:firstLine="643"/>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bCs/>
          <w:color w:val="000000" w:themeColor="text1"/>
          <w:szCs w:val="32"/>
          <w14:textFill>
            <w14:solidFill>
              <w14:schemeClr w14:val="tx1"/>
            </w14:solidFill>
          </w14:textFill>
        </w:rPr>
        <w:t>三是聚焦</w:t>
      </w:r>
      <w:r>
        <w:rPr>
          <w:rFonts w:ascii="仿宋_GB2312" w:hAnsi="仿宋_GB2312" w:cs="仿宋_GB2312"/>
          <w:b/>
          <w:bCs/>
          <w:color w:val="000000" w:themeColor="text1"/>
          <w:szCs w:val="32"/>
          <w14:textFill>
            <w14:solidFill>
              <w14:schemeClr w14:val="tx1"/>
            </w14:solidFill>
          </w14:textFill>
        </w:rPr>
        <w:t>未来设计与医药健康</w:t>
      </w:r>
      <w:r>
        <w:rPr>
          <w:rFonts w:hint="eastAsia" w:ascii="仿宋_GB2312" w:hAnsi="仿宋_GB2312" w:cs="仿宋_GB2312"/>
          <w:b/>
          <w:bCs/>
          <w:color w:val="000000" w:themeColor="text1"/>
          <w:szCs w:val="32"/>
          <w14:textFill>
            <w14:solidFill>
              <w14:schemeClr w14:val="tx1"/>
            </w14:solidFill>
          </w14:textFill>
        </w:rPr>
        <w:t>，促进两业</w:t>
      </w:r>
      <w:r>
        <w:rPr>
          <w:rFonts w:ascii="仿宋_GB2312" w:hAnsi="仿宋_GB2312" w:cs="仿宋_GB2312"/>
          <w:b/>
          <w:bCs/>
          <w:color w:val="000000" w:themeColor="text1"/>
          <w:szCs w:val="32"/>
          <w14:textFill>
            <w14:solidFill>
              <w14:schemeClr w14:val="tx1"/>
            </w14:solidFill>
          </w14:textFill>
        </w:rPr>
        <w:t>融合发展</w:t>
      </w:r>
      <w:r>
        <w:rPr>
          <w:rFonts w:hint="eastAsia" w:ascii="仿宋_GB2312" w:hAnsi="仿宋_GB2312" w:cs="仿宋_GB2312"/>
          <w:b/>
          <w:bCs/>
          <w:color w:val="000000" w:themeColor="text1"/>
          <w:szCs w:val="32"/>
          <w14:textFill>
            <w14:solidFill>
              <w14:schemeClr w14:val="tx1"/>
            </w14:solidFill>
          </w14:textFill>
        </w:rPr>
        <w:t>。</w:t>
      </w:r>
      <w:r>
        <w:rPr>
          <w:rFonts w:ascii="仿宋_GB2312" w:hAnsi="仿宋_GB2312" w:cs="仿宋_GB2312"/>
          <w:color w:val="000000" w:themeColor="text1"/>
          <w:szCs w:val="32"/>
          <w14:textFill>
            <w14:solidFill>
              <w14:schemeClr w14:val="tx1"/>
            </w14:solidFill>
          </w14:textFill>
        </w:rPr>
        <w:t>聚焦未来设计与医药健康两大特色优势方向，坚持以企业为主体、以创新为引领，强化要素协同与人才支撑，推动产业链延伸与业态融合。探索“设计+智造+场景”与“医教研产养康”协同发展的新路径，促进技术创新、产品创新与应用场景联动，带动产业向智能化、绿色化、融合化转型升级。通过整合创新资源与应用场景，打造具有示范引领作用的两业融合发展高地。</w:t>
      </w:r>
    </w:p>
    <w:p>
      <w:pPr>
        <w:widowControl/>
        <w:shd w:val="clear" w:color="auto" w:fill="FFFFFF" w:themeFill="background1"/>
        <w:kinsoku w:val="0"/>
        <w:autoSpaceDE w:val="0"/>
        <w:autoSpaceDN w:val="0"/>
        <w:adjustRightInd w:val="0"/>
        <w:snapToGrid w:val="0"/>
        <w:ind w:firstLine="640"/>
        <w:textAlignment w:val="baseline"/>
        <w:outlineLvl w:val="2"/>
        <w:rPr>
          <w:rFonts w:ascii="黑体" w:hAnsi="黑体" w:eastAsia="黑体" w:cs="黑体"/>
          <w:color w:val="000000" w:themeColor="text1"/>
          <w:szCs w:val="32"/>
          <w14:textFill>
            <w14:solidFill>
              <w14:schemeClr w14:val="tx1"/>
            </w14:solidFill>
          </w14:textFill>
        </w:rPr>
      </w:pPr>
      <w:bookmarkStart w:id="471" w:name="_Toc26949"/>
      <w:bookmarkStart w:id="472" w:name="_Toc228193759"/>
      <w:bookmarkStart w:id="473" w:name="_Toc19545"/>
      <w:r>
        <w:rPr>
          <w:rFonts w:hint="eastAsia" w:ascii="黑体" w:hAnsi="黑体" w:eastAsia="黑体" w:cs="黑体"/>
          <w:color w:val="000000" w:themeColor="text1"/>
          <w:szCs w:val="32"/>
          <w14:textFill>
            <w14:solidFill>
              <w14:schemeClr w14:val="tx1"/>
            </w14:solidFill>
          </w14:textFill>
        </w:rPr>
        <w:t>三、强化</w:t>
      </w:r>
      <w:r>
        <w:rPr>
          <w:rFonts w:ascii="黑体" w:hAnsi="黑体" w:eastAsia="黑体" w:cs="黑体"/>
          <w:color w:val="000000" w:themeColor="text1"/>
          <w:szCs w:val="32"/>
          <w14:textFill>
            <w14:solidFill>
              <w14:schemeClr w14:val="tx1"/>
            </w14:solidFill>
          </w14:textFill>
        </w:rPr>
        <w:t>校城融合，产教协同</w:t>
      </w:r>
      <w:r>
        <w:rPr>
          <w:rFonts w:hint="eastAsia" w:ascii="黑体" w:hAnsi="黑体" w:eastAsia="黑体" w:cs="黑体"/>
          <w:color w:val="000000" w:themeColor="text1"/>
          <w:szCs w:val="32"/>
          <w14:textFill>
            <w14:solidFill>
              <w14:schemeClr w14:val="tx1"/>
            </w14:solidFill>
          </w14:textFill>
        </w:rPr>
        <w:t>促进</w:t>
      </w:r>
      <w:r>
        <w:rPr>
          <w:rFonts w:ascii="黑体" w:hAnsi="黑体" w:eastAsia="黑体" w:cs="黑体"/>
          <w:color w:val="000000" w:themeColor="text1"/>
          <w:szCs w:val="32"/>
          <w14:textFill>
            <w14:solidFill>
              <w14:schemeClr w14:val="tx1"/>
            </w14:solidFill>
          </w14:textFill>
        </w:rPr>
        <w:t>产业跃升</w:t>
      </w:r>
      <w:bookmarkEnd w:id="471"/>
      <w:bookmarkEnd w:id="472"/>
      <w:bookmarkEnd w:id="473"/>
    </w:p>
    <w:p>
      <w:pPr>
        <w:widowControl/>
        <w:shd w:val="clear" w:color="auto" w:fill="FFFFFF" w:themeFill="background1"/>
        <w:topLinePunct/>
        <w:ind w:firstLine="643"/>
        <w:rPr>
          <w:rFonts w:ascii="仿宋_GB2312" w:hAnsi="仿宋_GB2312" w:cs="仿宋_GB2312"/>
          <w:color w:val="000000" w:themeColor="text1"/>
          <w:szCs w:val="32"/>
          <w14:textFill>
            <w14:solidFill>
              <w14:schemeClr w14:val="tx1"/>
            </w14:solidFill>
          </w14:textFill>
        </w:rPr>
      </w:pPr>
      <w:r>
        <w:rPr>
          <w:rFonts w:ascii="仿宋_GB2312" w:hAnsi="仿宋_GB2312" w:cs="仿宋_GB2312"/>
          <w:b/>
          <w:bCs/>
          <w:color w:val="000000" w:themeColor="text1"/>
          <w:szCs w:val="32"/>
          <w14:textFill>
            <w14:solidFill>
              <w14:schemeClr w14:val="tx1"/>
            </w14:solidFill>
          </w14:textFill>
        </w:rPr>
        <w:t>一是强化产业对接，推动高校专业优势与主导产业深度融合。</w:t>
      </w:r>
      <w:r>
        <w:rPr>
          <w:rFonts w:ascii="仿宋_GB2312" w:hAnsi="仿宋_GB2312" w:cs="仿宋_GB2312"/>
          <w:color w:val="000000" w:themeColor="text1"/>
          <w:szCs w:val="32"/>
          <w14:textFill>
            <w14:solidFill>
              <w14:schemeClr w14:val="tx1"/>
            </w14:solidFill>
          </w14:textFill>
        </w:rPr>
        <w:t>依托中国人民大学、</w:t>
      </w:r>
      <w:r>
        <w:rPr>
          <w:rFonts w:hint="eastAsia" w:ascii="仿宋_GB2312" w:hAnsi="仿宋_GB2312" w:cs="仿宋_GB2312"/>
          <w:color w:val="000000" w:themeColor="text1"/>
          <w:szCs w:val="32"/>
          <w14:textFill>
            <w14:solidFill>
              <w14:schemeClr w14:val="tx1"/>
            </w14:solidFill>
          </w14:textFill>
        </w:rPr>
        <w:t>清华大学通州金融发展与人才培养基地</w:t>
      </w:r>
      <w:r>
        <w:rPr>
          <w:rFonts w:ascii="仿宋_GB2312" w:hAnsi="仿宋_GB2312" w:cs="仿宋_GB2312"/>
          <w:color w:val="000000" w:themeColor="text1"/>
          <w:szCs w:val="32"/>
          <w14:textFill>
            <w14:solidFill>
              <w14:schemeClr w14:val="tx1"/>
            </w14:solidFill>
          </w14:textFill>
        </w:rPr>
        <w:t>、北京服装学院、北京舞蹈学院等高校资源，围绕现代金融、数字治理、文化创意、演艺文旅等重点方向，建立高校学科与产业需求对接机制，推动科研方向、课程体系与产业发展协同优化。引导高校与重点园区、骨干企业在产业研究、技术攻关、人才培养等方面深化合作，促进教育链、人才链与产业链、创新链有机衔接，持续提升高校资源对产业发展的支撑能力。</w:t>
      </w:r>
    </w:p>
    <w:p>
      <w:pPr>
        <w:widowControl/>
        <w:shd w:val="clear" w:color="auto" w:fill="FFFFFF" w:themeFill="background1"/>
        <w:topLinePunct/>
        <w:ind w:firstLine="643"/>
        <w:rPr>
          <w:rFonts w:ascii="仿宋_GB2312" w:hAnsi="仿宋_GB2312" w:cs="仿宋_GB2312"/>
          <w:color w:val="000000" w:themeColor="text1"/>
          <w:szCs w:val="32"/>
          <w14:textFill>
            <w14:solidFill>
              <w14:schemeClr w14:val="tx1"/>
            </w14:solidFill>
          </w14:textFill>
        </w:rPr>
      </w:pPr>
      <w:r>
        <w:rPr>
          <w:rFonts w:ascii="仿宋_GB2312" w:hAnsi="仿宋_GB2312" w:cs="仿宋_GB2312"/>
          <w:b/>
          <w:bCs/>
          <w:color w:val="000000" w:themeColor="text1"/>
          <w:szCs w:val="32"/>
          <w14:textFill>
            <w14:solidFill>
              <w14:schemeClr w14:val="tx1"/>
            </w14:solidFill>
          </w14:textFill>
        </w:rPr>
        <w:t>二是完善平台载体，促进科研与创意成果就地转化应用。</w:t>
      </w:r>
      <w:r>
        <w:rPr>
          <w:rFonts w:ascii="仿宋_GB2312" w:hAnsi="仿宋_GB2312" w:cs="仿宋_GB2312"/>
          <w:color w:val="000000" w:themeColor="text1"/>
          <w:szCs w:val="32"/>
          <w14:textFill>
            <w14:solidFill>
              <w14:schemeClr w14:val="tx1"/>
            </w14:solidFill>
          </w14:textFill>
        </w:rPr>
        <w:t>支持高校与园区、企业共建产学研协同创新平台、联合实验室和实践基地，完善概念验证、中试孵化、成果转化等全链条服务体系。依托张家湾设计小镇、台湖演艺小镇、运河商务区等重点载体，打造集研发设计、创意孵化、展示交易于一体的创新空间，推动金融科技、数字治理、原创设计、演艺创作等成果在</w:t>
      </w:r>
      <w:r>
        <w:rPr>
          <w:rFonts w:hint="eastAsia" w:ascii="仿宋_GB2312" w:hAnsi="仿宋_GB2312" w:cs="仿宋_GB2312"/>
          <w:color w:val="000000" w:themeColor="text1"/>
          <w:szCs w:val="32"/>
          <w14:textFill>
            <w14:solidFill>
              <w14:schemeClr w14:val="tx1"/>
            </w14:solidFill>
          </w14:textFill>
        </w:rPr>
        <w:t>城市</w:t>
      </w:r>
      <w:r>
        <w:rPr>
          <w:rFonts w:ascii="仿宋_GB2312" w:hAnsi="仿宋_GB2312" w:cs="仿宋_GB2312"/>
          <w:color w:val="000000" w:themeColor="text1"/>
          <w:szCs w:val="32"/>
          <w14:textFill>
            <w14:solidFill>
              <w14:schemeClr w14:val="tx1"/>
            </w14:solidFill>
          </w14:textFill>
        </w:rPr>
        <w:t>副中心加快转化应用，提升成果产业化水平。</w:t>
      </w:r>
    </w:p>
    <w:p>
      <w:pPr>
        <w:widowControl/>
        <w:shd w:val="clear" w:color="auto" w:fill="FFFFFF" w:themeFill="background1"/>
        <w:topLinePunct/>
        <w:ind w:firstLine="643"/>
        <w:rPr>
          <w:rFonts w:ascii="仿宋_GB2312" w:hAnsi="仿宋_GB2312" w:cs="仿宋_GB2312"/>
          <w:color w:val="000000" w:themeColor="text1"/>
          <w:szCs w:val="32"/>
          <w14:textFill>
            <w14:solidFill>
              <w14:schemeClr w14:val="tx1"/>
            </w14:solidFill>
          </w14:textFill>
        </w:rPr>
      </w:pPr>
      <w:r>
        <w:rPr>
          <w:rFonts w:ascii="仿宋_GB2312" w:hAnsi="仿宋_GB2312" w:cs="仿宋_GB2312"/>
          <w:b/>
          <w:bCs/>
          <w:color w:val="000000" w:themeColor="text1"/>
          <w:szCs w:val="32"/>
          <w14:textFill>
            <w14:solidFill>
              <w14:schemeClr w14:val="tx1"/>
            </w14:solidFill>
          </w14:textFill>
        </w:rPr>
        <w:t>三是健全协同机制，构建校城融合长效发展生态。</w:t>
      </w:r>
      <w:r>
        <w:rPr>
          <w:rFonts w:ascii="仿宋_GB2312" w:hAnsi="仿宋_GB2312" w:cs="仿宋_GB2312"/>
          <w:color w:val="000000" w:themeColor="text1"/>
          <w:szCs w:val="32"/>
          <w14:textFill>
            <w14:solidFill>
              <w14:schemeClr w14:val="tx1"/>
            </w14:solidFill>
          </w14:textFill>
        </w:rPr>
        <w:t>完善校地常态化对接和协同推进机制，推动高校科研团队、创新项目和校友资源向</w:t>
      </w:r>
      <w:r>
        <w:rPr>
          <w:rFonts w:hint="eastAsia" w:ascii="仿宋_GB2312" w:hAnsi="仿宋_GB2312" w:cs="仿宋_GB2312"/>
          <w:color w:val="000000" w:themeColor="text1"/>
          <w:szCs w:val="32"/>
          <w14:textFill>
            <w14:solidFill>
              <w14:schemeClr w14:val="tx1"/>
            </w14:solidFill>
          </w14:textFill>
        </w:rPr>
        <w:t>城市</w:t>
      </w:r>
      <w:r>
        <w:rPr>
          <w:rFonts w:ascii="仿宋_GB2312" w:hAnsi="仿宋_GB2312" w:cs="仿宋_GB2312"/>
          <w:color w:val="000000" w:themeColor="text1"/>
          <w:szCs w:val="32"/>
          <w14:textFill>
            <w14:solidFill>
              <w14:schemeClr w14:val="tx1"/>
            </w14:solidFill>
          </w14:textFill>
        </w:rPr>
        <w:t>副中心集聚。强化人才引育、政策支持和空间保障，优化创新创业环境，支持高校人才在</w:t>
      </w:r>
      <w:r>
        <w:rPr>
          <w:rFonts w:hint="eastAsia" w:ascii="仿宋_GB2312" w:hAnsi="仿宋_GB2312" w:cs="仿宋_GB2312"/>
          <w:color w:val="000000" w:themeColor="text1"/>
          <w:szCs w:val="32"/>
          <w14:textFill>
            <w14:solidFill>
              <w14:schemeClr w14:val="tx1"/>
            </w14:solidFill>
          </w14:textFill>
        </w:rPr>
        <w:t>城市</w:t>
      </w:r>
      <w:r>
        <w:rPr>
          <w:rFonts w:ascii="仿宋_GB2312" w:hAnsi="仿宋_GB2312" w:cs="仿宋_GB2312"/>
          <w:color w:val="000000" w:themeColor="text1"/>
          <w:szCs w:val="32"/>
          <w14:textFill>
            <w14:solidFill>
              <w14:schemeClr w14:val="tx1"/>
            </w14:solidFill>
          </w14:textFill>
        </w:rPr>
        <w:t>副中心开展</w:t>
      </w:r>
      <w:r>
        <w:rPr>
          <w:rFonts w:hint="eastAsia" w:ascii="仿宋_GB2312" w:hAnsi="仿宋_GB2312" w:cs="仿宋_GB2312"/>
          <w:color w:val="000000" w:themeColor="text1"/>
          <w:szCs w:val="32"/>
          <w14:textFill>
            <w14:solidFill>
              <w14:schemeClr w14:val="tx1"/>
            </w14:solidFill>
          </w14:textFill>
        </w:rPr>
        <w:t>科技成果转化</w:t>
      </w:r>
      <w:r>
        <w:rPr>
          <w:rFonts w:ascii="仿宋_GB2312" w:hAnsi="仿宋_GB2312" w:cs="仿宋_GB2312"/>
          <w:color w:val="000000" w:themeColor="text1"/>
          <w:szCs w:val="32"/>
          <w14:textFill>
            <w14:solidFill>
              <w14:schemeClr w14:val="tx1"/>
            </w14:solidFill>
          </w14:textFill>
        </w:rPr>
        <w:t>。推动形成“高校赋能产业、产业反哺教育、城市承载创新”的协同发展格局，持续增强区域创新能力和产业发展动能。</w:t>
      </w:r>
      <w:bookmarkStart w:id="474" w:name="_Toc26876"/>
      <w:bookmarkStart w:id="475" w:name="_Toc30535"/>
      <w:bookmarkStart w:id="476" w:name="_Toc228193760"/>
      <w:bookmarkStart w:id="477" w:name="_Toc18483"/>
    </w:p>
    <w:p>
      <w:pPr>
        <w:pStyle w:val="3"/>
        <w:spacing w:before="0" w:after="0"/>
        <w:ind w:firstLine="0" w:firstLineChars="0"/>
        <w:jc w:val="center"/>
        <w:rPr>
          <w:rFonts w:hint="default" w:ascii="黑体" w:hAnsi="黑体" w:eastAsia="黑体" w:cs="黑体"/>
          <w:b w:val="0"/>
          <w:bCs w:val="0"/>
          <w:color w:val="000000" w:themeColor="text1"/>
          <w:sz w:val="32"/>
          <w:szCs w:val="32"/>
          <w14:textFill>
            <w14:solidFill>
              <w14:schemeClr w14:val="tx1"/>
            </w14:solidFill>
          </w14:textFill>
        </w:rPr>
      </w:pPr>
      <w:bookmarkStart w:id="478" w:name="_Toc18620"/>
      <w:r>
        <w:rPr>
          <w:rFonts w:hint="default" w:ascii="黑体" w:hAnsi="黑体" w:eastAsia="黑体" w:cs="黑体"/>
          <w:b w:val="0"/>
          <w:bCs w:val="0"/>
          <w:color w:val="000000" w:themeColor="text1"/>
          <w:sz w:val="32"/>
          <w:szCs w:val="32"/>
          <w14:textFill>
            <w14:solidFill>
              <w14:schemeClr w14:val="tx1"/>
            </w14:solidFill>
          </w14:textFill>
        </w:rPr>
        <w:t>第</w:t>
      </w:r>
      <w:r>
        <w:rPr>
          <w:rFonts w:ascii="黑体" w:hAnsi="黑体" w:eastAsia="黑体" w:cs="黑体"/>
          <w:b w:val="0"/>
          <w:bCs w:val="0"/>
          <w:color w:val="000000" w:themeColor="text1"/>
          <w:sz w:val="32"/>
          <w:szCs w:val="32"/>
          <w14:textFill>
            <w14:solidFill>
              <w14:schemeClr w14:val="tx1"/>
            </w14:solidFill>
          </w14:textFill>
        </w:rPr>
        <w:t>十七</w:t>
      </w:r>
      <w:r>
        <w:rPr>
          <w:rFonts w:hint="default" w:ascii="黑体" w:hAnsi="黑体" w:eastAsia="黑体" w:cs="黑体"/>
          <w:b w:val="0"/>
          <w:bCs w:val="0"/>
          <w:color w:val="000000" w:themeColor="text1"/>
          <w:sz w:val="32"/>
          <w:szCs w:val="32"/>
          <w14:textFill>
            <w14:solidFill>
              <w14:schemeClr w14:val="tx1"/>
            </w14:solidFill>
          </w14:textFill>
        </w:rPr>
        <w:t>章 场景牵引，赋能创新成果转化</w:t>
      </w:r>
      <w:bookmarkEnd w:id="474"/>
      <w:bookmarkEnd w:id="475"/>
      <w:bookmarkEnd w:id="476"/>
      <w:bookmarkEnd w:id="477"/>
      <w:bookmarkEnd w:id="478"/>
    </w:p>
    <w:p>
      <w:pPr>
        <w:widowControl/>
        <w:kinsoku w:val="0"/>
        <w:autoSpaceDE w:val="0"/>
        <w:autoSpaceDN w:val="0"/>
        <w:adjustRightInd w:val="0"/>
        <w:snapToGrid w:val="0"/>
        <w:ind w:firstLine="640"/>
        <w:textAlignment w:val="baseline"/>
        <w:outlineLvl w:val="2"/>
        <w:rPr>
          <w:rFonts w:ascii="黑体" w:hAnsi="黑体" w:eastAsia="黑体" w:cs="黑体"/>
          <w:color w:val="000000" w:themeColor="text1"/>
          <w:szCs w:val="32"/>
          <w14:textFill>
            <w14:solidFill>
              <w14:schemeClr w14:val="tx1"/>
            </w14:solidFill>
          </w14:textFill>
        </w:rPr>
      </w:pPr>
      <w:bookmarkStart w:id="479" w:name="_Toc18972"/>
      <w:bookmarkStart w:id="480" w:name="_Toc228193761"/>
      <w:bookmarkStart w:id="481" w:name="_Toc8937"/>
      <w:bookmarkStart w:id="482" w:name="_Toc21590"/>
      <w:bookmarkStart w:id="483" w:name="_Toc1930"/>
      <w:r>
        <w:rPr>
          <w:rFonts w:ascii="黑体" w:hAnsi="黑体" w:eastAsia="黑体" w:cs="黑体"/>
          <w:color w:val="000000" w:themeColor="text1"/>
          <w:szCs w:val="32"/>
          <w14:textFill>
            <w14:solidFill>
              <w14:schemeClr w14:val="tx1"/>
            </w14:solidFill>
          </w14:textFill>
        </w:rPr>
        <w:t>一、锚定重点方向，打造多元融合特色场景</w:t>
      </w:r>
      <w:bookmarkEnd w:id="479"/>
      <w:bookmarkEnd w:id="480"/>
      <w:bookmarkEnd w:id="481"/>
      <w:bookmarkEnd w:id="482"/>
      <w:bookmarkEnd w:id="483"/>
    </w:p>
    <w:p>
      <w:pPr>
        <w:tabs>
          <w:tab w:val="left" w:pos="720"/>
        </w:tabs>
        <w:ind w:firstLine="640"/>
        <w:rPr>
          <w:rFonts w:ascii="仿宋_GB2312" w:hAnsi="仿宋_GB2312" w:cs="仿宋_GB2312"/>
          <w:color w:val="000000" w:themeColor="text1"/>
          <w:szCs w:val="32"/>
          <w14:textFill>
            <w14:solidFill>
              <w14:schemeClr w14:val="tx1"/>
            </w14:solidFill>
          </w14:textFill>
        </w:rPr>
      </w:pPr>
      <w:r>
        <w:rPr>
          <w:rFonts w:ascii="仿宋_GB2312" w:hAnsi="仿宋_GB2312" w:cs="仿宋_GB2312"/>
          <w:color w:val="000000" w:themeColor="text1"/>
          <w:szCs w:val="32"/>
          <w:lang w:bidi="ar"/>
          <w14:textFill>
            <w14:solidFill>
              <w14:schemeClr w14:val="tx1"/>
            </w14:solidFill>
          </w14:textFill>
        </w:rPr>
        <w:t>围绕未来产业发展和城市建设需求，聚焦未来信息、智能制造、绿色低碳、文旅消费、数字金融、智慧农业、医药健康七大核心领域，分类打造技术验证型、产品落地型、模式推广型典型应用场景，构建</w:t>
      </w:r>
      <w:r>
        <w:rPr>
          <w:rFonts w:hint="eastAsia" w:ascii="仿宋_GB2312" w:hAnsi="仿宋_GB2312" w:cs="仿宋_GB2312"/>
          <w:color w:val="000000" w:themeColor="text1"/>
          <w:szCs w:val="32"/>
          <w:lang w:bidi="ar"/>
          <w14:textFill>
            <w14:solidFill>
              <w14:schemeClr w14:val="tx1"/>
            </w14:solidFill>
          </w14:textFill>
        </w:rPr>
        <w:t>“场景带动产业、产品嵌入场景”</w:t>
      </w:r>
      <w:r>
        <w:rPr>
          <w:rFonts w:ascii="仿宋_GB2312" w:hAnsi="仿宋_GB2312" w:cs="仿宋_GB2312"/>
          <w:color w:val="000000" w:themeColor="text1"/>
          <w:szCs w:val="32"/>
          <w:lang w:bidi="ar"/>
          <w14:textFill>
            <w14:solidFill>
              <w14:schemeClr w14:val="tx1"/>
            </w14:solidFill>
          </w14:textFill>
        </w:rPr>
        <w:t>的良性互动格局。</w:t>
      </w:r>
    </w:p>
    <w:p>
      <w:pPr>
        <w:widowControl/>
        <w:kinsoku w:val="0"/>
        <w:autoSpaceDE w:val="0"/>
        <w:autoSpaceDN w:val="0"/>
        <w:adjustRightInd w:val="0"/>
        <w:snapToGrid w:val="0"/>
        <w:ind w:firstLine="640"/>
        <w:textAlignment w:val="baseline"/>
        <w:outlineLvl w:val="2"/>
        <w:rPr>
          <w:rFonts w:ascii="黑体" w:hAnsi="黑体" w:eastAsia="黑体" w:cs="黑体"/>
          <w:color w:val="000000" w:themeColor="text1"/>
          <w:szCs w:val="32"/>
          <w14:textFill>
            <w14:solidFill>
              <w14:schemeClr w14:val="tx1"/>
            </w14:solidFill>
          </w14:textFill>
        </w:rPr>
      </w:pPr>
      <w:bookmarkStart w:id="484" w:name="_Toc30612"/>
      <w:bookmarkStart w:id="485" w:name="_Toc28596"/>
      <w:bookmarkStart w:id="486" w:name="_Toc11413"/>
      <w:bookmarkStart w:id="487" w:name="_Toc228193762"/>
      <w:bookmarkStart w:id="488" w:name="_Toc10543"/>
      <w:r>
        <w:rPr>
          <w:rFonts w:ascii="黑体" w:hAnsi="黑体" w:eastAsia="黑体" w:cs="黑体"/>
          <w:color w:val="000000" w:themeColor="text1"/>
          <w:szCs w:val="32"/>
          <w14:textFill>
            <w14:solidFill>
              <w14:schemeClr w14:val="tx1"/>
            </w14:solidFill>
          </w14:textFill>
        </w:rPr>
        <w:t>二、打通供需链路，构建场景成果转化机制</w:t>
      </w:r>
      <w:bookmarkEnd w:id="484"/>
      <w:bookmarkEnd w:id="485"/>
      <w:bookmarkEnd w:id="486"/>
      <w:bookmarkEnd w:id="487"/>
      <w:bookmarkEnd w:id="488"/>
    </w:p>
    <w:p>
      <w:pPr>
        <w:tabs>
          <w:tab w:val="left" w:pos="720"/>
        </w:tabs>
        <w:ind w:firstLine="643"/>
        <w:rPr>
          <w:rFonts w:ascii="仿宋_GB2312" w:hAnsi="仿宋_GB2312" w:cs="仿宋_GB2312"/>
          <w:color w:val="000000" w:themeColor="text1"/>
          <w:szCs w:val="32"/>
          <w14:textFill>
            <w14:solidFill>
              <w14:schemeClr w14:val="tx1"/>
            </w14:solidFill>
          </w14:textFill>
        </w:rPr>
      </w:pPr>
      <w:r>
        <w:rPr>
          <w:rFonts w:ascii="仿宋_GB2312" w:hAnsi="仿宋_GB2312" w:cs="仿宋_GB2312"/>
          <w:b/>
          <w:bCs/>
          <w:color w:val="000000" w:themeColor="text1"/>
          <w:szCs w:val="32"/>
          <w:lang w:bidi="ar"/>
          <w14:textFill>
            <w14:solidFill>
              <w14:schemeClr w14:val="tx1"/>
            </w14:solidFill>
          </w14:textFill>
        </w:rPr>
        <w:t>一是建立全流程对接机制。</w:t>
      </w:r>
      <w:r>
        <w:rPr>
          <w:rFonts w:ascii="仿宋_GB2312" w:hAnsi="仿宋_GB2312" w:cs="仿宋_GB2312"/>
          <w:color w:val="000000" w:themeColor="text1"/>
          <w:szCs w:val="32"/>
          <w:lang w:bidi="ar"/>
          <w14:textFill>
            <w14:solidFill>
              <w14:schemeClr w14:val="tx1"/>
            </w14:solidFill>
          </w14:textFill>
        </w:rPr>
        <w:t>构建场景发布</w:t>
      </w:r>
      <w:r>
        <w:rPr>
          <w:rFonts w:hint="eastAsia" w:ascii="仿宋_GB2312" w:hAnsi="仿宋_GB2312" w:cs="仿宋_GB2312"/>
          <w:color w:val="000000" w:themeColor="text1"/>
          <w:szCs w:val="32"/>
          <w:lang w:eastAsia="zh" w:bidi="ar"/>
          <w14:textFill>
            <w14:solidFill>
              <w14:schemeClr w14:val="tx1"/>
            </w14:solidFill>
          </w14:textFill>
        </w:rPr>
        <w:t>、</w:t>
      </w:r>
      <w:r>
        <w:rPr>
          <w:rFonts w:ascii="仿宋_GB2312" w:hAnsi="仿宋_GB2312" w:cs="仿宋_GB2312"/>
          <w:color w:val="000000" w:themeColor="text1"/>
          <w:szCs w:val="32"/>
          <w:lang w:bidi="ar"/>
          <w14:textFill>
            <w14:solidFill>
              <w14:schemeClr w14:val="tx1"/>
            </w14:solidFill>
          </w14:textFill>
        </w:rPr>
        <w:t>企业响应</w:t>
      </w:r>
      <w:r>
        <w:rPr>
          <w:rFonts w:hint="eastAsia" w:ascii="仿宋_GB2312" w:hAnsi="仿宋_GB2312" w:cs="仿宋_GB2312"/>
          <w:color w:val="000000" w:themeColor="text1"/>
          <w:szCs w:val="32"/>
          <w:lang w:eastAsia="zh" w:bidi="ar"/>
          <w14:textFill>
            <w14:solidFill>
              <w14:schemeClr w14:val="tx1"/>
            </w14:solidFill>
          </w14:textFill>
        </w:rPr>
        <w:t>、</w:t>
      </w:r>
      <w:r>
        <w:rPr>
          <w:rFonts w:ascii="仿宋_GB2312" w:hAnsi="仿宋_GB2312" w:cs="仿宋_GB2312"/>
          <w:color w:val="000000" w:themeColor="text1"/>
          <w:szCs w:val="32"/>
          <w:lang w:bidi="ar"/>
          <w14:textFill>
            <w14:solidFill>
              <w14:schemeClr w14:val="tx1"/>
            </w14:solidFill>
          </w14:textFill>
        </w:rPr>
        <w:t>试点示范</w:t>
      </w:r>
      <w:r>
        <w:rPr>
          <w:rFonts w:hint="eastAsia" w:ascii="仿宋_GB2312" w:hAnsi="仿宋_GB2312" w:cs="仿宋_GB2312"/>
          <w:color w:val="000000" w:themeColor="text1"/>
          <w:szCs w:val="32"/>
          <w:lang w:eastAsia="zh" w:bidi="ar"/>
          <w14:textFill>
            <w14:solidFill>
              <w14:schemeClr w14:val="tx1"/>
            </w14:solidFill>
          </w14:textFill>
        </w:rPr>
        <w:t>、成</w:t>
      </w:r>
      <w:r>
        <w:rPr>
          <w:rFonts w:ascii="仿宋_GB2312" w:hAnsi="仿宋_GB2312" w:cs="仿宋_GB2312"/>
          <w:color w:val="000000" w:themeColor="text1"/>
          <w:szCs w:val="32"/>
          <w:lang w:bidi="ar"/>
          <w14:textFill>
            <w14:solidFill>
              <w14:schemeClr w14:val="tx1"/>
            </w14:solidFill>
          </w14:textFill>
        </w:rPr>
        <w:t>果转化闭环链路，定期梳理发布城市建设、产业发展、民生服务中的场景需求清单，引导企业精准对接、定制研发，推动技术解决方案从</w:t>
      </w:r>
      <w:r>
        <w:rPr>
          <w:rFonts w:hint="eastAsia" w:ascii="仿宋_GB2312" w:hAnsi="仿宋_GB2312" w:cs="仿宋_GB2312"/>
          <w:color w:val="000000" w:themeColor="text1"/>
          <w:szCs w:val="32"/>
          <w:lang w:bidi="ar"/>
          <w14:textFill>
            <w14:solidFill>
              <w14:schemeClr w14:val="tx1"/>
            </w14:solidFill>
          </w14:textFill>
        </w:rPr>
        <w:t>示范展示</w:t>
      </w:r>
      <w:r>
        <w:rPr>
          <w:rFonts w:ascii="仿宋_GB2312" w:hAnsi="仿宋_GB2312" w:cs="仿宋_GB2312"/>
          <w:color w:val="000000" w:themeColor="text1"/>
          <w:szCs w:val="32"/>
          <w:lang w:bidi="ar"/>
          <w14:textFill>
            <w14:solidFill>
              <w14:schemeClr w14:val="tx1"/>
            </w14:solidFill>
          </w14:textFill>
        </w:rPr>
        <w:t>向</w:t>
      </w:r>
      <w:r>
        <w:rPr>
          <w:rFonts w:hint="eastAsia" w:ascii="仿宋_GB2312" w:hAnsi="仿宋_GB2312" w:cs="仿宋_GB2312"/>
          <w:color w:val="000000" w:themeColor="text1"/>
          <w:szCs w:val="32"/>
          <w:lang w:bidi="ar"/>
          <w14:textFill>
            <w14:solidFill>
              <w14:schemeClr w14:val="tx1"/>
            </w14:solidFill>
          </w14:textFill>
        </w:rPr>
        <w:t>真实应用</w:t>
      </w:r>
      <w:r>
        <w:rPr>
          <w:rFonts w:ascii="仿宋_GB2312" w:hAnsi="仿宋_GB2312" w:cs="仿宋_GB2312"/>
          <w:color w:val="000000" w:themeColor="text1"/>
          <w:szCs w:val="32"/>
          <w:lang w:bidi="ar"/>
          <w14:textFill>
            <w14:solidFill>
              <w14:schemeClr w14:val="tx1"/>
            </w14:solidFill>
          </w14:textFill>
        </w:rPr>
        <w:t>跃升。</w:t>
      </w:r>
      <w:r>
        <w:rPr>
          <w:rFonts w:hint="eastAsia" w:ascii="仿宋_GB2312" w:hAnsi="仿宋_GB2312" w:cs="仿宋_GB2312"/>
          <w:color w:val="000000" w:themeColor="text1"/>
          <w:szCs w:val="32"/>
          <w:lang w:bidi="ar"/>
          <w14:textFill>
            <w14:solidFill>
              <w14:schemeClr w14:val="tx1"/>
            </w14:solidFill>
          </w14:textFill>
        </w:rPr>
        <w:t>树立场景应用示范项目，实现企业创新成果的“研发－试验－应用”全过程场景谋划与共享，打造特色品牌，助力企业拓展市场空间。</w:t>
      </w:r>
    </w:p>
    <w:p>
      <w:pPr>
        <w:tabs>
          <w:tab w:val="left" w:pos="720"/>
        </w:tabs>
        <w:ind w:firstLine="643"/>
        <w:rPr>
          <w:rFonts w:ascii="仿宋_GB2312" w:hAnsi="仿宋_GB2312" w:cs="仿宋_GB2312"/>
          <w:color w:val="000000" w:themeColor="text1"/>
          <w:szCs w:val="32"/>
          <w14:textFill>
            <w14:solidFill>
              <w14:schemeClr w14:val="tx1"/>
            </w14:solidFill>
          </w14:textFill>
        </w:rPr>
      </w:pPr>
      <w:r>
        <w:rPr>
          <w:rFonts w:ascii="仿宋_GB2312" w:hAnsi="仿宋_GB2312" w:cs="仿宋_GB2312"/>
          <w:b/>
          <w:bCs/>
          <w:color w:val="000000" w:themeColor="text1"/>
          <w:szCs w:val="32"/>
          <w:lang w:bidi="ar"/>
          <w14:textFill>
            <w14:solidFill>
              <w14:schemeClr w14:val="tx1"/>
            </w14:solidFill>
          </w14:textFill>
        </w:rPr>
        <w:t>二是强化龙头企业牵引作用。</w:t>
      </w:r>
      <w:r>
        <w:rPr>
          <w:rFonts w:ascii="仿宋_GB2312" w:hAnsi="仿宋_GB2312" w:cs="仿宋_GB2312"/>
          <w:color w:val="000000" w:themeColor="text1"/>
          <w:szCs w:val="32"/>
          <w:lang w:bidi="ar"/>
          <w14:textFill>
            <w14:solidFill>
              <w14:schemeClr w14:val="tx1"/>
            </w14:solidFill>
          </w14:textFill>
        </w:rPr>
        <w:t>依托龙头企业开放应用场景、政务数据和平台接口，搭建产业链协同创新平台，引导中小科技企业围绕产业链关键环节开展集成创新、配套研发，形成</w:t>
      </w:r>
      <w:r>
        <w:rPr>
          <w:rFonts w:hint="eastAsia" w:ascii="仿宋_GB2312" w:hAnsi="仿宋_GB2312" w:cs="仿宋_GB2312"/>
          <w:color w:val="000000" w:themeColor="text1"/>
          <w:szCs w:val="32"/>
          <w:lang w:bidi="ar"/>
          <w14:textFill>
            <w14:solidFill>
              <w14:schemeClr w14:val="tx1"/>
            </w14:solidFill>
          </w14:textFill>
        </w:rPr>
        <w:t>“龙头引领、中小协同、场景赋能、共同发展”</w:t>
      </w:r>
      <w:r>
        <w:rPr>
          <w:rFonts w:ascii="仿宋_GB2312" w:hAnsi="仿宋_GB2312" w:cs="仿宋_GB2312"/>
          <w:color w:val="000000" w:themeColor="text1"/>
          <w:szCs w:val="32"/>
          <w:lang w:bidi="ar"/>
          <w14:textFill>
            <w14:solidFill>
              <w14:schemeClr w14:val="tx1"/>
            </w14:solidFill>
          </w14:textFill>
        </w:rPr>
        <w:t>的产业格局。</w:t>
      </w:r>
    </w:p>
    <w:p>
      <w:pPr>
        <w:tabs>
          <w:tab w:val="left" w:pos="720"/>
        </w:tabs>
        <w:ind w:firstLine="643"/>
        <w:rPr>
          <w:rFonts w:ascii="仿宋_GB2312" w:hAnsi="仿宋_GB2312" w:cs="仿宋_GB2312"/>
          <w:color w:val="000000" w:themeColor="text1"/>
          <w:szCs w:val="32"/>
          <w14:textFill>
            <w14:solidFill>
              <w14:schemeClr w14:val="tx1"/>
            </w14:solidFill>
          </w14:textFill>
        </w:rPr>
      </w:pPr>
      <w:r>
        <w:rPr>
          <w:rFonts w:ascii="仿宋_GB2312" w:hAnsi="仿宋_GB2312" w:cs="仿宋_GB2312"/>
          <w:b/>
          <w:bCs/>
          <w:color w:val="000000" w:themeColor="text1"/>
          <w:szCs w:val="32"/>
          <w:lang w:bidi="ar"/>
          <w14:textFill>
            <w14:solidFill>
              <w14:schemeClr w14:val="tx1"/>
            </w14:solidFill>
          </w14:textFill>
        </w:rPr>
        <w:t>三是推行场景揭榜攻关模式。</w:t>
      </w:r>
      <w:r>
        <w:rPr>
          <w:rFonts w:ascii="仿宋_GB2312" w:hAnsi="仿宋_GB2312" w:cs="仿宋_GB2312"/>
          <w:color w:val="000000" w:themeColor="text1"/>
          <w:szCs w:val="32"/>
          <w:lang w:bidi="ar"/>
          <w14:textFill>
            <w14:solidFill>
              <w14:schemeClr w14:val="tx1"/>
            </w14:solidFill>
          </w14:textFill>
        </w:rPr>
        <w:t>建立</w:t>
      </w:r>
      <w:r>
        <w:rPr>
          <w:rFonts w:hint="eastAsia" w:ascii="仿宋_GB2312" w:hAnsi="仿宋_GB2312" w:cs="仿宋_GB2312"/>
          <w:color w:val="000000" w:themeColor="text1"/>
          <w:szCs w:val="32"/>
          <w:lang w:bidi="ar"/>
          <w14:textFill>
            <w14:solidFill>
              <w14:schemeClr w14:val="tx1"/>
            </w14:solidFill>
          </w14:textFill>
        </w:rPr>
        <w:t>“场景揭榜”</w:t>
      </w:r>
      <w:r>
        <w:rPr>
          <w:rFonts w:ascii="仿宋_GB2312" w:hAnsi="仿宋_GB2312" w:cs="仿宋_GB2312"/>
          <w:color w:val="000000" w:themeColor="text1"/>
          <w:szCs w:val="32"/>
          <w:lang w:bidi="ar"/>
          <w14:textFill>
            <w14:solidFill>
              <w14:schemeClr w14:val="tx1"/>
            </w14:solidFill>
          </w14:textFill>
        </w:rPr>
        <w:t>机制，围绕数字经济、智能制造、城市治理等重点领域的痛点难点问题，发布场景攻关榜单，鼓励企业联合高校、科研院所开展技术攻关，推动技术成果与应用需求双向精准对接。</w:t>
      </w:r>
      <w:r>
        <w:rPr>
          <w:rFonts w:hint="eastAsia" w:ascii="仿宋_GB2312" w:hAnsi="仿宋_GB2312" w:cs="仿宋_GB2312"/>
          <w:color w:val="000000" w:themeColor="text1"/>
          <w:szCs w:val="32"/>
          <w:lang w:bidi="ar"/>
          <w14:textFill>
            <w14:solidFill>
              <w14:schemeClr w14:val="tx1"/>
            </w14:solidFill>
          </w14:textFill>
        </w:rPr>
        <w:t>聚焦信创、网络安全企业等，释放网络安全防护、信息数据安全防护、信创替代等场景机会。</w:t>
      </w:r>
    </w:p>
    <w:p>
      <w:pPr>
        <w:widowControl/>
        <w:kinsoku w:val="0"/>
        <w:autoSpaceDE w:val="0"/>
        <w:autoSpaceDN w:val="0"/>
        <w:adjustRightInd w:val="0"/>
        <w:snapToGrid w:val="0"/>
        <w:ind w:firstLine="640"/>
        <w:textAlignment w:val="baseline"/>
        <w:outlineLvl w:val="2"/>
        <w:rPr>
          <w:rFonts w:ascii="黑体" w:hAnsi="黑体" w:eastAsia="黑体" w:cs="黑体"/>
          <w:color w:val="000000" w:themeColor="text1"/>
          <w:szCs w:val="32"/>
          <w14:textFill>
            <w14:solidFill>
              <w14:schemeClr w14:val="tx1"/>
            </w14:solidFill>
          </w14:textFill>
        </w:rPr>
      </w:pPr>
      <w:bookmarkStart w:id="489" w:name="_Toc14286"/>
      <w:bookmarkStart w:id="490" w:name="_Toc228193763"/>
      <w:bookmarkStart w:id="491" w:name="_Toc12208"/>
      <w:bookmarkStart w:id="492" w:name="_Toc12184"/>
      <w:bookmarkStart w:id="493" w:name="_Toc31810"/>
      <w:r>
        <w:rPr>
          <w:rFonts w:ascii="黑体" w:hAnsi="黑体" w:eastAsia="黑体" w:cs="黑体"/>
          <w:color w:val="000000" w:themeColor="text1"/>
          <w:szCs w:val="32"/>
          <w14:textFill>
            <w14:solidFill>
              <w14:schemeClr w14:val="tx1"/>
            </w14:solidFill>
          </w14:textFill>
        </w:rPr>
        <w:t>三、完善支撑体系，培育场景协同发展生态</w:t>
      </w:r>
      <w:bookmarkEnd w:id="489"/>
      <w:bookmarkEnd w:id="490"/>
      <w:bookmarkEnd w:id="491"/>
      <w:bookmarkEnd w:id="492"/>
      <w:bookmarkEnd w:id="493"/>
    </w:p>
    <w:p>
      <w:pPr>
        <w:tabs>
          <w:tab w:val="left" w:pos="720"/>
        </w:tabs>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一</w:t>
      </w:r>
      <w:r>
        <w:rPr>
          <w:rFonts w:ascii="仿宋_GB2312" w:hAnsi="仿宋_GB2312" w:cs="仿宋_GB2312"/>
          <w:b/>
          <w:bCs/>
          <w:color w:val="000000" w:themeColor="text1"/>
          <w:szCs w:val="32"/>
          <w:lang w:bidi="ar"/>
          <w14:textFill>
            <w14:solidFill>
              <w14:schemeClr w14:val="tx1"/>
            </w14:solidFill>
          </w14:textFill>
        </w:rPr>
        <w:t>是搭建智能对接平台。</w:t>
      </w:r>
      <w:r>
        <w:rPr>
          <w:rFonts w:ascii="仿宋_GB2312" w:hAnsi="仿宋_GB2312" w:cs="仿宋_GB2312"/>
          <w:color w:val="000000" w:themeColor="text1"/>
          <w:szCs w:val="32"/>
          <w:lang w:bidi="ar"/>
          <w14:textFill>
            <w14:solidFill>
              <w14:schemeClr w14:val="tx1"/>
            </w14:solidFill>
          </w14:textFill>
        </w:rPr>
        <w:t>整合场景需求、技术成果、企业资源等信息，建设企业间</w:t>
      </w:r>
      <w:r>
        <w:rPr>
          <w:rFonts w:hint="eastAsia" w:ascii="仿宋_GB2312" w:hAnsi="仿宋_GB2312" w:cs="仿宋_GB2312"/>
          <w:color w:val="000000" w:themeColor="text1"/>
          <w:szCs w:val="32"/>
          <w:lang w:bidi="ar"/>
          <w14:textFill>
            <w14:solidFill>
              <w14:schemeClr w14:val="tx1"/>
            </w14:solidFill>
          </w14:textFill>
        </w:rPr>
        <w:t>“智能匹配、快速响应、深度协同”</w:t>
      </w:r>
      <w:r>
        <w:rPr>
          <w:rFonts w:ascii="仿宋_GB2312" w:hAnsi="仿宋_GB2312" w:cs="仿宋_GB2312"/>
          <w:color w:val="000000" w:themeColor="text1"/>
          <w:szCs w:val="32"/>
          <w:lang w:bidi="ar"/>
          <w14:textFill>
            <w14:solidFill>
              <w14:schemeClr w14:val="tx1"/>
            </w14:solidFill>
          </w14:textFill>
        </w:rPr>
        <w:t>的场景对接平台，实现供需信息精准匹配、高效对接，提升场景落地效率。</w:t>
      </w:r>
      <w:r>
        <w:rPr>
          <w:rFonts w:hint="eastAsia" w:ascii="仿宋_GB2312" w:hAnsi="仿宋_GB2312" w:cs="仿宋_GB2312"/>
          <w:color w:val="000000" w:themeColor="text1"/>
          <w:szCs w:val="32"/>
          <w:lang w:bidi="ar"/>
          <w14:textFill>
            <w14:solidFill>
              <w14:schemeClr w14:val="tx1"/>
            </w14:solidFill>
          </w14:textFill>
        </w:rPr>
        <w:t>以场景创新串联科创资源与产业集群，从场景机会与能力双向出发，组织供需对接，为城市副中心企业拓场景、引项目，加速企业发展和产业集聚。</w:t>
      </w:r>
    </w:p>
    <w:p>
      <w:pPr>
        <w:tabs>
          <w:tab w:val="left" w:pos="720"/>
        </w:tabs>
        <w:ind w:firstLine="643"/>
        <w:rPr>
          <w:rFonts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二</w:t>
      </w:r>
      <w:r>
        <w:rPr>
          <w:rFonts w:ascii="仿宋_GB2312" w:hAnsi="仿宋_GB2312" w:cs="仿宋_GB2312"/>
          <w:b/>
          <w:bCs/>
          <w:color w:val="000000" w:themeColor="text1"/>
          <w:szCs w:val="32"/>
          <w:lang w:bidi="ar"/>
          <w14:textFill>
            <w14:solidFill>
              <w14:schemeClr w14:val="tx1"/>
            </w14:solidFill>
          </w14:textFill>
        </w:rPr>
        <w:t>是推动园区场景先行试点。</w:t>
      </w:r>
      <w:r>
        <w:rPr>
          <w:rFonts w:ascii="仿宋_GB2312" w:hAnsi="仿宋_GB2312" w:cs="仿宋_GB2312"/>
          <w:color w:val="000000" w:themeColor="text1"/>
          <w:szCs w:val="32"/>
          <w:lang w:bidi="ar"/>
          <w14:textFill>
            <w14:solidFill>
              <w14:schemeClr w14:val="tx1"/>
            </w14:solidFill>
          </w14:textFill>
        </w:rPr>
        <w:t>支持产业园区、重点楼宇率先开放应用场景，打造场景创新试点，推动产业链上下游企业在试点场景中开展联合测试、联合推广、联合拓展，形成可复制、可推广的场景建设经验。</w:t>
      </w:r>
    </w:p>
    <w:p>
      <w:pPr>
        <w:tabs>
          <w:tab w:val="left" w:pos="720"/>
        </w:tabs>
        <w:ind w:firstLine="643"/>
        <w:rPr>
          <w:rFonts w:hint="eastAsia" w:ascii="仿宋_GB2312" w:hAnsi="仿宋_GB2312" w:cs="仿宋_GB2312"/>
          <w:color w:val="000000" w:themeColor="text1"/>
          <w:szCs w:val="32"/>
          <w:lang w:bidi="ar"/>
          <w14:textFill>
            <w14:solidFill>
              <w14:schemeClr w14:val="tx1"/>
            </w14:solidFill>
          </w14:textFill>
        </w:rPr>
      </w:pPr>
      <w:r>
        <w:rPr>
          <w:rFonts w:hint="eastAsia" w:ascii="仿宋_GB2312" w:hAnsi="仿宋_GB2312" w:cs="仿宋_GB2312"/>
          <w:b/>
          <w:bCs/>
          <w:color w:val="000000" w:themeColor="text1"/>
          <w:szCs w:val="32"/>
          <w:lang w:bidi="ar"/>
          <w14:textFill>
            <w14:solidFill>
              <w14:schemeClr w14:val="tx1"/>
            </w14:solidFill>
          </w14:textFill>
        </w:rPr>
        <w:t>三是释放全域场景机会</w:t>
      </w:r>
      <w:r>
        <w:rPr>
          <w:rFonts w:hint="eastAsia" w:ascii="仿宋_GB2312" w:hAnsi="仿宋_GB2312" w:cs="仿宋_GB2312"/>
          <w:color w:val="000000" w:themeColor="text1"/>
          <w:szCs w:val="32"/>
          <w:lang w:bidi="ar"/>
          <w14:textFill>
            <w14:solidFill>
              <w14:schemeClr w14:val="tx1"/>
            </w14:solidFill>
          </w14:textFill>
        </w:rPr>
        <w:t>。率先开放一批公共服务、基础设施、社会治理等领域的应用场景，形成示范性强、带动效应大的场景清单，营造公平开放的市场环境。动员全社会主体参与，为数字经济、先进制造、绿色建筑、网络安全等产业创新技术产品提供验证应用机会，开放城市副中心公共空间，为企业新技术、新产品提供应用空间。鼓励国有资本与社会资本积极参与场景建设，为场景项目提供资金保障，促进创新型中小企业成长壮大。</w:t>
      </w:r>
    </w:p>
    <w:p>
      <w:pPr>
        <w:pStyle w:val="3"/>
        <w:keepNext w:val="0"/>
        <w:keepLines w:val="0"/>
        <w:widowControl/>
        <w:shd w:val="clear" w:color="auto" w:fill="FFFFFF" w:themeFill="background1"/>
        <w:tabs>
          <w:tab w:val="left" w:pos="0"/>
        </w:tabs>
        <w:topLinePunct/>
        <w:adjustRightInd w:val="0"/>
        <w:snapToGrid w:val="0"/>
        <w:spacing w:before="0" w:after="0"/>
        <w:ind w:firstLine="0" w:firstLineChars="0"/>
        <w:jc w:val="center"/>
        <w:textAlignment w:val="baseline"/>
        <w:rPr>
          <w:rFonts w:hint="default" w:ascii="黑体" w:hAnsi="黑体" w:eastAsia="黑体" w:cs="黑体"/>
          <w:b w:val="0"/>
          <w:bCs w:val="0"/>
          <w:color w:val="000000" w:themeColor="text1"/>
          <w:sz w:val="32"/>
          <w:szCs w:val="32"/>
          <w14:textFill>
            <w14:solidFill>
              <w14:schemeClr w14:val="tx1"/>
            </w14:solidFill>
          </w14:textFill>
        </w:rPr>
      </w:pPr>
      <w:bookmarkStart w:id="567" w:name="_GoBack"/>
      <w:bookmarkEnd w:id="567"/>
      <w:bookmarkStart w:id="494" w:name="_Toc228193764"/>
      <w:bookmarkStart w:id="495" w:name="_Toc19569"/>
      <w:bookmarkStart w:id="496" w:name="_Toc30789"/>
      <w:bookmarkStart w:id="497" w:name="_Toc9327"/>
      <w:r>
        <w:rPr>
          <w:rFonts w:ascii="黑体" w:hAnsi="黑体" w:eastAsia="黑体" w:cs="黑体"/>
          <w:b w:val="0"/>
          <w:bCs w:val="0"/>
          <w:color w:val="000000" w:themeColor="text1"/>
          <w:sz w:val="32"/>
          <w:szCs w:val="32"/>
          <w14:textFill>
            <w14:solidFill>
              <w14:schemeClr w14:val="tx1"/>
            </w14:solidFill>
          </w14:textFill>
        </w:rPr>
        <w:t xml:space="preserve">第十八章 </w:t>
      </w:r>
      <w:bookmarkEnd w:id="494"/>
      <w:bookmarkEnd w:id="495"/>
      <w:bookmarkEnd w:id="496"/>
      <w:r>
        <w:rPr>
          <w:rFonts w:hint="eastAsia" w:ascii="黑体" w:hAnsi="黑体" w:eastAsia="黑体" w:cs="黑体"/>
          <w:b w:val="0"/>
          <w:bCs w:val="0"/>
          <w:color w:val="000000" w:themeColor="text1"/>
          <w:sz w:val="32"/>
          <w:szCs w:val="32"/>
          <w14:textFill>
            <w14:solidFill>
              <w14:schemeClr w14:val="tx1"/>
            </w14:solidFill>
          </w14:textFill>
        </w:rPr>
        <w:t>深化服务</w:t>
      </w:r>
      <w:r>
        <w:rPr>
          <w:rFonts w:hint="eastAsia" w:ascii="黑体" w:hAnsi="黑体" w:eastAsia="黑体" w:cs="黑体"/>
          <w:b w:val="0"/>
          <w:bCs w:val="0"/>
          <w:color w:val="000000" w:themeColor="text1"/>
          <w:sz w:val="32"/>
          <w:szCs w:val="32"/>
          <w:lang w:val="en-US" w:eastAsia="zh-CN"/>
          <w14:textFill>
            <w14:solidFill>
              <w14:schemeClr w14:val="tx1"/>
            </w14:solidFill>
          </w14:textFill>
        </w:rPr>
        <w:t>，</w:t>
      </w:r>
      <w:r>
        <w:rPr>
          <w:rFonts w:hint="eastAsia" w:ascii="黑体" w:hAnsi="黑体" w:eastAsia="黑体" w:cs="黑体"/>
          <w:b w:val="0"/>
          <w:bCs w:val="0"/>
          <w:color w:val="000000" w:themeColor="text1"/>
          <w:sz w:val="32"/>
          <w:szCs w:val="32"/>
          <w14:textFill>
            <w14:solidFill>
              <w14:schemeClr w14:val="tx1"/>
            </w14:solidFill>
          </w14:textFill>
        </w:rPr>
        <w:t>精准靶向促增量</w:t>
      </w:r>
      <w:bookmarkEnd w:id="497"/>
    </w:p>
    <w:p>
      <w:pPr>
        <w:widowControl/>
        <w:kinsoku w:val="0"/>
        <w:autoSpaceDE w:val="0"/>
        <w:autoSpaceDN w:val="0"/>
        <w:adjustRightInd w:val="0"/>
        <w:snapToGrid w:val="0"/>
        <w:ind w:firstLine="640"/>
        <w:textAlignment w:val="baseline"/>
        <w:outlineLvl w:val="2"/>
        <w:rPr>
          <w:rFonts w:ascii="黑体" w:hAnsi="黑体" w:eastAsia="黑体" w:cs="黑体"/>
          <w:color w:val="000000" w:themeColor="text1"/>
          <w:szCs w:val="32"/>
          <w14:textFill>
            <w14:solidFill>
              <w14:schemeClr w14:val="tx1"/>
            </w14:solidFill>
          </w14:textFill>
        </w:rPr>
      </w:pPr>
      <w:bookmarkStart w:id="498" w:name="_Toc228193767"/>
      <w:bookmarkStart w:id="499" w:name="_Toc24279"/>
      <w:bookmarkStart w:id="500" w:name="_Toc7193"/>
      <w:bookmarkStart w:id="501" w:name="_Toc11114"/>
      <w:r>
        <w:rPr>
          <w:rFonts w:hint="eastAsia" w:ascii="黑体" w:hAnsi="黑体" w:eastAsia="黑体" w:cs="黑体"/>
          <w:color w:val="000000" w:themeColor="text1"/>
          <w:szCs w:val="32"/>
          <w:lang w:val="en-US" w:eastAsia="zh-CN"/>
          <w14:textFill>
            <w14:solidFill>
              <w14:schemeClr w14:val="tx1"/>
            </w14:solidFill>
          </w14:textFill>
        </w:rPr>
        <w:t>一</w:t>
      </w:r>
      <w:r>
        <w:rPr>
          <w:rFonts w:ascii="黑体" w:hAnsi="黑体" w:eastAsia="黑体" w:cs="黑体"/>
          <w:color w:val="000000" w:themeColor="text1"/>
          <w:szCs w:val="32"/>
          <w14:textFill>
            <w14:solidFill>
              <w14:schemeClr w14:val="tx1"/>
            </w14:solidFill>
          </w14:textFill>
        </w:rPr>
        <w:t>、</w:t>
      </w:r>
      <w:r>
        <w:rPr>
          <w:rFonts w:hint="eastAsia" w:ascii="黑体" w:hAnsi="黑体" w:eastAsia="黑体" w:cs="黑体"/>
          <w:color w:val="000000" w:themeColor="text1"/>
          <w:szCs w:val="32"/>
          <w14:textFill>
            <w14:solidFill>
              <w14:schemeClr w14:val="tx1"/>
            </w14:solidFill>
          </w14:textFill>
        </w:rPr>
        <w:t>聚焦</w:t>
      </w:r>
      <w:r>
        <w:rPr>
          <w:rFonts w:hint="eastAsia" w:ascii="黑体" w:hAnsi="黑体" w:eastAsia="黑体" w:cs="黑体"/>
          <w:color w:val="000000" w:themeColor="text1"/>
          <w:szCs w:val="32"/>
          <w:lang w:val="en-US" w:eastAsia="zh-CN"/>
          <w14:textFill>
            <w14:solidFill>
              <w14:schemeClr w14:val="tx1"/>
            </w14:solidFill>
          </w14:textFill>
        </w:rPr>
        <w:t>关键节点</w:t>
      </w:r>
      <w:r>
        <w:rPr>
          <w:rFonts w:hint="eastAsia" w:ascii="黑体" w:hAnsi="黑体" w:eastAsia="黑体" w:cs="黑体"/>
          <w:color w:val="000000" w:themeColor="text1"/>
          <w:szCs w:val="32"/>
          <w14:textFill>
            <w14:solidFill>
              <w14:schemeClr w14:val="tx1"/>
            </w14:solidFill>
          </w14:textFill>
        </w:rPr>
        <w:t>，提升招商专业化水平</w:t>
      </w:r>
      <w:bookmarkEnd w:id="498"/>
      <w:bookmarkEnd w:id="499"/>
      <w:bookmarkEnd w:id="500"/>
      <w:bookmarkEnd w:id="501"/>
    </w:p>
    <w:p>
      <w:pPr>
        <w:widowControl/>
        <w:shd w:val="clear" w:color="auto" w:fill="FFFFFF" w:themeFill="background1"/>
        <w:tabs>
          <w:tab w:val="left" w:pos="0"/>
        </w:tabs>
        <w:topLinePunct/>
        <w:adjustRightInd w:val="0"/>
        <w:snapToGrid w:val="0"/>
        <w:ind w:firstLine="643"/>
        <w:textAlignment w:val="baseline"/>
        <w:rPr>
          <w:rFonts w:ascii="仿宋_GB2312" w:hAnsi="仿宋_GB2312" w:cs="仿宋_GB2312"/>
          <w:bCs/>
          <w:snapToGrid w:val="0"/>
          <w:color w:val="000000" w:themeColor="text1"/>
          <w:kern w:val="0"/>
          <w:szCs w:val="32"/>
          <w14:textFill>
            <w14:solidFill>
              <w14:schemeClr w14:val="tx1"/>
            </w14:solidFill>
          </w14:textFill>
        </w:rPr>
      </w:pPr>
      <w:r>
        <w:rPr>
          <w:rFonts w:ascii="仿宋_GB2312" w:hAnsi="仿宋_GB2312" w:cs="仿宋_GB2312"/>
          <w:b/>
          <w:bCs/>
          <w:snapToGrid w:val="0"/>
          <w:color w:val="000000" w:themeColor="text1"/>
          <w:kern w:val="0"/>
          <w:szCs w:val="32"/>
          <w14:textFill>
            <w14:solidFill>
              <w14:schemeClr w14:val="tx1"/>
            </w14:solidFill>
          </w14:textFill>
        </w:rPr>
        <w:t>一是聚焦产业链关键环节，提升精准招商水平。</w:t>
      </w:r>
      <w:r>
        <w:rPr>
          <w:rFonts w:ascii="仿宋_GB2312" w:hAnsi="仿宋_GB2312" w:cs="仿宋_GB2312"/>
          <w:bCs/>
          <w:snapToGrid w:val="0"/>
          <w:color w:val="000000" w:themeColor="text1"/>
          <w:kern w:val="0"/>
          <w:szCs w:val="32"/>
          <w14:textFill>
            <w14:solidFill>
              <w14:schemeClr w14:val="tx1"/>
            </w14:solidFill>
          </w14:textFill>
        </w:rPr>
        <w:t>坚持以产业链为主线，围绕重点产业方向，系统梳理产业链结构，推进图谱化、清单化招商。聚焦强链、补链、延链关键领域，推动上下游企业协同集聚，加快构建结构完善、协同高效的产业链体系。</w:t>
      </w:r>
    </w:p>
    <w:p>
      <w:pPr>
        <w:widowControl/>
        <w:shd w:val="clear" w:color="auto" w:fill="FFFFFF" w:themeFill="background1"/>
        <w:tabs>
          <w:tab w:val="left" w:pos="0"/>
        </w:tabs>
        <w:topLinePunct/>
        <w:adjustRightInd w:val="0"/>
        <w:snapToGrid w:val="0"/>
        <w:ind w:firstLine="643"/>
        <w:textAlignment w:val="baseline"/>
        <w:rPr>
          <w:rFonts w:ascii="仿宋_GB2312" w:hAnsi="仿宋_GB2312" w:cs="仿宋_GB2312"/>
          <w:bCs/>
          <w:snapToGrid w:val="0"/>
          <w:color w:val="000000" w:themeColor="text1"/>
          <w:kern w:val="0"/>
          <w:szCs w:val="32"/>
          <w14:textFill>
            <w14:solidFill>
              <w14:schemeClr w14:val="tx1"/>
            </w14:solidFill>
          </w14:textFill>
        </w:rPr>
      </w:pPr>
      <w:r>
        <w:rPr>
          <w:rFonts w:ascii="仿宋_GB2312" w:hAnsi="仿宋_GB2312" w:cs="仿宋_GB2312"/>
          <w:b/>
          <w:bCs/>
          <w:snapToGrid w:val="0"/>
          <w:color w:val="000000" w:themeColor="text1"/>
          <w:kern w:val="0"/>
          <w:szCs w:val="32"/>
          <w14:textFill>
            <w14:solidFill>
              <w14:schemeClr w14:val="tx1"/>
            </w14:solidFill>
          </w14:textFill>
        </w:rPr>
        <w:t>二是创新招商方式路径，增强要素驱动引导能力。</w:t>
      </w:r>
      <w:r>
        <w:rPr>
          <w:rFonts w:ascii="仿宋_GB2312" w:hAnsi="仿宋_GB2312" w:cs="仿宋_GB2312"/>
          <w:bCs/>
          <w:snapToGrid w:val="0"/>
          <w:color w:val="000000" w:themeColor="text1"/>
          <w:kern w:val="0"/>
          <w:szCs w:val="32"/>
          <w14:textFill>
            <w14:solidFill>
              <w14:schemeClr w14:val="tx1"/>
            </w14:solidFill>
          </w14:textFill>
        </w:rPr>
        <w:t>推动招商模式向多元要素驱动转变，强化“场景+招商”等方式应用，加强应用场景开放，促进技术成果与产业需求精准对接，推动项目加快落地转化，提升招商工作的专业化水平。</w:t>
      </w:r>
    </w:p>
    <w:p>
      <w:pPr>
        <w:widowControl/>
        <w:shd w:val="clear" w:color="auto" w:fill="FFFFFF" w:themeFill="background1"/>
        <w:tabs>
          <w:tab w:val="left" w:pos="0"/>
        </w:tabs>
        <w:topLinePunct/>
        <w:adjustRightInd w:val="0"/>
        <w:snapToGrid w:val="0"/>
        <w:ind w:firstLine="643"/>
        <w:textAlignment w:val="baseline"/>
        <w:rPr>
          <w:rFonts w:ascii="仿宋_GB2312" w:hAnsi="仿宋_GB2312" w:cs="仿宋_GB2312"/>
          <w:bCs/>
          <w:snapToGrid w:val="0"/>
          <w:color w:val="000000" w:themeColor="text1"/>
          <w:kern w:val="0"/>
          <w:szCs w:val="32"/>
          <w14:textFill>
            <w14:solidFill>
              <w14:schemeClr w14:val="tx1"/>
            </w14:solidFill>
          </w14:textFill>
        </w:rPr>
      </w:pPr>
      <w:r>
        <w:rPr>
          <w:rFonts w:ascii="仿宋_GB2312" w:hAnsi="仿宋_GB2312" w:cs="仿宋_GB2312"/>
          <w:b/>
          <w:bCs/>
          <w:snapToGrid w:val="0"/>
          <w:color w:val="000000" w:themeColor="text1"/>
          <w:kern w:val="0"/>
          <w:szCs w:val="32"/>
          <w14:textFill>
            <w14:solidFill>
              <w14:schemeClr w14:val="tx1"/>
            </w14:solidFill>
          </w14:textFill>
        </w:rPr>
        <w:t>三是完善全周期服务体系，推动招商向生态培育转型。</w:t>
      </w:r>
      <w:r>
        <w:rPr>
          <w:rFonts w:ascii="仿宋_GB2312" w:hAnsi="仿宋_GB2312" w:cs="仿宋_GB2312"/>
          <w:bCs/>
          <w:snapToGrid w:val="0"/>
          <w:color w:val="000000" w:themeColor="text1"/>
          <w:kern w:val="0"/>
          <w:szCs w:val="32"/>
          <w14:textFill>
            <w14:solidFill>
              <w14:schemeClr w14:val="tx1"/>
            </w14:solidFill>
          </w14:textFill>
        </w:rPr>
        <w:t>围绕企业落地和发展需求，构建覆盖引进、落地、发展全过程的服务体系，强化资本、人才、平台、场景等要素协同供给。优化企业服务机制，推动招商由项目引进向产业生态培育转变，提升产业集聚发展水平，增强区域持续吸引力和综合竞争力。</w:t>
      </w:r>
    </w:p>
    <w:p>
      <w:pPr>
        <w:widowControl/>
        <w:kinsoku w:val="0"/>
        <w:autoSpaceDE w:val="0"/>
        <w:autoSpaceDN w:val="0"/>
        <w:adjustRightInd w:val="0"/>
        <w:snapToGrid w:val="0"/>
        <w:ind w:firstLine="640"/>
        <w:textAlignment w:val="baseline"/>
        <w:outlineLvl w:val="2"/>
        <w:rPr>
          <w:rFonts w:ascii="仿宋_GB2312" w:hAnsi="仿宋_GB2312" w:cs="仿宋_GB2312"/>
          <w:b/>
          <w:bCs/>
          <w:snapToGrid w:val="0"/>
          <w:color w:val="000000" w:themeColor="text1"/>
          <w:kern w:val="0"/>
          <w:szCs w:val="32"/>
          <w14:textFill>
            <w14:solidFill>
              <w14:schemeClr w14:val="tx1"/>
            </w14:solidFill>
          </w14:textFill>
        </w:rPr>
      </w:pPr>
      <w:bookmarkStart w:id="502" w:name="_Toc228193766"/>
      <w:bookmarkStart w:id="503" w:name="_Toc5555"/>
      <w:bookmarkStart w:id="504" w:name="_Toc17420"/>
      <w:bookmarkStart w:id="505" w:name="_Toc11496"/>
      <w:r>
        <w:rPr>
          <w:rFonts w:hint="eastAsia" w:ascii="黑体" w:hAnsi="黑体" w:eastAsia="黑体" w:cs="黑体"/>
          <w:color w:val="000000" w:themeColor="text1"/>
          <w:szCs w:val="32"/>
          <w:lang w:val="en-US" w:eastAsia="zh-CN"/>
          <w14:textFill>
            <w14:solidFill>
              <w14:schemeClr w14:val="tx1"/>
            </w14:solidFill>
          </w14:textFill>
        </w:rPr>
        <w:t>二</w:t>
      </w:r>
      <w:r>
        <w:rPr>
          <w:rFonts w:ascii="黑体" w:hAnsi="黑体" w:eastAsia="黑体" w:cs="黑体"/>
          <w:color w:val="000000" w:themeColor="text1"/>
          <w:szCs w:val="32"/>
          <w14:textFill>
            <w14:solidFill>
              <w14:schemeClr w14:val="tx1"/>
            </w14:solidFill>
          </w14:textFill>
        </w:rPr>
        <w:t>、</w:t>
      </w:r>
      <w:bookmarkEnd w:id="502"/>
      <w:bookmarkEnd w:id="503"/>
      <w:bookmarkEnd w:id="504"/>
      <w:r>
        <w:rPr>
          <w:rFonts w:hint="eastAsia" w:ascii="黑体" w:hAnsi="黑体" w:eastAsia="黑体" w:cs="黑体"/>
          <w:color w:val="000000" w:themeColor="text1"/>
          <w:szCs w:val="32"/>
          <w14:textFill>
            <w14:solidFill>
              <w14:schemeClr w14:val="tx1"/>
            </w14:solidFill>
          </w14:textFill>
        </w:rPr>
        <w:t>统筹资源配置，增强服务保障能力</w:t>
      </w:r>
      <w:bookmarkEnd w:id="505"/>
    </w:p>
    <w:p>
      <w:pPr>
        <w:widowControl/>
        <w:shd w:val="clear" w:color="auto" w:fill="FFFFFF" w:themeFill="background1"/>
        <w:tabs>
          <w:tab w:val="left" w:pos="0"/>
        </w:tabs>
        <w:topLinePunct/>
        <w:adjustRightInd w:val="0"/>
        <w:snapToGrid w:val="0"/>
        <w:ind w:firstLine="643"/>
        <w:textAlignment w:val="baseline"/>
        <w:rPr>
          <w:rFonts w:ascii="仿宋_GB2312" w:hAnsi="仿宋_GB2312" w:cs="仿宋_GB2312"/>
          <w:bCs/>
          <w:snapToGrid w:val="0"/>
          <w:color w:val="000000" w:themeColor="text1"/>
          <w:kern w:val="0"/>
          <w:szCs w:val="32"/>
          <w14:textFill>
            <w14:solidFill>
              <w14:schemeClr w14:val="tx1"/>
            </w14:solidFill>
          </w14:textFill>
        </w:rPr>
      </w:pPr>
      <w:r>
        <w:rPr>
          <w:rFonts w:hint="eastAsia" w:ascii="仿宋_GB2312" w:hAnsi="仿宋_GB2312" w:cs="仿宋_GB2312"/>
          <w:b/>
          <w:bCs/>
          <w:snapToGrid w:val="0"/>
          <w:color w:val="000000" w:themeColor="text1"/>
          <w:kern w:val="0"/>
          <w:szCs w:val="32"/>
          <w:lang w:val="en-US" w:eastAsia="zh-CN"/>
          <w14:textFill>
            <w14:solidFill>
              <w14:schemeClr w14:val="tx1"/>
            </w14:solidFill>
          </w14:textFill>
        </w:rPr>
        <w:t>一</w:t>
      </w:r>
      <w:r>
        <w:rPr>
          <w:rFonts w:ascii="仿宋_GB2312" w:hAnsi="仿宋_GB2312" w:cs="仿宋_GB2312"/>
          <w:b/>
          <w:bCs/>
          <w:snapToGrid w:val="0"/>
          <w:color w:val="000000" w:themeColor="text1"/>
          <w:kern w:val="0"/>
          <w:szCs w:val="32"/>
          <w14:textFill>
            <w14:solidFill>
              <w14:schemeClr w14:val="tx1"/>
            </w14:solidFill>
          </w14:textFill>
        </w:rPr>
        <w:t>是</w:t>
      </w:r>
      <w:r>
        <w:rPr>
          <w:rFonts w:hint="eastAsia" w:ascii="仿宋_GB2312" w:hAnsi="仿宋_GB2312" w:cs="仿宋_GB2312"/>
          <w:b/>
          <w:bCs/>
          <w:snapToGrid w:val="0"/>
          <w:color w:val="000000" w:themeColor="text1"/>
          <w:kern w:val="0"/>
          <w:szCs w:val="32"/>
          <w14:textFill>
            <w14:solidFill>
              <w14:schemeClr w14:val="tx1"/>
            </w14:solidFill>
          </w14:textFill>
        </w:rPr>
        <w:t>拓展对外招商网络，增强开放合作水平</w:t>
      </w:r>
      <w:r>
        <w:rPr>
          <w:rFonts w:ascii="仿宋_GB2312" w:hAnsi="仿宋_GB2312" w:cs="仿宋_GB2312"/>
          <w:b/>
          <w:bCs/>
          <w:snapToGrid w:val="0"/>
          <w:color w:val="000000" w:themeColor="text1"/>
          <w:kern w:val="0"/>
          <w:szCs w:val="32"/>
          <w14:textFill>
            <w14:solidFill>
              <w14:schemeClr w14:val="tx1"/>
            </w14:solidFill>
          </w14:textFill>
        </w:rPr>
        <w:t>。</w:t>
      </w:r>
      <w:r>
        <w:rPr>
          <w:rFonts w:ascii="仿宋_GB2312" w:hAnsi="仿宋_GB2312" w:cs="仿宋_GB2312"/>
          <w:bCs/>
          <w:snapToGrid w:val="0"/>
          <w:color w:val="000000" w:themeColor="text1"/>
          <w:kern w:val="0"/>
          <w:szCs w:val="32"/>
          <w14:textFill>
            <w14:solidFill>
              <w14:schemeClr w14:val="tx1"/>
            </w14:solidFill>
          </w14:textFill>
        </w:rPr>
        <w:t>持续拓展京外及海外招商渠道，完善“全球招商合伙人”机制，强化与重点城市、重点机构和专业平台的对接合作。推动招商方式向市场化、专业化、国际化转型，</w:t>
      </w:r>
      <w:r>
        <w:rPr>
          <w:rFonts w:hint="eastAsia" w:ascii="仿宋_GB2312" w:hAnsi="仿宋_GB2312" w:cs="仿宋_GB2312"/>
          <w:bCs/>
          <w:snapToGrid w:val="0"/>
          <w:color w:val="000000" w:themeColor="text1"/>
          <w:kern w:val="0"/>
          <w:szCs w:val="32"/>
          <w:lang w:val="en-US" w:eastAsia="zh-CN"/>
          <w14:textFill>
            <w14:solidFill>
              <w14:schemeClr w14:val="tx1"/>
            </w14:solidFill>
          </w14:textFill>
        </w:rPr>
        <w:t>支持</w:t>
      </w:r>
      <w:r>
        <w:rPr>
          <w:rFonts w:ascii="仿宋_GB2312" w:hAnsi="仿宋_GB2312" w:cs="仿宋_GB2312"/>
          <w:bCs/>
          <w:snapToGrid w:val="0"/>
          <w:color w:val="000000" w:themeColor="text1"/>
          <w:kern w:val="0"/>
          <w:szCs w:val="32"/>
          <w14:textFill>
            <w14:solidFill>
              <w14:schemeClr w14:val="tx1"/>
            </w14:solidFill>
          </w14:textFill>
        </w:rPr>
        <w:t>社会力量参与。</w:t>
      </w:r>
    </w:p>
    <w:p>
      <w:pPr>
        <w:widowControl/>
        <w:shd w:val="clear" w:color="auto" w:fill="FFFFFF" w:themeFill="background1"/>
        <w:tabs>
          <w:tab w:val="left" w:pos="0"/>
        </w:tabs>
        <w:topLinePunct/>
        <w:adjustRightInd w:val="0"/>
        <w:snapToGrid w:val="0"/>
        <w:ind w:firstLine="643"/>
        <w:textAlignment w:val="baseline"/>
        <w:rPr>
          <w:rFonts w:ascii="仿宋_GB2312" w:hAnsi="仿宋_GB2312" w:cs="仿宋_GB2312"/>
          <w:bCs/>
          <w:snapToGrid w:val="0"/>
          <w:color w:val="000000" w:themeColor="text1"/>
          <w:kern w:val="0"/>
          <w:szCs w:val="32"/>
          <w14:textFill>
            <w14:solidFill>
              <w14:schemeClr w14:val="tx1"/>
            </w14:solidFill>
          </w14:textFill>
        </w:rPr>
      </w:pPr>
      <w:r>
        <w:rPr>
          <w:rFonts w:hint="eastAsia" w:ascii="仿宋_GB2312" w:hAnsi="仿宋_GB2312" w:cs="仿宋_GB2312"/>
          <w:b/>
          <w:bCs/>
          <w:snapToGrid w:val="0"/>
          <w:color w:val="000000" w:themeColor="text1"/>
          <w:kern w:val="0"/>
          <w:szCs w:val="32"/>
          <w:lang w:val="en-US" w:eastAsia="zh-CN"/>
          <w14:textFill>
            <w14:solidFill>
              <w14:schemeClr w14:val="tx1"/>
            </w14:solidFill>
          </w14:textFill>
        </w:rPr>
        <w:t>二</w:t>
      </w:r>
      <w:r>
        <w:rPr>
          <w:rFonts w:ascii="仿宋_GB2312" w:hAnsi="仿宋_GB2312" w:cs="仿宋_GB2312"/>
          <w:b/>
          <w:bCs/>
          <w:snapToGrid w:val="0"/>
          <w:color w:val="000000" w:themeColor="text1"/>
          <w:kern w:val="0"/>
          <w:szCs w:val="32"/>
          <w14:textFill>
            <w14:solidFill>
              <w14:schemeClr w14:val="tx1"/>
            </w14:solidFill>
          </w14:textFill>
        </w:rPr>
        <w:t>是</w:t>
      </w:r>
      <w:r>
        <w:rPr>
          <w:rFonts w:hint="eastAsia" w:ascii="仿宋_GB2312" w:hAnsi="仿宋_GB2312" w:cs="仿宋_GB2312"/>
          <w:b/>
          <w:bCs/>
          <w:snapToGrid w:val="0"/>
          <w:color w:val="000000" w:themeColor="text1"/>
          <w:kern w:val="0"/>
          <w:szCs w:val="32"/>
          <w14:textFill>
            <w14:solidFill>
              <w14:schemeClr w14:val="tx1"/>
            </w14:solidFill>
          </w14:textFill>
        </w:rPr>
        <w:t>提升专业队伍能力，增强专业服务能力</w:t>
      </w:r>
      <w:r>
        <w:rPr>
          <w:rFonts w:ascii="仿宋_GB2312" w:hAnsi="仿宋_GB2312" w:cs="仿宋_GB2312"/>
          <w:b/>
          <w:bCs/>
          <w:snapToGrid w:val="0"/>
          <w:color w:val="000000" w:themeColor="text1"/>
          <w:kern w:val="0"/>
          <w:szCs w:val="32"/>
          <w14:textFill>
            <w14:solidFill>
              <w14:schemeClr w14:val="tx1"/>
            </w14:solidFill>
          </w14:textFill>
        </w:rPr>
        <w:t>。</w:t>
      </w:r>
      <w:r>
        <w:rPr>
          <w:rFonts w:ascii="仿宋_GB2312" w:hAnsi="仿宋_GB2312" w:cs="仿宋_GB2312"/>
          <w:bCs/>
          <w:snapToGrid w:val="0"/>
          <w:color w:val="000000" w:themeColor="text1"/>
          <w:kern w:val="0"/>
          <w:szCs w:val="32"/>
          <w14:textFill>
            <w14:solidFill>
              <w14:schemeClr w14:val="tx1"/>
            </w14:solidFill>
          </w14:textFill>
        </w:rPr>
        <w:t>加强招商队伍专业化建设，实施招商能力提升行动，重点提升产业研究、项目研判、谈判对接和国际化服务能力。健全项目全周期服务体系，持续提升招商执行效率和服务质效。</w:t>
      </w:r>
    </w:p>
    <w:p>
      <w:pPr>
        <w:pStyle w:val="3"/>
        <w:keepNext w:val="0"/>
        <w:keepLines w:val="0"/>
        <w:widowControl/>
        <w:shd w:val="clear" w:color="auto" w:fill="FFFFFF" w:themeFill="background1"/>
        <w:tabs>
          <w:tab w:val="left" w:pos="0"/>
        </w:tabs>
        <w:topLinePunct/>
        <w:adjustRightInd w:val="0"/>
        <w:snapToGrid w:val="0"/>
        <w:spacing w:before="0" w:after="0"/>
        <w:ind w:firstLine="0" w:firstLineChars="0"/>
        <w:jc w:val="center"/>
        <w:textAlignment w:val="baseline"/>
        <w:rPr>
          <w:rFonts w:hint="default" w:ascii="黑体" w:hAnsi="黑体" w:eastAsia="黑体" w:cs="黑体"/>
          <w:b w:val="0"/>
          <w:color w:val="000000" w:themeColor="text1"/>
          <w14:textFill>
            <w14:solidFill>
              <w14:schemeClr w14:val="tx1"/>
            </w14:solidFill>
          </w14:textFill>
        </w:rPr>
      </w:pPr>
      <w:bookmarkStart w:id="506" w:name="_Toc6220"/>
      <w:bookmarkStart w:id="507" w:name="_Toc15678"/>
      <w:bookmarkStart w:id="508" w:name="_Toc29172"/>
      <w:bookmarkStart w:id="509" w:name="_Toc21675"/>
      <w:bookmarkStart w:id="510" w:name="_Toc8982"/>
      <w:bookmarkStart w:id="511" w:name="_Toc5457"/>
      <w:bookmarkStart w:id="512" w:name="_Toc228193768"/>
      <w:bookmarkStart w:id="513" w:name="_Toc8230"/>
      <w:bookmarkStart w:id="514" w:name="_Toc17229"/>
      <w:bookmarkStart w:id="515" w:name="_Toc26194"/>
      <w:r>
        <w:rPr>
          <w:rFonts w:hint="default" w:ascii="黑体" w:hAnsi="黑体" w:eastAsia="黑体" w:cs="黑体"/>
          <w:b w:val="0"/>
          <w:bCs w:val="0"/>
          <w:color w:val="000000" w:themeColor="text1"/>
          <w:sz w:val="32"/>
          <w:szCs w:val="32"/>
          <w14:textFill>
            <w14:solidFill>
              <w14:schemeClr w14:val="tx1"/>
            </w14:solidFill>
          </w14:textFill>
        </w:rPr>
        <w:t>第</w:t>
      </w:r>
      <w:r>
        <w:rPr>
          <w:rFonts w:ascii="黑体" w:hAnsi="黑体" w:eastAsia="黑体" w:cs="黑体"/>
          <w:b w:val="0"/>
          <w:bCs w:val="0"/>
          <w:color w:val="000000" w:themeColor="text1"/>
          <w:sz w:val="32"/>
          <w:szCs w:val="32"/>
          <w14:textFill>
            <w14:solidFill>
              <w14:schemeClr w14:val="tx1"/>
            </w14:solidFill>
          </w14:textFill>
        </w:rPr>
        <w:t>十</w:t>
      </w:r>
      <w:r>
        <w:rPr>
          <w:rFonts w:hint="eastAsia" w:ascii="黑体" w:hAnsi="黑体" w:eastAsia="黑体" w:cs="黑体"/>
          <w:b w:val="0"/>
          <w:bCs w:val="0"/>
          <w:color w:val="000000" w:themeColor="text1"/>
          <w:sz w:val="32"/>
          <w:szCs w:val="32"/>
          <w:lang w:eastAsia="zh-CN"/>
          <w14:textFill>
            <w14:solidFill>
              <w14:schemeClr w14:val="tx1"/>
            </w14:solidFill>
          </w14:textFill>
        </w:rPr>
        <w:t>九</w:t>
      </w:r>
      <w:r>
        <w:rPr>
          <w:rFonts w:hint="default" w:ascii="黑体" w:hAnsi="黑体" w:eastAsia="黑体" w:cs="黑体"/>
          <w:b w:val="0"/>
          <w:bCs w:val="0"/>
          <w:color w:val="000000" w:themeColor="text1"/>
          <w:sz w:val="32"/>
          <w:szCs w:val="32"/>
          <w14:textFill>
            <w14:solidFill>
              <w14:schemeClr w14:val="tx1"/>
            </w14:solidFill>
          </w14:textFill>
        </w:rPr>
        <w:t xml:space="preserve">章 </w:t>
      </w:r>
      <w:r>
        <w:rPr>
          <w:rFonts w:ascii="黑体" w:hAnsi="黑体" w:eastAsia="黑体" w:cs="黑体"/>
          <w:b w:val="0"/>
          <w:bCs w:val="0"/>
          <w:color w:val="000000" w:themeColor="text1"/>
          <w:sz w:val="32"/>
          <w:szCs w:val="32"/>
          <w14:textFill>
            <w14:solidFill>
              <w14:schemeClr w14:val="tx1"/>
            </w14:solidFill>
          </w14:textFill>
        </w:rPr>
        <w:t>优化营商环境</w:t>
      </w:r>
      <w:r>
        <w:rPr>
          <w:rFonts w:hint="default" w:ascii="黑体" w:hAnsi="黑体" w:eastAsia="黑体" w:cs="黑体"/>
          <w:b w:val="0"/>
          <w:bCs w:val="0"/>
          <w:color w:val="000000" w:themeColor="text1"/>
          <w:sz w:val="32"/>
          <w:szCs w:val="32"/>
          <w14:textFill>
            <w14:solidFill>
              <w14:schemeClr w14:val="tx1"/>
            </w14:solidFill>
          </w14:textFill>
        </w:rPr>
        <w:t>，厚植企业发展沃土</w:t>
      </w:r>
      <w:bookmarkEnd w:id="506"/>
      <w:bookmarkEnd w:id="507"/>
      <w:bookmarkEnd w:id="508"/>
      <w:bookmarkEnd w:id="509"/>
      <w:bookmarkEnd w:id="510"/>
      <w:bookmarkEnd w:id="511"/>
      <w:bookmarkEnd w:id="512"/>
      <w:bookmarkEnd w:id="513"/>
      <w:bookmarkEnd w:id="514"/>
      <w:bookmarkEnd w:id="515"/>
    </w:p>
    <w:p>
      <w:pPr>
        <w:widowControl/>
        <w:shd w:val="clear" w:color="auto" w:fill="FFFFFF" w:themeFill="background1"/>
        <w:kinsoku w:val="0"/>
        <w:autoSpaceDE w:val="0"/>
        <w:autoSpaceDN w:val="0"/>
        <w:adjustRightInd w:val="0"/>
        <w:snapToGrid w:val="0"/>
        <w:ind w:firstLine="640"/>
        <w:textAlignment w:val="baseline"/>
        <w:outlineLvl w:val="2"/>
        <w:rPr>
          <w:rFonts w:ascii="黑体" w:hAnsi="黑体" w:eastAsia="黑体" w:cs="黑体"/>
          <w:color w:val="000000" w:themeColor="text1"/>
          <w:szCs w:val="32"/>
          <w14:textFill>
            <w14:solidFill>
              <w14:schemeClr w14:val="tx1"/>
            </w14:solidFill>
          </w14:textFill>
        </w:rPr>
      </w:pPr>
      <w:bookmarkStart w:id="516" w:name="_Toc228193769"/>
      <w:bookmarkStart w:id="517" w:name="_Toc15574"/>
      <w:bookmarkStart w:id="518" w:name="_Toc6704"/>
      <w:r>
        <w:rPr>
          <w:rFonts w:ascii="黑体" w:hAnsi="黑体" w:eastAsia="黑体" w:cs="黑体"/>
          <w:color w:val="000000" w:themeColor="text1"/>
          <w:szCs w:val="32"/>
          <w14:textFill>
            <w14:solidFill>
              <w14:schemeClr w14:val="tx1"/>
            </w14:solidFill>
          </w14:textFill>
        </w:rPr>
        <w:t>一、完善服务机制，</w:t>
      </w:r>
      <w:r>
        <w:rPr>
          <w:rFonts w:hint="eastAsia" w:ascii="黑体" w:hAnsi="黑体" w:eastAsia="黑体" w:cs="黑体"/>
          <w:color w:val="000000" w:themeColor="text1"/>
          <w:szCs w:val="32"/>
          <w14:textFill>
            <w14:solidFill>
              <w14:schemeClr w14:val="tx1"/>
            </w14:solidFill>
          </w14:textFill>
        </w:rPr>
        <w:t>构建全周期“服务包”制度</w:t>
      </w:r>
      <w:bookmarkEnd w:id="516"/>
      <w:bookmarkEnd w:id="517"/>
      <w:bookmarkEnd w:id="518"/>
    </w:p>
    <w:p>
      <w:pPr>
        <w:widowControl/>
        <w:shd w:val="clear" w:color="auto" w:fill="FFFFFF" w:themeFill="background1"/>
        <w:topLinePunct/>
        <w:adjustRightInd w:val="0"/>
        <w:snapToGrid w:val="0"/>
        <w:ind w:firstLine="643"/>
        <w:textAlignment w:val="baseline"/>
        <w:rPr>
          <w:rFonts w:ascii="仿宋_GB2312" w:hAnsi="仿宋_GB2312" w:cs="仿宋_GB2312"/>
          <w:color w:val="000000" w:themeColor="text1"/>
          <w:szCs w:val="32"/>
          <w14:textFill>
            <w14:solidFill>
              <w14:schemeClr w14:val="tx1"/>
            </w14:solidFill>
          </w14:textFill>
        </w:rPr>
      </w:pPr>
      <w:r>
        <w:rPr>
          <w:rFonts w:ascii="仿宋_GB2312" w:hAnsi="仿宋_GB2312" w:cs="仿宋_GB2312"/>
          <w:b/>
          <w:bCs/>
          <w:color w:val="000000" w:themeColor="text1"/>
          <w:szCs w:val="32"/>
          <w14:textFill>
            <w14:solidFill>
              <w14:schemeClr w14:val="tx1"/>
            </w14:solidFill>
          </w14:textFill>
        </w:rPr>
        <w:t>一是完善企业服务机制，构建全生命周期服务体系。</w:t>
      </w:r>
      <w:r>
        <w:rPr>
          <w:rFonts w:ascii="仿宋_GB2312" w:hAnsi="仿宋_GB2312" w:cs="仿宋_GB2312"/>
          <w:color w:val="000000" w:themeColor="text1"/>
          <w:szCs w:val="32"/>
          <w14:textFill>
            <w14:solidFill>
              <w14:schemeClr w14:val="tx1"/>
            </w14:solidFill>
          </w14:textFill>
        </w:rPr>
        <w:t>升级“服务包”制度，优化领导包联和企业服务专员机制，推动企业服务由分散响应向系统集成转变。围绕产业发展需求，整合园区、平台公司和专业服务机构等资源，构建覆盖企业引进落地、成长发展到做优做强的全生命周期服务体系。</w:t>
      </w:r>
    </w:p>
    <w:p>
      <w:pPr>
        <w:widowControl/>
        <w:shd w:val="clear" w:color="auto" w:fill="FFFFFF" w:themeFill="background1"/>
        <w:topLinePunct/>
        <w:adjustRightInd w:val="0"/>
        <w:snapToGrid w:val="0"/>
        <w:ind w:firstLine="643"/>
        <w:textAlignment w:val="baseline"/>
        <w:rPr>
          <w:rFonts w:ascii="仿宋_GB2312" w:hAnsi="仿宋_GB2312" w:cs="仿宋_GB2312"/>
          <w:color w:val="000000" w:themeColor="text1"/>
          <w:szCs w:val="32"/>
          <w14:textFill>
            <w14:solidFill>
              <w14:schemeClr w14:val="tx1"/>
            </w14:solidFill>
          </w14:textFill>
        </w:rPr>
      </w:pPr>
      <w:r>
        <w:rPr>
          <w:rFonts w:ascii="仿宋_GB2312" w:hAnsi="仿宋_GB2312" w:cs="仿宋_GB2312"/>
          <w:b/>
          <w:bCs/>
          <w:color w:val="000000" w:themeColor="text1"/>
          <w:szCs w:val="32"/>
          <w14:textFill>
            <w14:solidFill>
              <w14:schemeClr w14:val="tx1"/>
            </w14:solidFill>
          </w14:textFill>
        </w:rPr>
        <w:t>二是优化服务供给方式，提升规范化和精准化服务水平。</w:t>
      </w:r>
      <w:r>
        <w:rPr>
          <w:rFonts w:ascii="仿宋_GB2312" w:hAnsi="仿宋_GB2312" w:cs="仿宋_GB2312"/>
          <w:color w:val="000000" w:themeColor="text1"/>
          <w:szCs w:val="32"/>
          <w14:textFill>
            <w14:solidFill>
              <w14:schemeClr w14:val="tx1"/>
            </w14:solidFill>
          </w14:textFill>
        </w:rPr>
        <w:t>围绕企业发展共性需求，完善分层分类服务体系，强化政策咨询、要素对接、发展支持等服务供给，推动服务资源向产业发展关键环节集聚。健全服务评价与动态优化机制，强化企业反馈和结果运用，持续提升服务供给的规范性和有效性。</w:t>
      </w:r>
    </w:p>
    <w:p>
      <w:pPr>
        <w:widowControl/>
        <w:shd w:val="clear" w:color="auto" w:fill="FFFFFF" w:themeFill="background1"/>
        <w:topLinePunct/>
        <w:adjustRightInd w:val="0"/>
        <w:snapToGrid w:val="0"/>
        <w:ind w:firstLine="643"/>
        <w:textAlignment w:val="baseline"/>
        <w:rPr>
          <w:rFonts w:ascii="仿宋_GB2312" w:hAnsi="仿宋_GB2312" w:cs="仿宋_GB2312"/>
          <w:snapToGrid w:val="0"/>
          <w:color w:val="000000" w:themeColor="text1"/>
          <w:kern w:val="0"/>
          <w:szCs w:val="32"/>
          <w14:textFill>
            <w14:solidFill>
              <w14:schemeClr w14:val="tx1"/>
            </w14:solidFill>
          </w14:textFill>
        </w:rPr>
      </w:pPr>
      <w:r>
        <w:rPr>
          <w:rFonts w:ascii="仿宋_GB2312" w:hAnsi="仿宋_GB2312" w:cs="仿宋_GB2312"/>
          <w:b/>
          <w:bCs/>
          <w:color w:val="000000" w:themeColor="text1"/>
          <w:szCs w:val="32"/>
          <w14:textFill>
            <w14:solidFill>
              <w14:schemeClr w14:val="tx1"/>
            </w14:solidFill>
          </w14:textFill>
        </w:rPr>
        <w:t>三是强化数字赋能与协同推进，提升服务整体效能。</w:t>
      </w:r>
      <w:r>
        <w:rPr>
          <w:rFonts w:ascii="仿宋_GB2312" w:hAnsi="仿宋_GB2312" w:cs="仿宋_GB2312"/>
          <w:color w:val="000000" w:themeColor="text1"/>
          <w:szCs w:val="32"/>
          <w14:textFill>
            <w14:solidFill>
              <w14:schemeClr w14:val="tx1"/>
            </w14:solidFill>
          </w14:textFill>
        </w:rPr>
        <w:t>依托数据资源和信息平台，推动政策、服务与企业需求高效衔接，完善政策直达和诉求响应机制，提升服务的便捷性和可及性。加强部门间、区镇街之间以及园区平台之间的协同联动，构建统筹高效的服务推进体系。</w:t>
      </w:r>
    </w:p>
    <w:p>
      <w:pPr>
        <w:widowControl/>
        <w:shd w:val="clear" w:color="auto" w:fill="FFFFFF" w:themeFill="background1"/>
        <w:kinsoku w:val="0"/>
        <w:autoSpaceDE w:val="0"/>
        <w:autoSpaceDN w:val="0"/>
        <w:adjustRightInd w:val="0"/>
        <w:snapToGrid w:val="0"/>
        <w:ind w:firstLine="640"/>
        <w:textAlignment w:val="baseline"/>
        <w:outlineLvl w:val="2"/>
        <w:rPr>
          <w:rFonts w:ascii="黑体" w:hAnsi="黑体" w:eastAsia="黑体" w:cs="黑体"/>
          <w:color w:val="000000" w:themeColor="text1"/>
          <w:szCs w:val="32"/>
          <w14:textFill>
            <w14:solidFill>
              <w14:schemeClr w14:val="tx1"/>
            </w14:solidFill>
          </w14:textFill>
        </w:rPr>
      </w:pPr>
      <w:bookmarkStart w:id="519" w:name="_Toc228193770"/>
      <w:bookmarkStart w:id="520" w:name="_Toc13619"/>
      <w:bookmarkStart w:id="521" w:name="_Toc15280"/>
      <w:r>
        <w:rPr>
          <w:rFonts w:hint="eastAsia" w:ascii="黑体" w:hAnsi="黑体" w:eastAsia="黑体" w:cs="黑体"/>
          <w:color w:val="000000" w:themeColor="text1"/>
          <w:szCs w:val="32"/>
          <w14:textFill>
            <w14:solidFill>
              <w14:schemeClr w14:val="tx1"/>
            </w14:solidFill>
          </w14:textFill>
        </w:rPr>
        <w:t>二</w:t>
      </w:r>
      <w:r>
        <w:rPr>
          <w:rFonts w:ascii="黑体" w:hAnsi="黑体" w:eastAsia="黑体" w:cs="黑体"/>
          <w:color w:val="000000" w:themeColor="text1"/>
          <w:szCs w:val="32"/>
          <w14:textFill>
            <w14:solidFill>
              <w14:schemeClr w14:val="tx1"/>
            </w14:solidFill>
          </w14:textFill>
        </w:rPr>
        <w:t>、构建创新生态，</w:t>
      </w:r>
      <w:r>
        <w:rPr>
          <w:rFonts w:hint="eastAsia" w:ascii="黑体" w:hAnsi="黑体" w:eastAsia="黑体" w:cs="黑体"/>
          <w:color w:val="000000" w:themeColor="text1"/>
          <w:szCs w:val="32"/>
          <w:lang w:eastAsia="zh"/>
          <w14:textFill>
            <w14:solidFill>
              <w14:schemeClr w14:val="tx1"/>
            </w14:solidFill>
          </w14:textFill>
        </w:rPr>
        <w:t>培育壮大新质生产力</w:t>
      </w:r>
      <w:bookmarkEnd w:id="519"/>
      <w:bookmarkEnd w:id="520"/>
      <w:bookmarkEnd w:id="521"/>
    </w:p>
    <w:p>
      <w:pPr>
        <w:widowControl/>
        <w:shd w:val="clear" w:color="auto" w:fill="FFFFFF" w:themeFill="background1"/>
        <w:topLinePunct/>
        <w:adjustRightInd w:val="0"/>
        <w:snapToGrid w:val="0"/>
        <w:ind w:firstLine="643"/>
        <w:textAlignment w:val="baseline"/>
        <w:rPr>
          <w:rFonts w:ascii="仿宋_GB2312" w:hAnsi="仿宋_GB2312" w:cs="仿宋_GB2312"/>
          <w:snapToGrid w:val="0"/>
          <w:color w:val="000000" w:themeColor="text1"/>
          <w:kern w:val="0"/>
          <w:szCs w:val="32"/>
          <w14:textFill>
            <w14:solidFill>
              <w14:schemeClr w14:val="tx1"/>
            </w14:solidFill>
          </w14:textFill>
        </w:rPr>
      </w:pPr>
      <w:r>
        <w:rPr>
          <w:rFonts w:hint="eastAsia" w:ascii="仿宋_GB2312" w:hAnsi="仿宋_GB2312" w:cs="仿宋_GB2312"/>
          <w:b/>
          <w:bCs/>
          <w:snapToGrid w:val="0"/>
          <w:color w:val="000000" w:themeColor="text1"/>
          <w:kern w:val="0"/>
          <w:szCs w:val="32"/>
          <w14:textFill>
            <w14:solidFill>
              <w14:schemeClr w14:val="tx1"/>
            </w14:solidFill>
          </w14:textFill>
        </w:rPr>
        <w:t>一是推动先行先试改革</w:t>
      </w:r>
      <w:r>
        <w:rPr>
          <w:rFonts w:hint="eastAsia" w:ascii="仿宋_GB2312" w:hAnsi="仿宋_GB2312" w:cs="仿宋_GB2312"/>
          <w:snapToGrid w:val="0"/>
          <w:color w:val="000000" w:themeColor="text1"/>
          <w:kern w:val="0"/>
          <w:szCs w:val="32"/>
          <w14:textFill>
            <w14:solidFill>
              <w14:schemeClr w14:val="tx1"/>
            </w14:solidFill>
          </w14:textFill>
        </w:rPr>
        <w:t>。推动中关村改革政策在城市副中心先行先试，加大对孵化新兴、未来产业企业的支持力度，扩大创业孵化基地范围。出台支持科技型中小企业创新发展的综合性政策，围绕空间、算力、出海等共性需求提供普惠支持。设立引导扶持基金，增大产业空间供给，构建人才引育体系，从资金、空间、人才等多维度为企业提供定制化服务。</w:t>
      </w:r>
    </w:p>
    <w:p>
      <w:pPr>
        <w:widowControl/>
        <w:shd w:val="clear" w:color="auto" w:fill="FFFFFF" w:themeFill="background1"/>
        <w:topLinePunct/>
        <w:adjustRightInd w:val="0"/>
        <w:snapToGrid w:val="0"/>
        <w:ind w:firstLine="643"/>
        <w:textAlignment w:val="baseline"/>
        <w:rPr>
          <w:rFonts w:ascii="仿宋_GB2312" w:hAnsi="仿宋_GB2312" w:cs="仿宋_GB2312"/>
          <w:snapToGrid w:val="0"/>
          <w:color w:val="000000" w:themeColor="text1"/>
          <w:kern w:val="0"/>
          <w:szCs w:val="32"/>
          <w14:textFill>
            <w14:solidFill>
              <w14:schemeClr w14:val="tx1"/>
            </w14:solidFill>
          </w14:textFill>
        </w:rPr>
      </w:pPr>
      <w:r>
        <w:rPr>
          <w:rFonts w:hint="eastAsia" w:ascii="仿宋_GB2312" w:hAnsi="仿宋_GB2312" w:cs="仿宋_GB2312"/>
          <w:b/>
          <w:bCs/>
          <w:snapToGrid w:val="0"/>
          <w:color w:val="000000" w:themeColor="text1"/>
          <w:kern w:val="0"/>
          <w:szCs w:val="32"/>
          <w14:textFill>
            <w14:solidFill>
              <w14:schemeClr w14:val="tx1"/>
            </w14:solidFill>
          </w14:textFill>
        </w:rPr>
        <w:t>二是强化创新主体梯度培育</w:t>
      </w:r>
      <w:r>
        <w:rPr>
          <w:rFonts w:hint="eastAsia" w:ascii="仿宋_GB2312" w:hAnsi="仿宋_GB2312" w:cs="仿宋_GB2312"/>
          <w:snapToGrid w:val="0"/>
          <w:color w:val="000000" w:themeColor="text1"/>
          <w:kern w:val="0"/>
          <w:szCs w:val="32"/>
          <w14:textFill>
            <w14:solidFill>
              <w14:schemeClr w14:val="tx1"/>
            </w14:solidFill>
          </w14:textFill>
        </w:rPr>
        <w:t>。依托城市副中心科技创新、数字经济等政策，构建“科技型中小企业－高新技术企业－专精特新企业－头部企业”梯度培育体系。实施“创新伙伴计划”，推动企业与高校、科研院所共建创新联合体，成立“协同创新基地”。打造产业细分领域创新平台，强化技术策源能力。鼓励企业参与国家标准、行业标准制定，释放创新主体活力。</w:t>
      </w:r>
    </w:p>
    <w:p>
      <w:pPr>
        <w:shd w:val="clear" w:color="auto" w:fill="FFFFFF" w:themeFill="background1"/>
        <w:topLinePunct/>
        <w:adjustRightInd w:val="0"/>
        <w:snapToGrid w:val="0"/>
        <w:ind w:firstLine="643"/>
        <w:textAlignment w:val="baseline"/>
        <w:rPr>
          <w:rFonts w:ascii="仿宋_GB2312" w:hAnsi="仿宋_GB2312" w:cs="仿宋_GB2312"/>
          <w:snapToGrid w:val="0"/>
          <w:color w:val="000000" w:themeColor="text1"/>
          <w:kern w:val="0"/>
          <w:szCs w:val="32"/>
          <w14:textFill>
            <w14:solidFill>
              <w14:schemeClr w14:val="tx1"/>
            </w14:solidFill>
          </w14:textFill>
        </w:rPr>
      </w:pPr>
      <w:r>
        <w:rPr>
          <w:rFonts w:hint="eastAsia" w:ascii="仿宋_GB2312" w:hAnsi="仿宋_GB2312" w:cs="仿宋_GB2312"/>
          <w:b/>
          <w:bCs/>
          <w:snapToGrid w:val="0"/>
          <w:color w:val="000000" w:themeColor="text1"/>
          <w:kern w:val="0"/>
          <w:szCs w:val="32"/>
          <w14:textFill>
            <w14:solidFill>
              <w14:schemeClr w14:val="tx1"/>
            </w14:solidFill>
          </w14:textFill>
        </w:rPr>
        <w:t>三是构建全周期支撑体系</w:t>
      </w:r>
      <w:r>
        <w:rPr>
          <w:rFonts w:hint="eastAsia" w:ascii="仿宋_GB2312" w:hAnsi="仿宋_GB2312" w:cs="仿宋_GB2312"/>
          <w:snapToGrid w:val="0"/>
          <w:color w:val="000000" w:themeColor="text1"/>
          <w:kern w:val="0"/>
          <w:szCs w:val="32"/>
          <w14:textFill>
            <w14:solidFill>
              <w14:schemeClr w14:val="tx1"/>
            </w14:solidFill>
          </w14:textFill>
        </w:rPr>
        <w:t>。</w:t>
      </w:r>
      <w:r>
        <w:rPr>
          <w:rFonts w:ascii="仿宋_GB2312" w:hAnsi="仿宋_GB2312" w:cs="仿宋_GB2312"/>
          <w:snapToGrid w:val="0"/>
          <w:color w:val="000000" w:themeColor="text1"/>
          <w:szCs w:val="32"/>
          <w14:textFill>
            <w14:solidFill>
              <w14:schemeClr w14:val="tx1"/>
            </w14:solidFill>
          </w14:textFill>
        </w:rPr>
        <w:t>强化政策、资金、空间和人才协同联动，构建支持创新主体发展的综合支撑体系。完善梯度培育机制，健全以政府引导基金为牵引、社会资本广泛参与的多层次创新投资体系，发展天使投资、创业投资和产业投资等多元化资金供给。优化“孵化—中试—产业化”空间载体布局，加强人才引育支持。探索知识产权质押融资、证券化等金融工具，拓展企业融资渠道，促进技术研发、成果转化与产业化应用有效衔接，提升创新主体持续发展能力。</w:t>
      </w:r>
    </w:p>
    <w:p>
      <w:pPr>
        <w:widowControl/>
        <w:shd w:val="clear" w:color="auto" w:fill="FFFFFF" w:themeFill="background1"/>
        <w:kinsoku w:val="0"/>
        <w:autoSpaceDE w:val="0"/>
        <w:autoSpaceDN w:val="0"/>
        <w:adjustRightInd w:val="0"/>
        <w:snapToGrid w:val="0"/>
        <w:ind w:firstLine="640"/>
        <w:textAlignment w:val="baseline"/>
        <w:outlineLvl w:val="2"/>
        <w:rPr>
          <w:rFonts w:ascii="黑体" w:hAnsi="黑体" w:eastAsia="黑体" w:cs="黑体"/>
          <w:color w:val="000000" w:themeColor="text1"/>
          <w:szCs w:val="32"/>
          <w14:textFill>
            <w14:solidFill>
              <w14:schemeClr w14:val="tx1"/>
            </w14:solidFill>
          </w14:textFill>
        </w:rPr>
      </w:pPr>
      <w:bookmarkStart w:id="522" w:name="_Toc228193771"/>
      <w:bookmarkStart w:id="523" w:name="_Toc16313"/>
      <w:bookmarkStart w:id="524" w:name="_Toc22494"/>
      <w:r>
        <w:rPr>
          <w:rFonts w:hint="eastAsia" w:ascii="黑体" w:hAnsi="黑体" w:eastAsia="黑体" w:cs="黑体"/>
          <w:color w:val="000000" w:themeColor="text1"/>
          <w:szCs w:val="32"/>
          <w14:textFill>
            <w14:solidFill>
              <w14:schemeClr w14:val="tx1"/>
            </w14:solidFill>
          </w14:textFill>
        </w:rPr>
        <w:t>三</w:t>
      </w:r>
      <w:r>
        <w:rPr>
          <w:rFonts w:ascii="黑体" w:hAnsi="黑体" w:eastAsia="黑体" w:cs="黑体"/>
          <w:color w:val="000000" w:themeColor="text1"/>
          <w:szCs w:val="32"/>
          <w14:textFill>
            <w14:solidFill>
              <w14:schemeClr w14:val="tx1"/>
            </w14:solidFill>
          </w14:textFill>
        </w:rPr>
        <w:t>、</w:t>
      </w:r>
      <w:r>
        <w:rPr>
          <w:rFonts w:hint="eastAsia" w:ascii="黑体" w:hAnsi="黑体" w:eastAsia="黑体" w:cs="黑体"/>
          <w:color w:val="000000" w:themeColor="text1"/>
          <w:szCs w:val="32"/>
          <w14:textFill>
            <w14:solidFill>
              <w14:schemeClr w14:val="tx1"/>
            </w14:solidFill>
          </w14:textFill>
        </w:rPr>
        <w:t>多点发力提质效，</w:t>
      </w:r>
      <w:r>
        <w:rPr>
          <w:rFonts w:ascii="黑体" w:hAnsi="黑体" w:eastAsia="黑体" w:cs="黑体"/>
          <w:color w:val="000000" w:themeColor="text1"/>
          <w:szCs w:val="32"/>
          <w14:textFill>
            <w14:solidFill>
              <w14:schemeClr w14:val="tx1"/>
            </w14:solidFill>
          </w14:textFill>
        </w:rPr>
        <w:t>打造一流营商环境标杆</w:t>
      </w:r>
      <w:bookmarkEnd w:id="522"/>
      <w:bookmarkEnd w:id="523"/>
      <w:bookmarkEnd w:id="524"/>
    </w:p>
    <w:p>
      <w:pPr>
        <w:widowControl/>
        <w:shd w:val="clear" w:color="auto" w:fill="FFFFFF" w:themeFill="background1"/>
        <w:topLinePunct/>
        <w:ind w:firstLine="643"/>
        <w:rPr>
          <w:rFonts w:ascii="仿宋_GB2312" w:hAnsi="仿宋_GB2312" w:cs="仿宋_GB2312"/>
          <w:snapToGrid w:val="0"/>
          <w:color w:val="000000" w:themeColor="text1"/>
          <w:kern w:val="0"/>
          <w:szCs w:val="32"/>
          <w14:textFill>
            <w14:solidFill>
              <w14:schemeClr w14:val="tx1"/>
            </w14:solidFill>
          </w14:textFill>
        </w:rPr>
      </w:pPr>
      <w:r>
        <w:rPr>
          <w:rFonts w:hint="eastAsia" w:ascii="仿宋_GB2312" w:hAnsi="仿宋_GB2312" w:cs="仿宋_GB2312"/>
          <w:b/>
          <w:bCs/>
          <w:snapToGrid w:val="0"/>
          <w:color w:val="000000" w:themeColor="text1"/>
          <w:kern w:val="0"/>
          <w:szCs w:val="32"/>
          <w14:textFill>
            <w14:solidFill>
              <w14:schemeClr w14:val="tx1"/>
            </w14:solidFill>
          </w14:textFill>
        </w:rPr>
        <w:t>一是营造公平有序的市场环境。</w:t>
      </w:r>
      <w:r>
        <w:rPr>
          <w:rFonts w:hint="eastAsia" w:ascii="仿宋_GB2312" w:hAnsi="仿宋_GB2312" w:cs="仿宋_GB2312"/>
          <w:snapToGrid w:val="0"/>
          <w:color w:val="000000" w:themeColor="text1"/>
          <w:kern w:val="0"/>
          <w:szCs w:val="32"/>
          <w14:textFill>
            <w14:solidFill>
              <w14:schemeClr w14:val="tx1"/>
            </w14:solidFill>
          </w14:textFill>
        </w:rPr>
        <w:t>全面落实国家市场准入要求，建立“负面清单+正面激励”双轨制，明确禁止性条款与鼓励性领域，推动新能源汽车、医疗等领域准入公平。</w:t>
      </w:r>
      <w:r>
        <w:rPr>
          <w:rFonts w:ascii="仿宋_GB2312" w:hAnsi="仿宋_GB2312" w:cs="仿宋_GB2312"/>
          <w:snapToGrid w:val="0"/>
          <w:color w:val="000000" w:themeColor="text1"/>
          <w:kern w:val="0"/>
          <w:szCs w:val="32"/>
          <w14:textFill>
            <w14:solidFill>
              <w14:schemeClr w14:val="tx1"/>
            </w14:solidFill>
          </w14:textFill>
        </w:rPr>
        <w:t>落实</w:t>
      </w:r>
      <w:bookmarkStart w:id="525" w:name="OLE_LINK8"/>
      <w:r>
        <w:rPr>
          <w:rFonts w:ascii="仿宋_GB2312" w:hAnsi="仿宋_GB2312" w:cs="仿宋_GB2312"/>
          <w:snapToGrid w:val="0"/>
          <w:color w:val="000000" w:themeColor="text1"/>
          <w:kern w:val="0"/>
          <w:szCs w:val="32"/>
          <w14:textFill>
            <w14:solidFill>
              <w14:schemeClr w14:val="tx1"/>
            </w14:solidFill>
          </w14:textFill>
        </w:rPr>
        <w:t>《公平竞争审查条例》</w:t>
      </w:r>
      <w:bookmarkEnd w:id="525"/>
      <w:r>
        <w:rPr>
          <w:rFonts w:hint="eastAsia" w:ascii="仿宋_GB2312" w:hAnsi="仿宋_GB2312" w:cs="仿宋_GB2312"/>
          <w:snapToGrid w:val="0"/>
          <w:color w:val="000000" w:themeColor="text1"/>
          <w:kern w:val="0"/>
          <w:szCs w:val="32"/>
          <w14:textFill>
            <w14:solidFill>
              <w14:schemeClr w14:val="tx1"/>
            </w14:solidFill>
          </w14:textFill>
        </w:rPr>
        <w:t>，</w:t>
      </w:r>
      <w:r>
        <w:rPr>
          <w:rFonts w:ascii="仿宋_GB2312" w:hAnsi="仿宋_GB2312" w:cs="仿宋_GB2312"/>
          <w:snapToGrid w:val="0"/>
          <w:color w:val="000000" w:themeColor="text1"/>
          <w:kern w:val="0"/>
          <w:szCs w:val="32"/>
          <w14:textFill>
            <w14:solidFill>
              <w14:schemeClr w14:val="tx1"/>
            </w14:solidFill>
          </w14:textFill>
        </w:rPr>
        <w:t>积极融入全国统一大市场</w:t>
      </w:r>
      <w:r>
        <w:rPr>
          <w:rFonts w:hint="eastAsia" w:ascii="仿宋_GB2312" w:hAnsi="仿宋_GB2312" w:cs="仿宋_GB2312"/>
          <w:snapToGrid w:val="0"/>
          <w:color w:val="000000" w:themeColor="text1"/>
          <w:kern w:val="0"/>
          <w:szCs w:val="32"/>
          <w14:textFill>
            <w14:solidFill>
              <w14:schemeClr w14:val="tx1"/>
            </w14:solidFill>
          </w14:textFill>
        </w:rPr>
        <w:t>建设。贯彻《北京城市副中心条例》，完善柔性执法与信用修复机制。建立京津冀跨区域信用监管联动机制，统一企业信用评价标准，搭建企业合规数字画像系统。健全知识产权全周期保护，压缩专利侵权案件审理周期。</w:t>
      </w:r>
    </w:p>
    <w:p>
      <w:pPr>
        <w:widowControl/>
        <w:shd w:val="clear" w:color="auto" w:fill="FFFFFF" w:themeFill="background1"/>
        <w:topLinePunct/>
        <w:ind w:firstLine="643"/>
        <w:rPr>
          <w:rFonts w:ascii="仿宋_GB2312" w:hAnsi="仿宋_GB2312" w:cs="仿宋_GB2312"/>
          <w:snapToGrid w:val="0"/>
          <w:color w:val="000000" w:themeColor="text1"/>
          <w:kern w:val="0"/>
          <w:szCs w:val="32"/>
          <w14:textFill>
            <w14:solidFill>
              <w14:schemeClr w14:val="tx1"/>
            </w14:solidFill>
          </w14:textFill>
        </w:rPr>
      </w:pPr>
      <w:r>
        <w:rPr>
          <w:rFonts w:hint="eastAsia" w:ascii="仿宋_GB2312" w:hAnsi="仿宋_GB2312" w:cs="仿宋_GB2312"/>
          <w:b/>
          <w:bCs/>
          <w:snapToGrid w:val="0"/>
          <w:color w:val="000000" w:themeColor="text1"/>
          <w:kern w:val="0"/>
          <w:szCs w:val="32"/>
          <w14:textFill>
            <w14:solidFill>
              <w14:schemeClr w14:val="tx1"/>
            </w14:solidFill>
          </w14:textFill>
        </w:rPr>
        <w:t>二是打造高效便利的投资环境。</w:t>
      </w:r>
      <w:r>
        <w:rPr>
          <w:rFonts w:hint="eastAsia" w:ascii="仿宋_GB2312" w:hAnsi="仿宋_GB2312" w:cs="仿宋_GB2312"/>
          <w:snapToGrid w:val="0"/>
          <w:color w:val="000000" w:themeColor="text1"/>
          <w:kern w:val="0"/>
          <w:szCs w:val="32"/>
          <w14:textFill>
            <w14:solidFill>
              <w14:schemeClr w14:val="tx1"/>
            </w14:solidFill>
          </w14:textFill>
        </w:rPr>
        <w:t>推动“一网通办”与“智慧通办”融合，实现政务服务事项线上化。深化“拿地即开工、交地即交证”审批模式，升级企业服务专员机制，推动政策精准推送与“免申即享”。深化“两区”制度创新，在外企准入、跨境数据流动等领域推出制度型开放政策，提升国际化服务能力，推动入境旅游便利化，办好国际化交流会议、学术论坛等品牌活动，完善外资企业服务机制，构建高水平对外开放平台。</w:t>
      </w:r>
    </w:p>
    <w:p>
      <w:pPr>
        <w:widowControl/>
        <w:shd w:val="clear" w:color="auto" w:fill="FFFFFF" w:themeFill="background1"/>
        <w:topLinePunct/>
        <w:adjustRightInd w:val="0"/>
        <w:snapToGrid w:val="0"/>
        <w:ind w:firstLine="643"/>
        <w:textAlignment w:val="baseline"/>
        <w:rPr>
          <w:rFonts w:ascii="仿宋_GB2312" w:hAnsi="仿宋_GB2312" w:cs="仿宋_GB2312"/>
          <w:snapToGrid w:val="0"/>
          <w:color w:val="000000" w:themeColor="text1"/>
          <w:kern w:val="0"/>
          <w:szCs w:val="32"/>
          <w14:textFill>
            <w14:solidFill>
              <w14:schemeClr w14:val="tx1"/>
            </w14:solidFill>
          </w14:textFill>
        </w:rPr>
      </w:pPr>
      <w:r>
        <w:rPr>
          <w:rFonts w:hint="eastAsia" w:ascii="仿宋_GB2312" w:hAnsi="仿宋_GB2312" w:cs="仿宋_GB2312"/>
          <w:b/>
          <w:bCs/>
          <w:snapToGrid w:val="0"/>
          <w:color w:val="000000" w:themeColor="text1"/>
          <w:kern w:val="0"/>
          <w:szCs w:val="32"/>
          <w14:textFill>
            <w14:solidFill>
              <w14:schemeClr w14:val="tx1"/>
            </w14:solidFill>
          </w14:textFill>
        </w:rPr>
        <w:t>三是建设近悦远来的人文环境。</w:t>
      </w:r>
      <w:r>
        <w:rPr>
          <w:rFonts w:hint="eastAsia" w:ascii="仿宋_GB2312" w:hAnsi="仿宋_GB2312" w:cs="仿宋_GB2312"/>
          <w:snapToGrid w:val="0"/>
          <w:color w:val="000000" w:themeColor="text1"/>
          <w:kern w:val="0"/>
          <w:szCs w:val="32"/>
          <w14:textFill>
            <w14:solidFill>
              <w14:schemeClr w14:val="tx1"/>
            </w14:solidFill>
          </w14:textFill>
        </w:rPr>
        <w:t>提升城市文化软实力，培育开放包容、多元融合的城市气质。优化教育、医疗、文旅、体育、养老等公共服务资源配置，完善国际学校、国际医疗、涉外服务等国际化配套设施。丰富高品质文旅消费场景，营造充满活力的城市氛围。推动职业技能培训与就业服务提质，为产业发展提供本地化人力支撑。</w:t>
      </w:r>
    </w:p>
    <w:p>
      <w:pPr>
        <w:ind w:firstLine="640"/>
        <w:rPr>
          <w:rFonts w:ascii="仿宋_GB2312" w:hAnsi="仿宋_GB2312" w:cs="仿宋_GB2312"/>
          <w:color w:val="000000" w:themeColor="text1"/>
          <w:szCs w:val="32"/>
          <w:lang w:bidi="ar"/>
          <w14:textFill>
            <w14:solidFill>
              <w14:schemeClr w14:val="tx1"/>
            </w14:solidFill>
          </w14:textFill>
        </w:rPr>
      </w:pPr>
      <w:r>
        <w:rPr>
          <w:rFonts w:ascii="仿宋_GB2312" w:hAnsi="仿宋_GB2312" w:cs="仿宋_GB2312"/>
          <w:color w:val="000000" w:themeColor="text1"/>
          <w:szCs w:val="32"/>
          <w:lang w:bidi="ar"/>
          <w14:textFill>
            <w14:solidFill>
              <w14:schemeClr w14:val="tx1"/>
            </w14:solidFill>
          </w14:textFill>
        </w:rPr>
        <w:br w:type="page"/>
      </w:r>
    </w:p>
    <w:p>
      <w:pPr>
        <w:pStyle w:val="2"/>
        <w:keepNext w:val="0"/>
        <w:keepLines w:val="0"/>
        <w:ind w:firstLine="0" w:firstLineChars="0"/>
        <w:jc w:val="center"/>
        <w:rPr>
          <w:rFonts w:hint="default" w:ascii="方正小标宋简体" w:hAnsi="方正小标宋简体" w:eastAsia="方正小标宋简体" w:cs="方正小标宋简体"/>
          <w:bCs w:val="0"/>
          <w:kern w:val="44"/>
          <w:sz w:val="36"/>
          <w:szCs w:val="36"/>
        </w:rPr>
      </w:pPr>
      <w:bookmarkStart w:id="526" w:name="_Toc228193772"/>
      <w:bookmarkStart w:id="527" w:name="_Toc12769"/>
      <w:bookmarkStart w:id="528" w:name="_Toc15539"/>
      <w:bookmarkStart w:id="529" w:name="_Toc20133"/>
      <w:bookmarkStart w:id="530" w:name="_Toc6485"/>
      <w:r>
        <w:rPr>
          <w:rFonts w:hint="default" w:ascii="方正小标宋简体" w:hAnsi="方正小标宋简体" w:eastAsia="方正小标宋简体" w:cs="方正小标宋简体"/>
          <w:bCs w:val="0"/>
          <w:kern w:val="44"/>
          <w:sz w:val="36"/>
          <w:szCs w:val="36"/>
        </w:rPr>
        <w:t>第</w:t>
      </w:r>
      <w:r>
        <w:rPr>
          <w:rFonts w:ascii="方正小标宋简体" w:hAnsi="方正小标宋简体" w:eastAsia="方正小标宋简体" w:cs="方正小标宋简体"/>
          <w:bCs w:val="0"/>
          <w:kern w:val="44"/>
          <w:sz w:val="36"/>
          <w:szCs w:val="36"/>
        </w:rPr>
        <w:t>六</w:t>
      </w:r>
      <w:r>
        <w:rPr>
          <w:rFonts w:hint="default" w:ascii="方正小标宋简体" w:hAnsi="方正小标宋简体" w:eastAsia="方正小标宋简体" w:cs="方正小标宋简体"/>
          <w:bCs w:val="0"/>
          <w:kern w:val="44"/>
          <w:sz w:val="36"/>
          <w:szCs w:val="36"/>
        </w:rPr>
        <w:t>篇 健全保障体系 确保规划落地见效</w:t>
      </w:r>
      <w:bookmarkEnd w:id="526"/>
      <w:bookmarkEnd w:id="527"/>
      <w:bookmarkEnd w:id="528"/>
      <w:bookmarkEnd w:id="529"/>
      <w:bookmarkEnd w:id="530"/>
    </w:p>
    <w:p>
      <w:pPr>
        <w:pStyle w:val="3"/>
        <w:spacing w:before="0" w:after="0"/>
        <w:ind w:firstLine="0" w:firstLineChars="0"/>
        <w:jc w:val="center"/>
        <w:rPr>
          <w:rFonts w:ascii="仿宋_GB2312" w:hAnsi="等线" w:cs="仿宋_GB2312"/>
          <w:color w:val="000000" w:themeColor="text1"/>
          <w:szCs w:val="32"/>
          <w:lang w:bidi="ar"/>
          <w14:textFill>
            <w14:solidFill>
              <w14:schemeClr w14:val="tx1"/>
            </w14:solidFill>
          </w14:textFill>
        </w:rPr>
      </w:pPr>
      <w:bookmarkStart w:id="531" w:name="_Toc228193773"/>
      <w:bookmarkStart w:id="532" w:name="_Toc19757"/>
      <w:bookmarkStart w:id="533" w:name="_Toc12892"/>
      <w:r>
        <w:rPr>
          <w:rFonts w:hint="default" w:ascii="黑体" w:hAnsi="黑体" w:eastAsia="黑体" w:cs="黑体"/>
          <w:b w:val="0"/>
          <w:bCs w:val="0"/>
          <w:color w:val="000000" w:themeColor="text1"/>
          <w:sz w:val="32"/>
          <w:szCs w:val="32"/>
          <w:lang w:bidi="ar"/>
          <w14:textFill>
            <w14:solidFill>
              <w14:schemeClr w14:val="tx1"/>
            </w14:solidFill>
          </w14:textFill>
        </w:rPr>
        <w:t>第</w:t>
      </w:r>
      <w:r>
        <w:rPr>
          <w:rFonts w:hint="eastAsia" w:ascii="黑体" w:hAnsi="黑体" w:eastAsia="黑体" w:cs="黑体"/>
          <w:b w:val="0"/>
          <w:bCs w:val="0"/>
          <w:color w:val="000000" w:themeColor="text1"/>
          <w:sz w:val="32"/>
          <w:szCs w:val="32"/>
          <w:lang w:eastAsia="zh-CN" w:bidi="ar"/>
          <w14:textFill>
            <w14:solidFill>
              <w14:schemeClr w14:val="tx1"/>
            </w14:solidFill>
          </w14:textFill>
        </w:rPr>
        <w:t>二十</w:t>
      </w:r>
      <w:r>
        <w:rPr>
          <w:rFonts w:hint="default" w:ascii="黑体" w:hAnsi="黑体" w:eastAsia="黑体" w:cs="黑体"/>
          <w:b w:val="0"/>
          <w:bCs w:val="0"/>
          <w:color w:val="000000" w:themeColor="text1"/>
          <w:sz w:val="32"/>
          <w:szCs w:val="32"/>
          <w:lang w:bidi="ar"/>
          <w14:textFill>
            <w14:solidFill>
              <w14:schemeClr w14:val="tx1"/>
            </w14:solidFill>
          </w14:textFill>
        </w:rPr>
        <w:t xml:space="preserve">章 </w:t>
      </w:r>
      <w:r>
        <w:rPr>
          <w:rFonts w:hint="default" w:ascii="黑体" w:hAnsi="黑体" w:eastAsia="黑体" w:cs="黑体"/>
          <w:b w:val="0"/>
          <w:bCs w:val="0"/>
          <w:color w:val="000000" w:themeColor="text1"/>
          <w:sz w:val="32"/>
          <w:szCs w:val="32"/>
          <w14:textFill>
            <w14:solidFill>
              <w14:schemeClr w14:val="tx1"/>
            </w14:solidFill>
          </w14:textFill>
        </w:rPr>
        <w:t>党建引领</w:t>
      </w:r>
      <w:r>
        <w:rPr>
          <w:rFonts w:hint="default" w:ascii="黑体" w:hAnsi="黑体" w:eastAsia="黑体" w:cs="黑体"/>
          <w:b w:val="0"/>
          <w:bCs w:val="0"/>
          <w:color w:val="000000" w:themeColor="text1"/>
          <w:sz w:val="32"/>
          <w:szCs w:val="32"/>
          <w:lang w:bidi="ar"/>
          <w14:textFill>
            <w14:solidFill>
              <w14:schemeClr w14:val="tx1"/>
            </w14:solidFill>
          </w14:textFill>
        </w:rPr>
        <w:t>健全</w:t>
      </w:r>
      <w:r>
        <w:rPr>
          <w:rFonts w:hint="default" w:ascii="黑体" w:hAnsi="黑体" w:eastAsia="黑体" w:cs="黑体"/>
          <w:b w:val="0"/>
          <w:bCs w:val="0"/>
          <w:color w:val="000000" w:themeColor="text1"/>
          <w:sz w:val="32"/>
          <w:szCs w:val="32"/>
          <w14:textFill>
            <w14:solidFill>
              <w14:schemeClr w14:val="tx1"/>
            </w14:solidFill>
          </w14:textFill>
        </w:rPr>
        <w:t>协同</w:t>
      </w:r>
      <w:r>
        <w:rPr>
          <w:rFonts w:hint="default" w:ascii="黑体" w:hAnsi="黑体" w:eastAsia="黑体" w:cs="黑体"/>
          <w:b w:val="0"/>
          <w:bCs w:val="0"/>
          <w:color w:val="000000" w:themeColor="text1"/>
          <w:sz w:val="32"/>
          <w:szCs w:val="32"/>
          <w:lang w:bidi="ar"/>
          <w14:textFill>
            <w14:solidFill>
              <w14:schemeClr w14:val="tx1"/>
            </w14:solidFill>
          </w14:textFill>
        </w:rPr>
        <w:t>推进机制</w:t>
      </w:r>
      <w:bookmarkEnd w:id="531"/>
      <w:bookmarkEnd w:id="532"/>
      <w:bookmarkEnd w:id="533"/>
    </w:p>
    <w:p>
      <w:pPr>
        <w:widowControl/>
        <w:kinsoku w:val="0"/>
        <w:autoSpaceDE w:val="0"/>
        <w:autoSpaceDN w:val="0"/>
        <w:adjustRightInd w:val="0"/>
        <w:snapToGrid w:val="0"/>
        <w:ind w:firstLine="640"/>
        <w:textAlignment w:val="baseline"/>
        <w:outlineLvl w:val="2"/>
        <w:rPr>
          <w:rFonts w:ascii="黑体" w:hAnsi="黑体" w:eastAsia="黑体" w:cs="黑体"/>
          <w:color w:val="000000" w:themeColor="text1"/>
          <w:szCs w:val="32"/>
          <w:lang w:bidi="ar"/>
          <w14:textFill>
            <w14:solidFill>
              <w14:schemeClr w14:val="tx1"/>
            </w14:solidFill>
          </w14:textFill>
        </w:rPr>
      </w:pPr>
      <w:bookmarkStart w:id="534" w:name="_Toc228193774"/>
      <w:bookmarkStart w:id="535" w:name="_Toc19071"/>
      <w:bookmarkStart w:id="536" w:name="_Toc12465"/>
      <w:r>
        <w:rPr>
          <w:rFonts w:hint="eastAsia" w:ascii="黑体" w:hAnsi="黑体" w:eastAsia="黑体" w:cs="黑体"/>
          <w:color w:val="000000" w:themeColor="text1"/>
          <w:szCs w:val="32"/>
          <w:lang w:bidi="ar"/>
          <w14:textFill>
            <w14:solidFill>
              <w14:schemeClr w14:val="tx1"/>
            </w14:solidFill>
          </w14:textFill>
        </w:rPr>
        <w:t>一、</w:t>
      </w:r>
      <w:r>
        <w:rPr>
          <w:rFonts w:ascii="黑体" w:hAnsi="黑体" w:eastAsia="黑体" w:cs="黑体"/>
          <w:color w:val="000000" w:themeColor="text1"/>
          <w:szCs w:val="32"/>
          <w:lang w:bidi="ar"/>
          <w14:textFill>
            <w14:solidFill>
              <w14:schemeClr w14:val="tx1"/>
            </w14:solidFill>
          </w14:textFill>
        </w:rPr>
        <w:t>强化</w:t>
      </w:r>
      <w:r>
        <w:rPr>
          <w:rFonts w:hint="eastAsia" w:ascii="黑体" w:hAnsi="黑体" w:eastAsia="黑体" w:cs="黑体"/>
          <w:color w:val="000000" w:themeColor="text1"/>
          <w:szCs w:val="32"/>
          <w:lang w:bidi="ar"/>
          <w14:textFill>
            <w14:solidFill>
              <w14:schemeClr w14:val="tx1"/>
            </w14:solidFill>
          </w14:textFill>
        </w:rPr>
        <w:t>党建引领</w:t>
      </w:r>
      <w:r>
        <w:rPr>
          <w:rFonts w:ascii="黑体" w:hAnsi="黑体" w:eastAsia="黑体" w:cs="黑体"/>
          <w:color w:val="000000" w:themeColor="text1"/>
          <w:szCs w:val="32"/>
          <w:lang w:bidi="ar"/>
          <w14:textFill>
            <w14:solidFill>
              <w14:schemeClr w14:val="tx1"/>
            </w14:solidFill>
          </w14:textFill>
        </w:rPr>
        <w:t>，</w:t>
      </w:r>
      <w:r>
        <w:rPr>
          <w:rFonts w:hint="eastAsia" w:ascii="黑体" w:hAnsi="黑体" w:eastAsia="黑体" w:cs="黑体"/>
          <w:color w:val="000000" w:themeColor="text1"/>
          <w:szCs w:val="32"/>
          <w:lang w:bidi="ar"/>
          <w14:textFill>
            <w14:solidFill>
              <w14:schemeClr w14:val="tx1"/>
            </w14:solidFill>
          </w14:textFill>
        </w:rPr>
        <w:t>促进</w:t>
      </w:r>
      <w:r>
        <w:rPr>
          <w:rFonts w:ascii="黑体" w:hAnsi="黑体" w:eastAsia="黑体" w:cs="黑体"/>
          <w:color w:val="000000" w:themeColor="text1"/>
          <w:szCs w:val="32"/>
          <w:lang w:bidi="ar"/>
          <w14:textFill>
            <w14:solidFill>
              <w14:schemeClr w14:val="tx1"/>
            </w14:solidFill>
          </w14:textFill>
        </w:rPr>
        <w:t>规划实施“一盘棋”</w:t>
      </w:r>
      <w:bookmarkEnd w:id="534"/>
      <w:bookmarkEnd w:id="535"/>
      <w:bookmarkEnd w:id="536"/>
    </w:p>
    <w:p>
      <w:pPr>
        <w:tabs>
          <w:tab w:val="left" w:pos="720"/>
        </w:tabs>
        <w:ind w:firstLine="640"/>
        <w:rPr>
          <w:rFonts w:ascii="仿宋_GB2312" w:hAnsi="等线" w:cs="仿宋_GB2312"/>
          <w:color w:val="000000" w:themeColor="text1"/>
          <w:szCs w:val="32"/>
          <w:lang w:bidi="ar"/>
          <w14:textFill>
            <w14:solidFill>
              <w14:schemeClr w14:val="tx1"/>
            </w14:solidFill>
          </w14:textFill>
        </w:rPr>
      </w:pPr>
      <w:r>
        <w:rPr>
          <w:rFonts w:ascii="仿宋_GB2312" w:hAnsi="等线" w:cs="仿宋_GB2312"/>
          <w:color w:val="000000" w:themeColor="text1"/>
          <w:szCs w:val="32"/>
          <w:lang w:bidi="ar"/>
          <w14:textFill>
            <w14:solidFill>
              <w14:schemeClr w14:val="tx1"/>
            </w14:solidFill>
          </w14:textFill>
        </w:rPr>
        <w:t>建立健全产业规划实施统筹协调机制，强化区级层面对重点产业方向、重点功能区、重大产业项目的统一谋划和统筹调度，推动产业发展与空间布局、城市建设、基础设施、公共服务等工作协同衔接。健全跨部门联动会商机制，及时研究解决规划实施中的重大问题，提升产业工作统筹能力。</w:t>
      </w:r>
    </w:p>
    <w:p>
      <w:pPr>
        <w:widowControl/>
        <w:kinsoku w:val="0"/>
        <w:autoSpaceDE w:val="0"/>
        <w:autoSpaceDN w:val="0"/>
        <w:adjustRightInd w:val="0"/>
        <w:snapToGrid w:val="0"/>
        <w:ind w:firstLine="640"/>
        <w:textAlignment w:val="baseline"/>
        <w:outlineLvl w:val="2"/>
        <w:rPr>
          <w:rFonts w:ascii="黑体" w:hAnsi="黑体" w:eastAsia="黑体" w:cs="黑体"/>
          <w:color w:val="000000" w:themeColor="text1"/>
          <w:szCs w:val="32"/>
          <w:lang w:bidi="ar"/>
          <w14:textFill>
            <w14:solidFill>
              <w14:schemeClr w14:val="tx1"/>
            </w14:solidFill>
          </w14:textFill>
        </w:rPr>
      </w:pPr>
      <w:bookmarkStart w:id="537" w:name="_Toc32055"/>
      <w:bookmarkStart w:id="538" w:name="_Toc228193775"/>
      <w:bookmarkStart w:id="539" w:name="_Toc29796"/>
      <w:r>
        <w:rPr>
          <w:rFonts w:hint="eastAsia" w:ascii="黑体" w:hAnsi="黑体" w:eastAsia="黑体" w:cs="黑体"/>
          <w:color w:val="000000" w:themeColor="text1"/>
          <w:szCs w:val="32"/>
          <w:lang w:bidi="ar"/>
          <w14:textFill>
            <w14:solidFill>
              <w14:schemeClr w14:val="tx1"/>
            </w14:solidFill>
          </w14:textFill>
        </w:rPr>
        <w:t>二、</w:t>
      </w:r>
      <w:r>
        <w:rPr>
          <w:rFonts w:ascii="黑体" w:hAnsi="黑体" w:eastAsia="黑体" w:cs="黑体"/>
          <w:color w:val="000000" w:themeColor="text1"/>
          <w:szCs w:val="32"/>
          <w:lang w:bidi="ar"/>
          <w14:textFill>
            <w14:solidFill>
              <w14:schemeClr w14:val="tx1"/>
            </w14:solidFill>
          </w14:textFill>
        </w:rPr>
        <w:t>强化协同联动，提升规划实施效能</w:t>
      </w:r>
      <w:bookmarkEnd w:id="537"/>
      <w:bookmarkEnd w:id="538"/>
      <w:bookmarkEnd w:id="539"/>
    </w:p>
    <w:p>
      <w:pPr>
        <w:tabs>
          <w:tab w:val="left" w:pos="720"/>
        </w:tabs>
        <w:ind w:firstLine="640"/>
        <w:rPr>
          <w:rFonts w:ascii="仿宋_GB2312" w:hAnsi="等线" w:cs="仿宋_GB2312"/>
          <w:color w:val="000000" w:themeColor="text1"/>
          <w:szCs w:val="32"/>
          <w:lang w:bidi="ar"/>
          <w14:textFill>
            <w14:solidFill>
              <w14:schemeClr w14:val="tx1"/>
            </w14:solidFill>
          </w14:textFill>
        </w:rPr>
      </w:pPr>
      <w:r>
        <w:rPr>
          <w:rFonts w:ascii="仿宋_GB2312" w:hAnsi="等线" w:cs="仿宋_GB2312"/>
          <w:color w:val="000000" w:themeColor="text1"/>
          <w:szCs w:val="32"/>
          <w:lang w:bidi="ar"/>
          <w14:textFill>
            <w14:solidFill>
              <w14:schemeClr w14:val="tx1"/>
            </w14:solidFill>
          </w14:textFill>
        </w:rPr>
        <w:t>围绕产业规划实施中的重点领域和关键环节，健全部门协同推进机制，推动产业发展与科技创新、空间保障、基础设施、财政金融、人才服务等工作统筹衔接、协同发力。强化</w:t>
      </w:r>
      <w:r>
        <w:rPr>
          <w:rFonts w:hint="eastAsia" w:ascii="仿宋_GB2312" w:hAnsi="等线" w:cs="仿宋_GB2312"/>
          <w:color w:val="000000" w:themeColor="text1"/>
          <w:szCs w:val="32"/>
          <w:lang w:bidi="ar"/>
          <w14:textFill>
            <w14:solidFill>
              <w14:schemeClr w14:val="tx1"/>
            </w14:solidFill>
          </w14:textFill>
        </w:rPr>
        <w:t>各</w:t>
      </w:r>
      <w:r>
        <w:rPr>
          <w:rFonts w:ascii="仿宋_GB2312" w:hAnsi="等线" w:cs="仿宋_GB2312"/>
          <w:color w:val="000000" w:themeColor="text1"/>
          <w:szCs w:val="32"/>
          <w:lang w:bidi="ar"/>
          <w14:textFill>
            <w14:solidFill>
              <w14:schemeClr w14:val="tx1"/>
            </w14:solidFill>
          </w14:textFill>
        </w:rPr>
        <w:t>部门之间的常态化沟通协调，推动政策制定、资源配置、项目服务、企业保障等环节高效联动，增强工作推进的一致性和协同性。</w:t>
      </w:r>
    </w:p>
    <w:p>
      <w:pPr>
        <w:widowControl/>
        <w:kinsoku w:val="0"/>
        <w:autoSpaceDE w:val="0"/>
        <w:autoSpaceDN w:val="0"/>
        <w:adjustRightInd w:val="0"/>
        <w:snapToGrid w:val="0"/>
        <w:ind w:firstLine="640"/>
        <w:textAlignment w:val="baseline"/>
        <w:outlineLvl w:val="2"/>
        <w:rPr>
          <w:rFonts w:ascii="黑体" w:hAnsi="黑体" w:eastAsia="黑体" w:cs="黑体"/>
          <w:color w:val="000000" w:themeColor="text1"/>
          <w:szCs w:val="32"/>
          <w:lang w:bidi="ar"/>
          <w14:textFill>
            <w14:solidFill>
              <w14:schemeClr w14:val="tx1"/>
            </w14:solidFill>
          </w14:textFill>
        </w:rPr>
      </w:pPr>
      <w:bookmarkStart w:id="540" w:name="_Toc228193776"/>
      <w:bookmarkStart w:id="541" w:name="_Toc57"/>
      <w:bookmarkStart w:id="542" w:name="_Toc23653"/>
      <w:r>
        <w:rPr>
          <w:rFonts w:hint="eastAsia" w:ascii="黑体" w:hAnsi="黑体" w:eastAsia="黑体" w:cs="黑体"/>
          <w:color w:val="000000" w:themeColor="text1"/>
          <w:szCs w:val="32"/>
          <w:lang w:bidi="ar"/>
          <w14:textFill>
            <w14:solidFill>
              <w14:schemeClr w14:val="tx1"/>
            </w14:solidFill>
          </w14:textFill>
        </w:rPr>
        <w:t>三、</w:t>
      </w:r>
      <w:r>
        <w:rPr>
          <w:rFonts w:ascii="黑体" w:hAnsi="黑体" w:eastAsia="黑体" w:cs="黑体"/>
          <w:color w:val="000000" w:themeColor="text1"/>
          <w:szCs w:val="32"/>
          <w:lang w:bidi="ar"/>
          <w14:textFill>
            <w14:solidFill>
              <w14:schemeClr w14:val="tx1"/>
            </w14:solidFill>
          </w14:textFill>
        </w:rPr>
        <w:t>强化</w:t>
      </w:r>
      <w:r>
        <w:rPr>
          <w:rFonts w:hint="eastAsia" w:ascii="黑体" w:hAnsi="黑体" w:eastAsia="黑体" w:cs="黑体"/>
          <w:color w:val="000000" w:themeColor="text1"/>
          <w:szCs w:val="32"/>
          <w:lang w:bidi="ar"/>
          <w14:textFill>
            <w14:solidFill>
              <w14:schemeClr w14:val="tx1"/>
            </w14:solidFill>
          </w14:textFill>
        </w:rPr>
        <w:t>园镇协同</w:t>
      </w:r>
      <w:r>
        <w:rPr>
          <w:rFonts w:ascii="黑体" w:hAnsi="黑体" w:eastAsia="黑体" w:cs="黑体"/>
          <w:color w:val="000000" w:themeColor="text1"/>
          <w:szCs w:val="32"/>
          <w:lang w:bidi="ar"/>
          <w14:textFill>
            <w14:solidFill>
              <w14:schemeClr w14:val="tx1"/>
            </w14:solidFill>
          </w14:textFill>
        </w:rPr>
        <w:t>，打通落地“最后一公里”</w:t>
      </w:r>
      <w:bookmarkEnd w:id="540"/>
      <w:bookmarkEnd w:id="541"/>
      <w:bookmarkEnd w:id="542"/>
    </w:p>
    <w:p>
      <w:pPr>
        <w:tabs>
          <w:tab w:val="left" w:pos="720"/>
        </w:tabs>
        <w:ind w:firstLine="640"/>
        <w:rPr>
          <w:rFonts w:ascii="仿宋_GB2312" w:hAnsi="等线" w:cs="仿宋_GB2312"/>
          <w:color w:val="000000" w:themeColor="text1"/>
          <w:szCs w:val="32"/>
          <w:lang w:bidi="ar"/>
          <w14:textFill>
            <w14:solidFill>
              <w14:schemeClr w14:val="tx1"/>
            </w14:solidFill>
          </w14:textFill>
        </w:rPr>
      </w:pPr>
      <w:r>
        <w:rPr>
          <w:rFonts w:ascii="仿宋_GB2312" w:hAnsi="等线" w:cs="仿宋_GB2312"/>
          <w:color w:val="000000" w:themeColor="text1"/>
          <w:szCs w:val="32"/>
          <w:lang w:bidi="ar"/>
          <w14:textFill>
            <w14:solidFill>
              <w14:schemeClr w14:val="tx1"/>
            </w14:solidFill>
          </w14:textFill>
        </w:rPr>
        <w:t>充分发挥重点园区、功能区和属地街乡在项目承接、空间供给、企业服务、配套完善等方面的作用，推动形成区级统筹、部门协同、园区承载、属地服务的工作格局。</w:t>
      </w:r>
    </w:p>
    <w:p>
      <w:pPr>
        <w:pStyle w:val="3"/>
        <w:spacing w:before="0" w:after="0"/>
        <w:ind w:firstLine="0" w:firstLineChars="0"/>
        <w:jc w:val="center"/>
        <w:rPr>
          <w:rFonts w:hint="default" w:ascii="黑体" w:hAnsi="黑体" w:eastAsia="黑体" w:cs="黑体"/>
          <w:b w:val="0"/>
          <w:bCs w:val="0"/>
          <w:color w:val="000000" w:themeColor="text1"/>
          <w:szCs w:val="32"/>
          <w:lang w:bidi="ar"/>
          <w14:textFill>
            <w14:solidFill>
              <w14:schemeClr w14:val="tx1"/>
            </w14:solidFill>
          </w14:textFill>
        </w:rPr>
      </w:pPr>
      <w:bookmarkStart w:id="543" w:name="_Toc228193777"/>
      <w:bookmarkStart w:id="544" w:name="_Toc5160"/>
      <w:bookmarkStart w:id="545" w:name="_Toc32132"/>
      <w:r>
        <w:rPr>
          <w:rFonts w:hint="default" w:ascii="黑体" w:hAnsi="黑体" w:eastAsia="黑体" w:cs="黑体"/>
          <w:b w:val="0"/>
          <w:bCs w:val="0"/>
          <w:color w:val="000000" w:themeColor="text1"/>
          <w:sz w:val="32"/>
          <w:szCs w:val="32"/>
          <w:lang w:bidi="ar"/>
          <w14:textFill>
            <w14:solidFill>
              <w14:schemeClr w14:val="tx1"/>
            </w14:solidFill>
          </w14:textFill>
        </w:rPr>
        <w:t>第</w:t>
      </w:r>
      <w:r>
        <w:rPr>
          <w:rFonts w:ascii="黑体" w:hAnsi="黑体" w:eastAsia="黑体" w:cs="黑体"/>
          <w:b w:val="0"/>
          <w:bCs w:val="0"/>
          <w:color w:val="000000" w:themeColor="text1"/>
          <w:sz w:val="32"/>
          <w:szCs w:val="32"/>
          <w:lang w:bidi="ar"/>
          <w14:textFill>
            <w14:solidFill>
              <w14:schemeClr w14:val="tx1"/>
            </w14:solidFill>
          </w14:textFill>
        </w:rPr>
        <w:t>二十</w:t>
      </w:r>
      <w:r>
        <w:rPr>
          <w:rFonts w:hint="eastAsia" w:ascii="黑体" w:hAnsi="黑体" w:eastAsia="黑体" w:cs="黑体"/>
          <w:b w:val="0"/>
          <w:bCs w:val="0"/>
          <w:color w:val="000000" w:themeColor="text1"/>
          <w:sz w:val="32"/>
          <w:szCs w:val="32"/>
          <w:lang w:eastAsia="zh-CN" w:bidi="ar"/>
          <w14:textFill>
            <w14:solidFill>
              <w14:schemeClr w14:val="tx1"/>
            </w14:solidFill>
          </w14:textFill>
        </w:rPr>
        <w:t>一</w:t>
      </w:r>
      <w:r>
        <w:rPr>
          <w:rFonts w:hint="default" w:ascii="黑体" w:hAnsi="黑体" w:eastAsia="黑体" w:cs="黑体"/>
          <w:b w:val="0"/>
          <w:bCs w:val="0"/>
          <w:color w:val="000000" w:themeColor="text1"/>
          <w:sz w:val="32"/>
          <w:szCs w:val="32"/>
          <w:lang w:bidi="ar"/>
          <w14:textFill>
            <w14:solidFill>
              <w14:schemeClr w14:val="tx1"/>
            </w14:solidFill>
          </w14:textFill>
        </w:rPr>
        <w:t>章 完善政策</w:t>
      </w:r>
      <w:r>
        <w:rPr>
          <w:rFonts w:hint="default" w:ascii="黑体" w:hAnsi="黑体" w:eastAsia="黑体" w:cs="黑体"/>
          <w:b w:val="0"/>
          <w:bCs w:val="0"/>
          <w:color w:val="000000" w:themeColor="text1"/>
          <w:sz w:val="32"/>
          <w:szCs w:val="32"/>
          <w14:textFill>
            <w14:solidFill>
              <w14:schemeClr w14:val="tx1"/>
            </w14:solidFill>
          </w14:textFill>
        </w:rPr>
        <w:t>集成</w:t>
      </w:r>
      <w:r>
        <w:rPr>
          <w:rFonts w:ascii="黑体" w:hAnsi="黑体" w:eastAsia="黑体" w:cs="黑体"/>
          <w:b w:val="0"/>
          <w:bCs w:val="0"/>
          <w:color w:val="000000" w:themeColor="text1"/>
          <w:sz w:val="32"/>
          <w:szCs w:val="32"/>
          <w14:textFill>
            <w14:solidFill>
              <w14:schemeClr w14:val="tx1"/>
            </w14:solidFill>
          </w14:textFill>
        </w:rPr>
        <w:t>强化</w:t>
      </w:r>
      <w:r>
        <w:rPr>
          <w:rFonts w:hint="default" w:ascii="黑体" w:hAnsi="黑体" w:eastAsia="黑体" w:cs="黑体"/>
          <w:b w:val="0"/>
          <w:bCs w:val="0"/>
          <w:color w:val="000000" w:themeColor="text1"/>
          <w:sz w:val="32"/>
          <w:szCs w:val="32"/>
          <w:lang w:bidi="ar"/>
          <w14:textFill>
            <w14:solidFill>
              <w14:schemeClr w14:val="tx1"/>
            </w14:solidFill>
          </w14:textFill>
        </w:rPr>
        <w:t>项目保障</w:t>
      </w:r>
      <w:bookmarkEnd w:id="543"/>
      <w:bookmarkEnd w:id="544"/>
      <w:bookmarkEnd w:id="545"/>
    </w:p>
    <w:p>
      <w:pPr>
        <w:widowControl/>
        <w:kinsoku w:val="0"/>
        <w:autoSpaceDE w:val="0"/>
        <w:autoSpaceDN w:val="0"/>
        <w:adjustRightInd w:val="0"/>
        <w:snapToGrid w:val="0"/>
        <w:ind w:firstLine="640"/>
        <w:textAlignment w:val="baseline"/>
        <w:outlineLvl w:val="2"/>
        <w:rPr>
          <w:rFonts w:ascii="黑体" w:hAnsi="黑体" w:eastAsia="黑体" w:cs="黑体"/>
          <w:color w:val="000000" w:themeColor="text1"/>
          <w:szCs w:val="32"/>
          <w:lang w:bidi="ar"/>
          <w14:textFill>
            <w14:solidFill>
              <w14:schemeClr w14:val="tx1"/>
            </w14:solidFill>
          </w14:textFill>
        </w:rPr>
      </w:pPr>
      <w:bookmarkStart w:id="546" w:name="_Toc228193778"/>
      <w:bookmarkStart w:id="547" w:name="_Toc30250"/>
      <w:bookmarkStart w:id="548" w:name="_Toc30576"/>
      <w:r>
        <w:rPr>
          <w:rFonts w:hint="eastAsia" w:ascii="黑体" w:hAnsi="黑体" w:eastAsia="黑体" w:cs="黑体"/>
          <w:color w:val="000000" w:themeColor="text1"/>
          <w:szCs w:val="32"/>
          <w:lang w:bidi="ar"/>
          <w14:textFill>
            <w14:solidFill>
              <w14:schemeClr w14:val="tx1"/>
            </w14:solidFill>
          </w14:textFill>
        </w:rPr>
        <w:t>一、</w:t>
      </w:r>
      <w:r>
        <w:rPr>
          <w:rFonts w:ascii="黑体" w:hAnsi="黑体" w:eastAsia="黑体" w:cs="黑体"/>
          <w:color w:val="000000" w:themeColor="text1"/>
          <w:szCs w:val="32"/>
          <w:lang w:bidi="ar"/>
          <w14:textFill>
            <w14:solidFill>
              <w14:schemeClr w14:val="tx1"/>
            </w14:solidFill>
          </w14:textFill>
        </w:rPr>
        <w:t>强化政策创新，提升产业发展制度供给能力</w:t>
      </w:r>
      <w:bookmarkEnd w:id="546"/>
      <w:bookmarkEnd w:id="547"/>
      <w:bookmarkEnd w:id="548"/>
    </w:p>
    <w:p>
      <w:pPr>
        <w:tabs>
          <w:tab w:val="left" w:pos="720"/>
        </w:tabs>
        <w:ind w:firstLine="640"/>
        <w:rPr>
          <w:rFonts w:ascii="仿宋_GB2312" w:hAnsi="等线" w:cs="仿宋_GB2312"/>
          <w:color w:val="000000" w:themeColor="text1"/>
          <w:szCs w:val="32"/>
          <w:lang w:bidi="ar"/>
          <w14:textFill>
            <w14:solidFill>
              <w14:schemeClr w14:val="tx1"/>
            </w14:solidFill>
          </w14:textFill>
        </w:rPr>
      </w:pPr>
      <w:r>
        <w:rPr>
          <w:rFonts w:ascii="仿宋_GB2312" w:hAnsi="等线" w:cs="仿宋_GB2312"/>
          <w:color w:val="000000" w:themeColor="text1"/>
          <w:szCs w:val="32"/>
          <w:lang w:bidi="ar"/>
          <w14:textFill>
            <w14:solidFill>
              <w14:schemeClr w14:val="tx1"/>
            </w14:solidFill>
          </w14:textFill>
        </w:rPr>
        <w:t>围绕重点产业方向和关键发展环节，系统梳理现有产业、科技、人才、金融、空间等政策资源，推动形成政策协同、条块联动、精准适配的产业政策体系。提升政策工具的精准性、有效性和可操作性。</w:t>
      </w:r>
    </w:p>
    <w:p>
      <w:pPr>
        <w:widowControl/>
        <w:kinsoku w:val="0"/>
        <w:autoSpaceDE w:val="0"/>
        <w:autoSpaceDN w:val="0"/>
        <w:adjustRightInd w:val="0"/>
        <w:snapToGrid w:val="0"/>
        <w:ind w:firstLine="640"/>
        <w:textAlignment w:val="baseline"/>
        <w:outlineLvl w:val="2"/>
        <w:rPr>
          <w:rFonts w:ascii="黑体" w:hAnsi="黑体" w:eastAsia="黑体" w:cs="黑体"/>
          <w:color w:val="000000" w:themeColor="text1"/>
          <w:szCs w:val="32"/>
          <w:lang w:bidi="ar"/>
          <w14:textFill>
            <w14:solidFill>
              <w14:schemeClr w14:val="tx1"/>
            </w14:solidFill>
          </w14:textFill>
        </w:rPr>
      </w:pPr>
      <w:bookmarkStart w:id="549" w:name="_Toc30658"/>
      <w:bookmarkStart w:id="550" w:name="_Toc12768"/>
      <w:bookmarkStart w:id="551" w:name="_Toc228193779"/>
      <w:r>
        <w:rPr>
          <w:rFonts w:hint="eastAsia" w:ascii="黑体" w:hAnsi="黑体" w:eastAsia="黑体" w:cs="黑体"/>
          <w:color w:val="000000" w:themeColor="text1"/>
          <w:szCs w:val="32"/>
          <w:lang w:bidi="ar"/>
          <w14:textFill>
            <w14:solidFill>
              <w14:schemeClr w14:val="tx1"/>
            </w14:solidFill>
          </w14:textFill>
        </w:rPr>
        <w:t>二、</w:t>
      </w:r>
      <w:r>
        <w:rPr>
          <w:rFonts w:ascii="黑体" w:hAnsi="黑体" w:eastAsia="黑体" w:cs="黑体"/>
          <w:color w:val="000000" w:themeColor="text1"/>
          <w:szCs w:val="32"/>
          <w:lang w:bidi="ar"/>
          <w14:textFill>
            <w14:solidFill>
              <w14:schemeClr w14:val="tx1"/>
            </w14:solidFill>
          </w14:textFill>
        </w:rPr>
        <w:t>突出项目牵引，增强</w:t>
      </w:r>
      <w:r>
        <w:rPr>
          <w:rFonts w:hint="eastAsia" w:ascii="黑体" w:hAnsi="黑体" w:eastAsia="黑体" w:cs="黑体"/>
          <w:color w:val="000000" w:themeColor="text1"/>
          <w:szCs w:val="32"/>
          <w:lang w:bidi="ar"/>
          <w14:textFill>
            <w14:solidFill>
              <w14:schemeClr w14:val="tx1"/>
            </w14:solidFill>
          </w14:textFill>
        </w:rPr>
        <w:t>产业</w:t>
      </w:r>
      <w:r>
        <w:rPr>
          <w:rFonts w:ascii="黑体" w:hAnsi="黑体" w:eastAsia="黑体" w:cs="黑体"/>
          <w:color w:val="000000" w:themeColor="text1"/>
          <w:szCs w:val="32"/>
          <w:lang w:bidi="ar"/>
          <w14:textFill>
            <w14:solidFill>
              <w14:schemeClr w14:val="tx1"/>
            </w14:solidFill>
          </w14:textFill>
        </w:rPr>
        <w:t>规划落地实体支撑</w:t>
      </w:r>
      <w:bookmarkEnd w:id="549"/>
    </w:p>
    <w:bookmarkEnd w:id="550"/>
    <w:bookmarkEnd w:id="551"/>
    <w:p>
      <w:pPr>
        <w:tabs>
          <w:tab w:val="left" w:pos="720"/>
        </w:tabs>
        <w:ind w:firstLine="640"/>
        <w:rPr>
          <w:rFonts w:ascii="仿宋_GB2312" w:hAnsi="等线" w:cs="仿宋_GB2312"/>
          <w:color w:val="000000" w:themeColor="text1"/>
          <w:szCs w:val="32"/>
          <w:lang w:bidi="ar"/>
          <w14:textFill>
            <w14:solidFill>
              <w14:schemeClr w14:val="tx1"/>
            </w14:solidFill>
          </w14:textFill>
        </w:rPr>
      </w:pPr>
      <w:r>
        <w:rPr>
          <w:rFonts w:ascii="仿宋_GB2312" w:hAnsi="等线" w:cs="仿宋_GB2312"/>
          <w:color w:val="000000" w:themeColor="text1"/>
          <w:szCs w:val="32"/>
          <w:lang w:bidi="ar"/>
          <w14:textFill>
            <w14:solidFill>
              <w14:schemeClr w14:val="tx1"/>
            </w14:solidFill>
          </w14:textFill>
        </w:rPr>
        <w:t>坚持</w:t>
      </w:r>
      <w:r>
        <w:rPr>
          <w:rFonts w:hint="eastAsia" w:ascii="仿宋_GB2312" w:hAnsi="等线" w:cs="仿宋_GB2312"/>
          <w:color w:val="000000" w:themeColor="text1"/>
          <w:szCs w:val="32"/>
          <w:lang w:bidi="ar"/>
          <w14:textFill>
            <w14:solidFill>
              <w14:schemeClr w14:val="tx1"/>
            </w14:solidFill>
          </w14:textFill>
        </w:rPr>
        <w:t>“</w:t>
      </w:r>
      <w:r>
        <w:rPr>
          <w:rFonts w:ascii="仿宋_GB2312" w:hAnsi="等线" w:cs="仿宋_GB2312"/>
          <w:color w:val="000000" w:themeColor="text1"/>
          <w:szCs w:val="32"/>
          <w:lang w:bidi="ar"/>
          <w14:textFill>
            <w14:solidFill>
              <w14:schemeClr w14:val="tx1"/>
            </w14:solidFill>
          </w14:textFill>
        </w:rPr>
        <w:t>以项目落地支撑规划实施</w:t>
      </w:r>
      <w:r>
        <w:rPr>
          <w:rFonts w:hint="eastAsia" w:ascii="仿宋_GB2312" w:hAnsi="等线" w:cs="仿宋_GB2312"/>
          <w:color w:val="000000" w:themeColor="text1"/>
          <w:szCs w:val="32"/>
          <w:lang w:bidi="ar"/>
          <w14:textFill>
            <w14:solidFill>
              <w14:schemeClr w14:val="tx1"/>
            </w14:solidFill>
          </w14:textFill>
        </w:rPr>
        <w:t>”</w:t>
      </w:r>
      <w:r>
        <w:rPr>
          <w:rFonts w:ascii="仿宋_GB2312" w:hAnsi="等线" w:cs="仿宋_GB2312"/>
          <w:color w:val="000000" w:themeColor="text1"/>
          <w:szCs w:val="32"/>
          <w:lang w:bidi="ar"/>
          <w14:textFill>
            <w14:solidFill>
              <w14:schemeClr w14:val="tx1"/>
            </w14:solidFill>
          </w14:textFill>
        </w:rPr>
        <w:t>，围绕规划确定的重点产业方向、重点平台载体和重点功能片区，建立产业项目谋划储备、滚动实施和动态管理机制，形成</w:t>
      </w:r>
      <w:r>
        <w:rPr>
          <w:rFonts w:hint="eastAsia" w:ascii="仿宋_GB2312" w:hAnsi="等线" w:cs="仿宋_GB2312"/>
          <w:color w:val="000000" w:themeColor="text1"/>
          <w:szCs w:val="32"/>
          <w:lang w:bidi="ar"/>
          <w14:textFill>
            <w14:solidFill>
              <w14:schemeClr w14:val="tx1"/>
            </w14:solidFill>
          </w14:textFill>
        </w:rPr>
        <w:t>“</w:t>
      </w:r>
      <w:r>
        <w:rPr>
          <w:rFonts w:ascii="仿宋_GB2312" w:hAnsi="等线" w:cs="仿宋_GB2312"/>
          <w:color w:val="000000" w:themeColor="text1"/>
          <w:szCs w:val="32"/>
          <w:lang w:bidi="ar"/>
          <w14:textFill>
            <w14:solidFill>
              <w14:schemeClr w14:val="tx1"/>
            </w14:solidFill>
          </w14:textFill>
        </w:rPr>
        <w:t>谋划一批、储备一批、落地一批、壮大一批</w:t>
      </w:r>
      <w:r>
        <w:rPr>
          <w:rFonts w:hint="eastAsia" w:ascii="仿宋_GB2312" w:hAnsi="等线" w:cs="仿宋_GB2312"/>
          <w:color w:val="000000" w:themeColor="text1"/>
          <w:szCs w:val="32"/>
          <w:lang w:bidi="ar"/>
          <w14:textFill>
            <w14:solidFill>
              <w14:schemeClr w14:val="tx1"/>
            </w14:solidFill>
          </w14:textFill>
        </w:rPr>
        <w:t>”</w:t>
      </w:r>
      <w:r>
        <w:rPr>
          <w:rFonts w:ascii="仿宋_GB2312" w:hAnsi="等线" w:cs="仿宋_GB2312"/>
          <w:color w:val="000000" w:themeColor="text1"/>
          <w:szCs w:val="32"/>
          <w:lang w:bidi="ar"/>
          <w14:textFill>
            <w14:solidFill>
              <w14:schemeClr w14:val="tx1"/>
            </w14:solidFill>
          </w14:textFill>
        </w:rPr>
        <w:t>的项目推进格局。聚焦龙头企业引进、重大产业化项目、创新平台建设、专业载体打造等重点任务，强化全生命周期服务，推动项目尽快形成实物工作量和现实生产力。</w:t>
      </w:r>
    </w:p>
    <w:p>
      <w:pPr>
        <w:widowControl/>
        <w:kinsoku w:val="0"/>
        <w:autoSpaceDE w:val="0"/>
        <w:autoSpaceDN w:val="0"/>
        <w:adjustRightInd w:val="0"/>
        <w:snapToGrid w:val="0"/>
        <w:ind w:firstLine="640"/>
        <w:textAlignment w:val="baseline"/>
        <w:outlineLvl w:val="2"/>
        <w:rPr>
          <w:rFonts w:ascii="黑体" w:hAnsi="黑体" w:eastAsia="黑体" w:cs="黑体"/>
          <w:color w:val="000000" w:themeColor="text1"/>
          <w:szCs w:val="32"/>
          <w:lang w:bidi="ar"/>
          <w14:textFill>
            <w14:solidFill>
              <w14:schemeClr w14:val="tx1"/>
            </w14:solidFill>
          </w14:textFill>
        </w:rPr>
      </w:pPr>
      <w:bookmarkStart w:id="552" w:name="_Toc5528"/>
      <w:bookmarkStart w:id="553" w:name="_Toc228193780"/>
      <w:bookmarkStart w:id="554" w:name="_Toc23228"/>
      <w:r>
        <w:rPr>
          <w:rFonts w:hint="eastAsia" w:ascii="黑体" w:hAnsi="黑体" w:eastAsia="黑体" w:cs="黑体"/>
          <w:color w:val="000000" w:themeColor="text1"/>
          <w:szCs w:val="32"/>
          <w:lang w:bidi="ar"/>
          <w14:textFill>
            <w14:solidFill>
              <w14:schemeClr w14:val="tx1"/>
            </w14:solidFill>
          </w14:textFill>
        </w:rPr>
        <w:t>三、</w:t>
      </w:r>
      <w:bookmarkEnd w:id="552"/>
      <w:bookmarkEnd w:id="553"/>
      <w:r>
        <w:rPr>
          <w:rFonts w:hint="eastAsia" w:ascii="黑体" w:hAnsi="黑体" w:eastAsia="黑体" w:cs="黑体"/>
          <w:color w:val="000000" w:themeColor="text1"/>
          <w:szCs w:val="32"/>
          <w:lang w:bidi="ar"/>
          <w14:textFill>
            <w14:solidFill>
              <w14:schemeClr w14:val="tx1"/>
            </w14:solidFill>
          </w14:textFill>
        </w:rPr>
        <w:t>优化资源配置，强化产业发展要素保障</w:t>
      </w:r>
      <w:bookmarkEnd w:id="554"/>
    </w:p>
    <w:p>
      <w:pPr>
        <w:tabs>
          <w:tab w:val="left" w:pos="720"/>
        </w:tabs>
        <w:ind w:firstLine="640"/>
        <w:rPr>
          <w:rFonts w:ascii="仿宋_GB2312" w:hAnsi="等线" w:cs="仿宋_GB2312"/>
          <w:color w:val="000000" w:themeColor="text1"/>
          <w:szCs w:val="32"/>
          <w:lang w:bidi="ar"/>
          <w14:textFill>
            <w14:solidFill>
              <w14:schemeClr w14:val="tx1"/>
            </w14:solidFill>
          </w14:textFill>
        </w:rPr>
      </w:pPr>
      <w:r>
        <w:rPr>
          <w:rFonts w:ascii="仿宋_GB2312" w:hAnsi="等线" w:cs="仿宋_GB2312"/>
          <w:color w:val="000000" w:themeColor="text1"/>
          <w:szCs w:val="32"/>
          <w:lang w:bidi="ar"/>
          <w14:textFill>
            <w14:solidFill>
              <w14:schemeClr w14:val="tx1"/>
            </w14:solidFill>
          </w14:textFill>
        </w:rPr>
        <w:t>统筹财政资金、产业基金、社会资本等各类资源，围绕重点产业方向、重点项目建设和关键平台载体，加大资金</w:t>
      </w:r>
      <w:r>
        <w:rPr>
          <w:rFonts w:hint="eastAsia" w:ascii="仿宋_GB2312" w:hAnsi="等线" w:cs="仿宋_GB2312"/>
          <w:color w:val="000000" w:themeColor="text1"/>
          <w:szCs w:val="32"/>
          <w:lang w:eastAsia="zh-CN" w:bidi="ar"/>
          <w14:textFill>
            <w14:solidFill>
              <w14:schemeClr w14:val="tx1"/>
            </w14:solidFill>
          </w14:textFill>
        </w:rPr>
        <w:t>、</w:t>
      </w:r>
      <w:r>
        <w:rPr>
          <w:rFonts w:hint="eastAsia" w:ascii="仿宋_GB2312" w:hAnsi="等线" w:cs="仿宋_GB2312"/>
          <w:color w:val="000000" w:themeColor="text1"/>
          <w:szCs w:val="32"/>
          <w:lang w:val="en-US" w:eastAsia="zh-CN" w:bidi="ar"/>
          <w14:textFill>
            <w14:solidFill>
              <w14:schemeClr w14:val="tx1"/>
            </w14:solidFill>
          </w14:textFill>
        </w:rPr>
        <w:t>资源等</w:t>
      </w:r>
      <w:r>
        <w:rPr>
          <w:rFonts w:ascii="仿宋_GB2312" w:hAnsi="等线" w:cs="仿宋_GB2312"/>
          <w:color w:val="000000" w:themeColor="text1"/>
          <w:szCs w:val="32"/>
          <w:lang w:bidi="ar"/>
          <w14:textFill>
            <w14:solidFill>
              <w14:schemeClr w14:val="tx1"/>
            </w14:solidFill>
          </w14:textFill>
        </w:rPr>
        <w:t>支持力度。引导社会资本参与产业园区、专业平台、科技成果转化和新型基础设施建设。加强产业与金融协同联动，提升基金投资、信贷支持、融资服务等对产业发展的适配性，增强对实体经济和创新主体的服务能力。</w:t>
      </w:r>
    </w:p>
    <w:p>
      <w:pPr>
        <w:pStyle w:val="3"/>
        <w:spacing w:before="0" w:after="0"/>
        <w:ind w:firstLine="0" w:firstLineChars="0"/>
        <w:jc w:val="center"/>
        <w:rPr>
          <w:rFonts w:hint="default" w:ascii="黑体" w:hAnsi="黑体" w:eastAsia="黑体" w:cs="黑体"/>
          <w:b w:val="0"/>
          <w:bCs w:val="0"/>
          <w:color w:val="000000" w:themeColor="text1"/>
          <w:szCs w:val="32"/>
          <w:lang w:bidi="ar"/>
          <w14:textFill>
            <w14:solidFill>
              <w14:schemeClr w14:val="tx1"/>
            </w14:solidFill>
          </w14:textFill>
        </w:rPr>
      </w:pPr>
      <w:bookmarkStart w:id="555" w:name="_Toc228193781"/>
      <w:bookmarkStart w:id="556" w:name="_Toc2027"/>
      <w:bookmarkStart w:id="557" w:name="_Toc15218"/>
      <w:r>
        <w:rPr>
          <w:rFonts w:hint="default" w:ascii="黑体" w:hAnsi="黑体" w:eastAsia="黑体" w:cs="黑体"/>
          <w:b w:val="0"/>
          <w:bCs w:val="0"/>
          <w:color w:val="000000" w:themeColor="text1"/>
          <w:sz w:val="32"/>
          <w:szCs w:val="32"/>
          <w:lang w:bidi="ar"/>
          <w14:textFill>
            <w14:solidFill>
              <w14:schemeClr w14:val="tx1"/>
            </w14:solidFill>
          </w14:textFill>
        </w:rPr>
        <w:t>第</w:t>
      </w:r>
      <w:r>
        <w:rPr>
          <w:rFonts w:ascii="黑体" w:hAnsi="黑体" w:eastAsia="黑体" w:cs="黑体"/>
          <w:b w:val="0"/>
          <w:bCs w:val="0"/>
          <w:color w:val="000000" w:themeColor="text1"/>
          <w:sz w:val="32"/>
          <w:szCs w:val="32"/>
          <w:lang w:bidi="ar"/>
          <w14:textFill>
            <w14:solidFill>
              <w14:schemeClr w14:val="tx1"/>
            </w14:solidFill>
          </w14:textFill>
        </w:rPr>
        <w:t>二十</w:t>
      </w:r>
      <w:r>
        <w:rPr>
          <w:rFonts w:hint="eastAsia" w:ascii="黑体" w:hAnsi="黑体" w:eastAsia="黑体" w:cs="黑体"/>
          <w:b w:val="0"/>
          <w:bCs w:val="0"/>
          <w:color w:val="000000" w:themeColor="text1"/>
          <w:sz w:val="32"/>
          <w:szCs w:val="32"/>
          <w:lang w:eastAsia="zh-CN" w:bidi="ar"/>
          <w14:textFill>
            <w14:solidFill>
              <w14:schemeClr w14:val="tx1"/>
            </w14:solidFill>
          </w14:textFill>
        </w:rPr>
        <w:t>二</w:t>
      </w:r>
      <w:r>
        <w:rPr>
          <w:rFonts w:hint="default" w:ascii="黑体" w:hAnsi="黑体" w:eastAsia="黑体" w:cs="黑体"/>
          <w:b w:val="0"/>
          <w:bCs w:val="0"/>
          <w:color w:val="000000" w:themeColor="text1"/>
          <w:sz w:val="32"/>
          <w:szCs w:val="32"/>
          <w:lang w:bidi="ar"/>
          <w14:textFill>
            <w14:solidFill>
              <w14:schemeClr w14:val="tx1"/>
            </w14:solidFill>
          </w14:textFill>
        </w:rPr>
        <w:t>章 强化监测评估与要素支撑</w:t>
      </w:r>
      <w:bookmarkEnd w:id="555"/>
      <w:bookmarkEnd w:id="556"/>
      <w:bookmarkEnd w:id="557"/>
    </w:p>
    <w:p>
      <w:pPr>
        <w:widowControl/>
        <w:kinsoku w:val="0"/>
        <w:autoSpaceDE w:val="0"/>
        <w:autoSpaceDN w:val="0"/>
        <w:adjustRightInd w:val="0"/>
        <w:snapToGrid w:val="0"/>
        <w:ind w:firstLine="640"/>
        <w:textAlignment w:val="baseline"/>
        <w:outlineLvl w:val="2"/>
        <w:rPr>
          <w:rFonts w:ascii="黑体" w:hAnsi="黑体" w:eastAsia="黑体" w:cs="黑体"/>
          <w:color w:val="000000" w:themeColor="text1"/>
          <w:szCs w:val="32"/>
          <w:lang w:bidi="ar"/>
          <w14:textFill>
            <w14:solidFill>
              <w14:schemeClr w14:val="tx1"/>
            </w14:solidFill>
          </w14:textFill>
        </w:rPr>
      </w:pPr>
      <w:bookmarkStart w:id="558" w:name="_Toc21874"/>
      <w:bookmarkStart w:id="559" w:name="_Toc228193782"/>
      <w:bookmarkStart w:id="560" w:name="_Toc7186"/>
      <w:r>
        <w:rPr>
          <w:rFonts w:hint="eastAsia" w:ascii="黑体" w:hAnsi="黑体" w:eastAsia="黑体" w:cs="黑体"/>
          <w:color w:val="000000" w:themeColor="text1"/>
          <w:szCs w:val="32"/>
          <w:lang w:bidi="ar"/>
          <w14:textFill>
            <w14:solidFill>
              <w14:schemeClr w14:val="tx1"/>
            </w14:solidFill>
          </w14:textFill>
        </w:rPr>
        <w:t>一、</w:t>
      </w:r>
      <w:r>
        <w:rPr>
          <w:rFonts w:ascii="黑体" w:hAnsi="黑体" w:eastAsia="黑体" w:cs="黑体"/>
          <w:color w:val="000000" w:themeColor="text1"/>
          <w:szCs w:val="32"/>
          <w:lang w:bidi="ar"/>
          <w14:textFill>
            <w14:solidFill>
              <w14:schemeClr w14:val="tx1"/>
            </w14:solidFill>
          </w14:textFill>
        </w:rPr>
        <w:t>强化全过程监测，</w:t>
      </w:r>
      <w:r>
        <w:rPr>
          <w:rFonts w:hint="eastAsia" w:ascii="黑体" w:hAnsi="黑体" w:eastAsia="黑体" w:cs="黑体"/>
          <w:color w:val="000000" w:themeColor="text1"/>
          <w:szCs w:val="32"/>
          <w:lang w:bidi="ar"/>
          <w14:textFill>
            <w14:solidFill>
              <w14:schemeClr w14:val="tx1"/>
            </w14:solidFill>
          </w14:textFill>
        </w:rPr>
        <w:t>确保</w:t>
      </w:r>
      <w:r>
        <w:rPr>
          <w:rFonts w:ascii="黑体" w:hAnsi="黑体" w:eastAsia="黑体" w:cs="黑体"/>
          <w:color w:val="000000" w:themeColor="text1"/>
          <w:szCs w:val="32"/>
          <w:lang w:bidi="ar"/>
          <w14:textFill>
            <w14:solidFill>
              <w14:schemeClr w14:val="tx1"/>
            </w14:solidFill>
          </w14:textFill>
        </w:rPr>
        <w:t>规划的科学性</w:t>
      </w:r>
      <w:bookmarkEnd w:id="558"/>
      <w:bookmarkEnd w:id="559"/>
      <w:bookmarkEnd w:id="560"/>
    </w:p>
    <w:p>
      <w:pPr>
        <w:tabs>
          <w:tab w:val="left" w:pos="720"/>
        </w:tabs>
        <w:ind w:firstLine="640"/>
        <w:rPr>
          <w:rFonts w:ascii="仿宋_GB2312" w:hAnsi="等线" w:cs="仿宋_GB2312"/>
          <w:color w:val="000000" w:themeColor="text1"/>
          <w:szCs w:val="32"/>
          <w:lang w:bidi="ar"/>
          <w14:textFill>
            <w14:solidFill>
              <w14:schemeClr w14:val="tx1"/>
            </w14:solidFill>
          </w14:textFill>
        </w:rPr>
      </w:pPr>
      <w:r>
        <w:rPr>
          <w:rFonts w:ascii="仿宋_GB2312" w:hAnsi="等线" w:cs="仿宋_GB2312"/>
          <w:color w:val="000000" w:themeColor="text1"/>
          <w:szCs w:val="32"/>
          <w:lang w:bidi="ar"/>
          <w14:textFill>
            <w14:solidFill>
              <w14:schemeClr w14:val="tx1"/>
            </w14:solidFill>
          </w14:textFill>
        </w:rPr>
        <w:t>建立健全产业规划实施监测评估体系，围绕产业规模、创新能力、项目建设、空间供给、企业培育、平台载体等重点内容，构建可量化、可跟踪、可评估的指标体系。完善年度监测、阶段评估和动态分析机制，及时掌握重点任务推进情况和重点指标变化趋势，强化对规划实施进度、实施成效和风险隐患的跟踪研判，为优化政策举措和调整实施重点提供依据。</w:t>
      </w:r>
    </w:p>
    <w:p>
      <w:pPr>
        <w:widowControl/>
        <w:kinsoku w:val="0"/>
        <w:autoSpaceDE w:val="0"/>
        <w:autoSpaceDN w:val="0"/>
        <w:adjustRightInd w:val="0"/>
        <w:snapToGrid w:val="0"/>
        <w:ind w:firstLine="640"/>
        <w:textAlignment w:val="baseline"/>
        <w:outlineLvl w:val="2"/>
        <w:rPr>
          <w:rFonts w:ascii="黑体" w:hAnsi="黑体" w:eastAsia="黑体" w:cs="黑体"/>
          <w:color w:val="000000" w:themeColor="text1"/>
          <w:szCs w:val="32"/>
          <w:lang w:bidi="ar"/>
          <w14:textFill>
            <w14:solidFill>
              <w14:schemeClr w14:val="tx1"/>
            </w14:solidFill>
          </w14:textFill>
        </w:rPr>
      </w:pPr>
      <w:bookmarkStart w:id="561" w:name="_Toc228193783"/>
      <w:bookmarkStart w:id="562" w:name="_Toc18571"/>
      <w:bookmarkStart w:id="563" w:name="_Toc21208"/>
      <w:r>
        <w:rPr>
          <w:rFonts w:hint="eastAsia" w:ascii="黑体" w:hAnsi="黑体" w:eastAsia="黑体" w:cs="黑体"/>
          <w:color w:val="000000" w:themeColor="text1"/>
          <w:szCs w:val="32"/>
          <w:lang w:bidi="ar"/>
          <w14:textFill>
            <w14:solidFill>
              <w14:schemeClr w14:val="tx1"/>
            </w14:solidFill>
          </w14:textFill>
        </w:rPr>
        <w:t>二、</w:t>
      </w:r>
      <w:r>
        <w:rPr>
          <w:rFonts w:ascii="黑体" w:hAnsi="黑体" w:eastAsia="黑体" w:cs="黑体"/>
          <w:color w:val="000000" w:themeColor="text1"/>
          <w:szCs w:val="32"/>
          <w:lang w:bidi="ar"/>
          <w14:textFill>
            <w14:solidFill>
              <w14:schemeClr w14:val="tx1"/>
            </w14:solidFill>
          </w14:textFill>
        </w:rPr>
        <w:t>强化动态</w:t>
      </w:r>
      <w:r>
        <w:rPr>
          <w:rFonts w:hint="eastAsia" w:ascii="黑体" w:hAnsi="黑体" w:eastAsia="黑体" w:cs="黑体"/>
          <w:color w:val="000000" w:themeColor="text1"/>
          <w:szCs w:val="32"/>
          <w:lang w:bidi="ar"/>
          <w14:textFill>
            <w14:solidFill>
              <w14:schemeClr w14:val="tx1"/>
            </w14:solidFill>
          </w14:textFill>
        </w:rPr>
        <w:t>调整机制</w:t>
      </w:r>
      <w:r>
        <w:rPr>
          <w:rFonts w:ascii="黑体" w:hAnsi="黑体" w:eastAsia="黑体" w:cs="黑体"/>
          <w:color w:val="000000" w:themeColor="text1"/>
          <w:szCs w:val="32"/>
          <w:lang w:bidi="ar"/>
          <w14:textFill>
            <w14:solidFill>
              <w14:schemeClr w14:val="tx1"/>
            </w14:solidFill>
          </w14:textFill>
        </w:rPr>
        <w:t>，</w:t>
      </w:r>
      <w:r>
        <w:rPr>
          <w:rFonts w:hint="eastAsia" w:ascii="黑体" w:hAnsi="黑体" w:eastAsia="黑体" w:cs="黑体"/>
          <w:color w:val="000000" w:themeColor="text1"/>
          <w:szCs w:val="32"/>
          <w:lang w:bidi="ar"/>
          <w14:textFill>
            <w14:solidFill>
              <w14:schemeClr w14:val="tx1"/>
            </w14:solidFill>
          </w14:textFill>
        </w:rPr>
        <w:t>提升</w:t>
      </w:r>
      <w:r>
        <w:rPr>
          <w:rFonts w:ascii="黑体" w:hAnsi="黑体" w:eastAsia="黑体" w:cs="黑体"/>
          <w:color w:val="000000" w:themeColor="text1"/>
          <w:szCs w:val="32"/>
          <w:lang w:bidi="ar"/>
          <w14:textFill>
            <w14:solidFill>
              <w14:schemeClr w14:val="tx1"/>
            </w14:solidFill>
          </w14:textFill>
        </w:rPr>
        <w:t>规划实施成效</w:t>
      </w:r>
      <w:bookmarkEnd w:id="561"/>
      <w:bookmarkEnd w:id="562"/>
      <w:bookmarkEnd w:id="563"/>
    </w:p>
    <w:p>
      <w:pPr>
        <w:tabs>
          <w:tab w:val="left" w:pos="720"/>
        </w:tabs>
        <w:ind w:firstLine="640"/>
        <w:rPr>
          <w:rFonts w:ascii="仿宋_GB2312" w:hAnsi="等线" w:cs="仿宋_GB2312"/>
          <w:color w:val="000000" w:themeColor="text1"/>
          <w:szCs w:val="32"/>
          <w:lang w:bidi="ar"/>
          <w14:textFill>
            <w14:solidFill>
              <w14:schemeClr w14:val="tx1"/>
            </w14:solidFill>
          </w14:textFill>
        </w:rPr>
      </w:pPr>
      <w:r>
        <w:rPr>
          <w:rFonts w:ascii="仿宋_GB2312" w:hAnsi="等线" w:cs="仿宋_GB2312"/>
          <w:color w:val="000000" w:themeColor="text1"/>
          <w:szCs w:val="32"/>
          <w:lang w:bidi="ar"/>
          <w14:textFill>
            <w14:solidFill>
              <w14:schemeClr w14:val="tx1"/>
            </w14:solidFill>
          </w14:textFill>
        </w:rPr>
        <w:t>立足产业发展阶段变化、技术路线演进、市场需求调整和项目推进实际，健全产业规划动态优化机制，及时对重点任务、推进节奏、政策工具和项目安排进行优化调整，确保规划实施与产业发展趋势和现实需求相匹配。加强经验总结和典型做法提炼，推动成熟经验制度化、常态化，不断提升产业规划实施的针对性、前瞻性和实效性。</w:t>
      </w:r>
    </w:p>
    <w:p>
      <w:pPr>
        <w:widowControl/>
        <w:kinsoku w:val="0"/>
        <w:autoSpaceDE w:val="0"/>
        <w:autoSpaceDN w:val="0"/>
        <w:adjustRightInd w:val="0"/>
        <w:snapToGrid w:val="0"/>
        <w:ind w:firstLine="640"/>
        <w:textAlignment w:val="baseline"/>
        <w:outlineLvl w:val="2"/>
        <w:rPr>
          <w:rFonts w:ascii="黑体" w:hAnsi="黑体" w:eastAsia="黑体" w:cs="黑体"/>
          <w:color w:val="000000" w:themeColor="text1"/>
          <w:szCs w:val="32"/>
          <w:lang w:bidi="ar"/>
          <w14:textFill>
            <w14:solidFill>
              <w14:schemeClr w14:val="tx1"/>
            </w14:solidFill>
          </w14:textFill>
        </w:rPr>
      </w:pPr>
      <w:bookmarkStart w:id="564" w:name="_Toc16548"/>
      <w:bookmarkStart w:id="565" w:name="_Toc228193784"/>
      <w:bookmarkStart w:id="566" w:name="_Toc16838"/>
      <w:r>
        <w:rPr>
          <w:rFonts w:hint="eastAsia" w:ascii="黑体" w:hAnsi="黑体" w:eastAsia="黑体" w:cs="黑体"/>
          <w:color w:val="000000" w:themeColor="text1"/>
          <w:szCs w:val="32"/>
          <w:lang w:bidi="ar"/>
          <w14:textFill>
            <w14:solidFill>
              <w14:schemeClr w14:val="tx1"/>
            </w14:solidFill>
          </w14:textFill>
        </w:rPr>
        <w:t>三、</w:t>
      </w:r>
      <w:r>
        <w:rPr>
          <w:rFonts w:ascii="黑体" w:hAnsi="黑体" w:eastAsia="黑体" w:cs="黑体"/>
          <w:color w:val="000000" w:themeColor="text1"/>
          <w:szCs w:val="32"/>
          <w:lang w:bidi="ar"/>
          <w14:textFill>
            <w14:solidFill>
              <w14:schemeClr w14:val="tx1"/>
            </w14:solidFill>
          </w14:textFill>
        </w:rPr>
        <w:t>强化资源精准供给，夯实产业发展支撑</w:t>
      </w:r>
      <w:bookmarkEnd w:id="564"/>
      <w:bookmarkEnd w:id="565"/>
      <w:bookmarkEnd w:id="566"/>
    </w:p>
    <w:p>
      <w:pPr>
        <w:tabs>
          <w:tab w:val="left" w:pos="720"/>
        </w:tabs>
        <w:ind w:firstLine="640"/>
        <w:rPr>
          <w:rFonts w:ascii="仿宋_GB2312" w:hAnsi="仿宋_GB2312" w:cs="仿宋_GB2312"/>
          <w:color w:val="000000" w:themeColor="text1"/>
          <w:szCs w:val="32"/>
          <w:lang w:bidi="ar"/>
          <w14:textFill>
            <w14:solidFill>
              <w14:schemeClr w14:val="tx1"/>
            </w14:solidFill>
          </w14:textFill>
        </w:rPr>
      </w:pPr>
      <w:r>
        <w:rPr>
          <w:rFonts w:ascii="仿宋_GB2312" w:hAnsi="等线" w:cs="仿宋_GB2312"/>
          <w:color w:val="000000" w:themeColor="text1"/>
          <w:szCs w:val="32"/>
          <w:lang w:bidi="ar"/>
          <w14:textFill>
            <w14:solidFill>
              <w14:schemeClr w14:val="tx1"/>
            </w14:solidFill>
          </w14:textFill>
        </w:rPr>
        <w:t>围绕重点产业项目、重点园区平台和重点企业需求，统筹做好空间、人才、能源、数据、配套服务等关键要素保障。完善产业空间供给和动态调配机制，优先保障符合主导产业方向的优质项目落地需求。强化人才引进、住房保障、教育医疗、交通出行等综合配套服务，增强重点产业功能区对企业和人才的吸引力。提升数据、算力、网络、能源等新型要素供给能力，为未来产业、绿色产业和数字经济发展提供有力支撑。</w:t>
      </w:r>
    </w:p>
    <w:p>
      <w:pPr>
        <w:ind w:firstLine="0" w:firstLineChars="0"/>
        <w:rPr>
          <w:color w:val="000000" w:themeColor="text1"/>
          <w14:textFill>
            <w14:solidFill>
              <w14:schemeClr w14:val="tx1"/>
            </w14:solidFill>
          </w14:textFill>
        </w:rPr>
      </w:pPr>
    </w:p>
    <w:sectPr>
      <w:headerReference r:id="rId13" w:type="default"/>
      <w:footerReference r:id="rId14" w:type="default"/>
      <w:pgSz w:w="11906" w:h="16838"/>
      <w:pgMar w:top="2098" w:right="1474" w:bottom="1984" w:left="1587"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560"/>
                            <w:rPr>
                              <w:rFonts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- 4 -</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2"/>
                      <w:ind w:firstLine="560"/>
                      <w:rPr>
                        <w:rFonts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- 4 -</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56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- 6 -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2"/>
                      <w:ind w:firstLine="56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- 6 -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ind w:firstLine="640"/>
      </w:pPr>
      <w:r>
        <w:separator/>
      </w:r>
    </w:p>
  </w:footnote>
  <w:footnote w:type="continuationSeparator" w:id="3">
    <w:p>
      <w:pPr>
        <w:spacing w:line="240" w:lineRule="auto"/>
        <w:ind w:firstLine="640"/>
      </w:pPr>
      <w:r>
        <w:continuationSeparator/>
      </w:r>
    </w:p>
  </w:footnote>
  <w:footnote w:id="0">
    <w:p>
      <w:pPr>
        <w:pStyle w:val="18"/>
        <w:spacing w:line="520" w:lineRule="exact"/>
        <w:ind w:firstLine="360"/>
        <w:rPr>
          <w:sz w:val="24"/>
        </w:rPr>
      </w:pPr>
      <w:r>
        <w:rPr>
          <w:rStyle w:val="31"/>
        </w:rPr>
        <w:footnoteRef/>
      </w:r>
      <w:r>
        <w:t xml:space="preserve"> </w:t>
      </w:r>
      <w:r>
        <w:rPr>
          <w:rFonts w:hint="eastAsia"/>
          <w:sz w:val="24"/>
        </w:rPr>
        <w:t>依据《北京市市级高新技术产业开发区分区示意图》，马驹桥镇东部组团、永乐开发区纳入北京市高新技术区范围。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08E9F6"/>
    <w:multiLevelType w:val="singleLevel"/>
    <w:tmpl w:val="E808E9F6"/>
    <w:lvl w:ilvl="0" w:tentative="0">
      <w:start w:val="5"/>
      <w:numFmt w:val="chineseCounting"/>
      <w:suff w:val="space"/>
      <w:lvlText w:val="第%1篇"/>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A9144A"/>
    <w:rsid w:val="00003DCD"/>
    <w:rsid w:val="00012C7A"/>
    <w:rsid w:val="00074255"/>
    <w:rsid w:val="000944F7"/>
    <w:rsid w:val="000D2EA3"/>
    <w:rsid w:val="000E1538"/>
    <w:rsid w:val="000E4672"/>
    <w:rsid w:val="000E71B6"/>
    <w:rsid w:val="001021DD"/>
    <w:rsid w:val="0016162B"/>
    <w:rsid w:val="001A1EDB"/>
    <w:rsid w:val="001C4803"/>
    <w:rsid w:val="001F5084"/>
    <w:rsid w:val="00217E06"/>
    <w:rsid w:val="00233CAB"/>
    <w:rsid w:val="00277016"/>
    <w:rsid w:val="0028770F"/>
    <w:rsid w:val="00294096"/>
    <w:rsid w:val="002A1830"/>
    <w:rsid w:val="002B36EE"/>
    <w:rsid w:val="002D08B4"/>
    <w:rsid w:val="00323DF8"/>
    <w:rsid w:val="003268AC"/>
    <w:rsid w:val="00330D26"/>
    <w:rsid w:val="00334A0D"/>
    <w:rsid w:val="00341F3F"/>
    <w:rsid w:val="00361649"/>
    <w:rsid w:val="00392F1E"/>
    <w:rsid w:val="00397F7D"/>
    <w:rsid w:val="003A2BF2"/>
    <w:rsid w:val="003C23B3"/>
    <w:rsid w:val="00405F51"/>
    <w:rsid w:val="00430952"/>
    <w:rsid w:val="00445922"/>
    <w:rsid w:val="00447E04"/>
    <w:rsid w:val="00456C89"/>
    <w:rsid w:val="004C0233"/>
    <w:rsid w:val="004C19A4"/>
    <w:rsid w:val="004C41A4"/>
    <w:rsid w:val="004C4902"/>
    <w:rsid w:val="004D1A38"/>
    <w:rsid w:val="0052702B"/>
    <w:rsid w:val="00541E1E"/>
    <w:rsid w:val="00557BE3"/>
    <w:rsid w:val="00566528"/>
    <w:rsid w:val="00574896"/>
    <w:rsid w:val="0057495C"/>
    <w:rsid w:val="00583219"/>
    <w:rsid w:val="005B2BAA"/>
    <w:rsid w:val="005D47CE"/>
    <w:rsid w:val="005D7133"/>
    <w:rsid w:val="005E3FFD"/>
    <w:rsid w:val="00605922"/>
    <w:rsid w:val="00642102"/>
    <w:rsid w:val="006718CA"/>
    <w:rsid w:val="006A42BA"/>
    <w:rsid w:val="006C18B9"/>
    <w:rsid w:val="006D0EBD"/>
    <w:rsid w:val="006D18A4"/>
    <w:rsid w:val="00717A6F"/>
    <w:rsid w:val="00743B8B"/>
    <w:rsid w:val="00794276"/>
    <w:rsid w:val="007942CC"/>
    <w:rsid w:val="007C682A"/>
    <w:rsid w:val="007D24A1"/>
    <w:rsid w:val="008012F2"/>
    <w:rsid w:val="008349DA"/>
    <w:rsid w:val="0084092C"/>
    <w:rsid w:val="0084450A"/>
    <w:rsid w:val="0084506E"/>
    <w:rsid w:val="008736DA"/>
    <w:rsid w:val="00873DC9"/>
    <w:rsid w:val="00876A3F"/>
    <w:rsid w:val="008A7B0D"/>
    <w:rsid w:val="008B1D2D"/>
    <w:rsid w:val="008B6F62"/>
    <w:rsid w:val="008F734A"/>
    <w:rsid w:val="009044F9"/>
    <w:rsid w:val="00912710"/>
    <w:rsid w:val="00924EEC"/>
    <w:rsid w:val="00946F72"/>
    <w:rsid w:val="00953A51"/>
    <w:rsid w:val="00980988"/>
    <w:rsid w:val="00984A48"/>
    <w:rsid w:val="00984DEE"/>
    <w:rsid w:val="009918FE"/>
    <w:rsid w:val="009A6B3D"/>
    <w:rsid w:val="009E4E89"/>
    <w:rsid w:val="009E5FB6"/>
    <w:rsid w:val="00A4493A"/>
    <w:rsid w:val="00A551C0"/>
    <w:rsid w:val="00A63DF8"/>
    <w:rsid w:val="00A95D29"/>
    <w:rsid w:val="00AA1D17"/>
    <w:rsid w:val="00AA2486"/>
    <w:rsid w:val="00AA47F1"/>
    <w:rsid w:val="00B01524"/>
    <w:rsid w:val="00B02E98"/>
    <w:rsid w:val="00B03BAF"/>
    <w:rsid w:val="00B135ED"/>
    <w:rsid w:val="00B44E60"/>
    <w:rsid w:val="00BC7E10"/>
    <w:rsid w:val="00BD74D0"/>
    <w:rsid w:val="00BF711A"/>
    <w:rsid w:val="00C03046"/>
    <w:rsid w:val="00CA5FD7"/>
    <w:rsid w:val="00CB73C0"/>
    <w:rsid w:val="00CF4963"/>
    <w:rsid w:val="00CF6CBA"/>
    <w:rsid w:val="00D53FC4"/>
    <w:rsid w:val="00D90C45"/>
    <w:rsid w:val="00D949E6"/>
    <w:rsid w:val="00E1288C"/>
    <w:rsid w:val="00E21E59"/>
    <w:rsid w:val="00E36787"/>
    <w:rsid w:val="00E37DB3"/>
    <w:rsid w:val="00E57FF9"/>
    <w:rsid w:val="00E8239B"/>
    <w:rsid w:val="00E85F6D"/>
    <w:rsid w:val="00E921A4"/>
    <w:rsid w:val="00E96F29"/>
    <w:rsid w:val="00E96F90"/>
    <w:rsid w:val="00EA0272"/>
    <w:rsid w:val="00EC4E14"/>
    <w:rsid w:val="00EC7AEA"/>
    <w:rsid w:val="00F01571"/>
    <w:rsid w:val="00F17E8F"/>
    <w:rsid w:val="00F33902"/>
    <w:rsid w:val="00FF1678"/>
    <w:rsid w:val="01486CA0"/>
    <w:rsid w:val="016062A0"/>
    <w:rsid w:val="037C7BA4"/>
    <w:rsid w:val="03A864FC"/>
    <w:rsid w:val="03F5184A"/>
    <w:rsid w:val="04C81921"/>
    <w:rsid w:val="07D33674"/>
    <w:rsid w:val="08AF0A22"/>
    <w:rsid w:val="08ED577E"/>
    <w:rsid w:val="099C5B0B"/>
    <w:rsid w:val="09C4537C"/>
    <w:rsid w:val="0A20382D"/>
    <w:rsid w:val="0A526929"/>
    <w:rsid w:val="0C397CF2"/>
    <w:rsid w:val="0C6112A5"/>
    <w:rsid w:val="0C695C35"/>
    <w:rsid w:val="0C96267D"/>
    <w:rsid w:val="0CAC39D9"/>
    <w:rsid w:val="0CC67B71"/>
    <w:rsid w:val="0EE0329E"/>
    <w:rsid w:val="0F427289"/>
    <w:rsid w:val="10280789"/>
    <w:rsid w:val="10B35CE2"/>
    <w:rsid w:val="10E27B83"/>
    <w:rsid w:val="11360CC0"/>
    <w:rsid w:val="12BA4E30"/>
    <w:rsid w:val="13CD24DA"/>
    <w:rsid w:val="149D0FED"/>
    <w:rsid w:val="166D1312"/>
    <w:rsid w:val="169979CB"/>
    <w:rsid w:val="172720F8"/>
    <w:rsid w:val="179B4B11"/>
    <w:rsid w:val="17A9144A"/>
    <w:rsid w:val="18194AA6"/>
    <w:rsid w:val="184E5B79"/>
    <w:rsid w:val="1882413A"/>
    <w:rsid w:val="18AE7E0C"/>
    <w:rsid w:val="1A815160"/>
    <w:rsid w:val="1A9377D0"/>
    <w:rsid w:val="1AD12CAF"/>
    <w:rsid w:val="1B5F8736"/>
    <w:rsid w:val="1BB036EE"/>
    <w:rsid w:val="1BDB0876"/>
    <w:rsid w:val="1C3750B5"/>
    <w:rsid w:val="1D0E31A2"/>
    <w:rsid w:val="1E4A21F8"/>
    <w:rsid w:val="21D96C95"/>
    <w:rsid w:val="239E5409"/>
    <w:rsid w:val="23DD70CD"/>
    <w:rsid w:val="24EA02AB"/>
    <w:rsid w:val="251700B9"/>
    <w:rsid w:val="255700FC"/>
    <w:rsid w:val="26655FAB"/>
    <w:rsid w:val="26692986"/>
    <w:rsid w:val="284B5E54"/>
    <w:rsid w:val="288503DE"/>
    <w:rsid w:val="28996E4C"/>
    <w:rsid w:val="28B5271A"/>
    <w:rsid w:val="29231282"/>
    <w:rsid w:val="2A7501E7"/>
    <w:rsid w:val="2A7A5C2D"/>
    <w:rsid w:val="2A9C3B72"/>
    <w:rsid w:val="2B0F635D"/>
    <w:rsid w:val="2B2F35F1"/>
    <w:rsid w:val="2B4302E6"/>
    <w:rsid w:val="2E1758A8"/>
    <w:rsid w:val="2E7D74B1"/>
    <w:rsid w:val="2EA308EF"/>
    <w:rsid w:val="2F0A3125"/>
    <w:rsid w:val="2F34284F"/>
    <w:rsid w:val="2F7826E9"/>
    <w:rsid w:val="2FF67A27"/>
    <w:rsid w:val="30997DD0"/>
    <w:rsid w:val="311405E5"/>
    <w:rsid w:val="3196417D"/>
    <w:rsid w:val="319F32FD"/>
    <w:rsid w:val="31F90568"/>
    <w:rsid w:val="329D044A"/>
    <w:rsid w:val="32EB76C8"/>
    <w:rsid w:val="331B4D08"/>
    <w:rsid w:val="33383AB0"/>
    <w:rsid w:val="33593F8D"/>
    <w:rsid w:val="33B15072"/>
    <w:rsid w:val="34F743FB"/>
    <w:rsid w:val="358D6B7C"/>
    <w:rsid w:val="35D71F72"/>
    <w:rsid w:val="35E54A1E"/>
    <w:rsid w:val="364360DA"/>
    <w:rsid w:val="36BC0067"/>
    <w:rsid w:val="36CE905D"/>
    <w:rsid w:val="36E5781D"/>
    <w:rsid w:val="375209F1"/>
    <w:rsid w:val="381829E7"/>
    <w:rsid w:val="383848C5"/>
    <w:rsid w:val="38A92291"/>
    <w:rsid w:val="38C9725F"/>
    <w:rsid w:val="39F21BBB"/>
    <w:rsid w:val="3AEFB09E"/>
    <w:rsid w:val="3C2D1387"/>
    <w:rsid w:val="3C3D4535"/>
    <w:rsid w:val="3CAE23BD"/>
    <w:rsid w:val="3D47258D"/>
    <w:rsid w:val="3D482D9A"/>
    <w:rsid w:val="3D9D23A5"/>
    <w:rsid w:val="3E2E0272"/>
    <w:rsid w:val="3E536105"/>
    <w:rsid w:val="3EA21608"/>
    <w:rsid w:val="3F7D09D1"/>
    <w:rsid w:val="3FBA5F3F"/>
    <w:rsid w:val="3FFFD467"/>
    <w:rsid w:val="406477B5"/>
    <w:rsid w:val="40AF1400"/>
    <w:rsid w:val="41462D39"/>
    <w:rsid w:val="41523DFE"/>
    <w:rsid w:val="427A2931"/>
    <w:rsid w:val="42B42D9C"/>
    <w:rsid w:val="433A4E46"/>
    <w:rsid w:val="43EC41DF"/>
    <w:rsid w:val="4456443A"/>
    <w:rsid w:val="456E38F4"/>
    <w:rsid w:val="46954459"/>
    <w:rsid w:val="46BC60F7"/>
    <w:rsid w:val="47D15286"/>
    <w:rsid w:val="47FF0228"/>
    <w:rsid w:val="48476D32"/>
    <w:rsid w:val="48750A8C"/>
    <w:rsid w:val="48CC1F0B"/>
    <w:rsid w:val="492535C9"/>
    <w:rsid w:val="49C175B0"/>
    <w:rsid w:val="49E932FD"/>
    <w:rsid w:val="4A55544F"/>
    <w:rsid w:val="4A9329E8"/>
    <w:rsid w:val="4AC36C7C"/>
    <w:rsid w:val="4B970F5B"/>
    <w:rsid w:val="4C1D5137"/>
    <w:rsid w:val="4C6312BA"/>
    <w:rsid w:val="4C997D3D"/>
    <w:rsid w:val="4E624CEE"/>
    <w:rsid w:val="4EF12753"/>
    <w:rsid w:val="4FBCBC68"/>
    <w:rsid w:val="50083C0F"/>
    <w:rsid w:val="50BA0734"/>
    <w:rsid w:val="51000294"/>
    <w:rsid w:val="51114590"/>
    <w:rsid w:val="52850E40"/>
    <w:rsid w:val="534A0042"/>
    <w:rsid w:val="539F308C"/>
    <w:rsid w:val="54790B80"/>
    <w:rsid w:val="55A1362B"/>
    <w:rsid w:val="55A97C7A"/>
    <w:rsid w:val="55FCD586"/>
    <w:rsid w:val="56237876"/>
    <w:rsid w:val="562B147D"/>
    <w:rsid w:val="56A1350B"/>
    <w:rsid w:val="56A966E5"/>
    <w:rsid w:val="56C64F87"/>
    <w:rsid w:val="573354B6"/>
    <w:rsid w:val="58562F86"/>
    <w:rsid w:val="58CF0F0C"/>
    <w:rsid w:val="5B645F0A"/>
    <w:rsid w:val="5BD12538"/>
    <w:rsid w:val="5CA61D9A"/>
    <w:rsid w:val="5CD85CEA"/>
    <w:rsid w:val="5E634A8E"/>
    <w:rsid w:val="5E722EE3"/>
    <w:rsid w:val="5F5D7283"/>
    <w:rsid w:val="5F6E6AB1"/>
    <w:rsid w:val="5FAFF970"/>
    <w:rsid w:val="5FFDE037"/>
    <w:rsid w:val="6204596D"/>
    <w:rsid w:val="623F094A"/>
    <w:rsid w:val="62B46607"/>
    <w:rsid w:val="62B9483E"/>
    <w:rsid w:val="63A73BA3"/>
    <w:rsid w:val="63F34786"/>
    <w:rsid w:val="63FE2E3D"/>
    <w:rsid w:val="64D24135"/>
    <w:rsid w:val="65EFCFF8"/>
    <w:rsid w:val="67662DBE"/>
    <w:rsid w:val="67BC22C6"/>
    <w:rsid w:val="680E73DA"/>
    <w:rsid w:val="683010FE"/>
    <w:rsid w:val="69FF1319"/>
    <w:rsid w:val="6AEFF643"/>
    <w:rsid w:val="6B483A74"/>
    <w:rsid w:val="6BBB6168"/>
    <w:rsid w:val="6BD72473"/>
    <w:rsid w:val="6C16082C"/>
    <w:rsid w:val="6C1854E5"/>
    <w:rsid w:val="6C5790DE"/>
    <w:rsid w:val="6CB86D62"/>
    <w:rsid w:val="6D3FC108"/>
    <w:rsid w:val="6D4A4393"/>
    <w:rsid w:val="6D896643"/>
    <w:rsid w:val="6DFFCCFD"/>
    <w:rsid w:val="6E6D5286"/>
    <w:rsid w:val="6EEBA8C5"/>
    <w:rsid w:val="6FBF9800"/>
    <w:rsid w:val="700019BE"/>
    <w:rsid w:val="70A83289"/>
    <w:rsid w:val="70B8683C"/>
    <w:rsid w:val="71144511"/>
    <w:rsid w:val="724C3F0A"/>
    <w:rsid w:val="72A93820"/>
    <w:rsid w:val="72AFF8FF"/>
    <w:rsid w:val="73353A6C"/>
    <w:rsid w:val="73BF7476"/>
    <w:rsid w:val="73FBF64A"/>
    <w:rsid w:val="74641305"/>
    <w:rsid w:val="74BF25AB"/>
    <w:rsid w:val="75166EDD"/>
    <w:rsid w:val="753F12DC"/>
    <w:rsid w:val="75824784"/>
    <w:rsid w:val="75A30BD5"/>
    <w:rsid w:val="763A78B0"/>
    <w:rsid w:val="770454AA"/>
    <w:rsid w:val="780D1F03"/>
    <w:rsid w:val="79010AE1"/>
    <w:rsid w:val="79394C30"/>
    <w:rsid w:val="794D7C30"/>
    <w:rsid w:val="79AC5337"/>
    <w:rsid w:val="79CB15B8"/>
    <w:rsid w:val="79EF4AC3"/>
    <w:rsid w:val="7A7FC49A"/>
    <w:rsid w:val="7B5B3660"/>
    <w:rsid w:val="7B7D9848"/>
    <w:rsid w:val="7B9DB212"/>
    <w:rsid w:val="7BCEA51F"/>
    <w:rsid w:val="7BDCB179"/>
    <w:rsid w:val="7BFFEC63"/>
    <w:rsid w:val="7C685229"/>
    <w:rsid w:val="7C8A12F0"/>
    <w:rsid w:val="7D401A23"/>
    <w:rsid w:val="7DB70265"/>
    <w:rsid w:val="7DE84CC4"/>
    <w:rsid w:val="7DFE0060"/>
    <w:rsid w:val="7E5267EC"/>
    <w:rsid w:val="7E78058B"/>
    <w:rsid w:val="7EB3032A"/>
    <w:rsid w:val="7F1F4B04"/>
    <w:rsid w:val="7F5B3EA5"/>
    <w:rsid w:val="7F625EE1"/>
    <w:rsid w:val="7F755C0C"/>
    <w:rsid w:val="7FA51389"/>
    <w:rsid w:val="7FB73BC7"/>
    <w:rsid w:val="7FD5F839"/>
    <w:rsid w:val="7FDF3781"/>
    <w:rsid w:val="7FF72CB5"/>
    <w:rsid w:val="7FFBF25D"/>
    <w:rsid w:val="95FD45F5"/>
    <w:rsid w:val="A6BEBD7D"/>
    <w:rsid w:val="AFF64F5A"/>
    <w:rsid w:val="B563DD18"/>
    <w:rsid w:val="BDFA1B38"/>
    <w:rsid w:val="BEB2634E"/>
    <w:rsid w:val="BFD69082"/>
    <w:rsid w:val="BFFFFEFA"/>
    <w:rsid w:val="CBEF6517"/>
    <w:rsid w:val="CDFF1BD3"/>
    <w:rsid w:val="CFFF6E0D"/>
    <w:rsid w:val="D7F71358"/>
    <w:rsid w:val="D7FD2E5E"/>
    <w:rsid w:val="DB066806"/>
    <w:rsid w:val="DDBF4FEC"/>
    <w:rsid w:val="DE9BD829"/>
    <w:rsid w:val="DFCB0A2A"/>
    <w:rsid w:val="EB9F0783"/>
    <w:rsid w:val="EBF71530"/>
    <w:rsid w:val="EDF504EC"/>
    <w:rsid w:val="EFDB9180"/>
    <w:rsid w:val="F27C544E"/>
    <w:rsid w:val="F3D95EE1"/>
    <w:rsid w:val="F7EE421F"/>
    <w:rsid w:val="F7EF5992"/>
    <w:rsid w:val="FA596864"/>
    <w:rsid w:val="FA9DDE6B"/>
    <w:rsid w:val="FD5E8A91"/>
    <w:rsid w:val="FDCB9922"/>
    <w:rsid w:val="FDF54171"/>
    <w:rsid w:val="FF3FFBD5"/>
    <w:rsid w:val="FF7D5FC5"/>
    <w:rsid w:val="FF8F65E9"/>
    <w:rsid w:val="FFB78FF7"/>
    <w:rsid w:val="FFFADE36"/>
    <w:rsid w:val="FFFFB136"/>
    <w:rsid w:val="FFFFCA7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00" w:firstLineChars="200"/>
      <w:jc w:val="both"/>
    </w:pPr>
    <w:rPr>
      <w:rFonts w:eastAsia="仿宋_GB2312" w:asciiTheme="minorHAnsi" w:hAnsiTheme="minorHAnsi" w:cstheme="minorBidi"/>
      <w:kern w:val="2"/>
      <w:sz w:val="32"/>
      <w:szCs w:val="24"/>
      <w:lang w:val="en-US" w:eastAsia="zh-CN" w:bidi="ar-SA"/>
    </w:rPr>
  </w:style>
  <w:style w:type="paragraph" w:styleId="2">
    <w:name w:val="heading 1"/>
    <w:next w:val="1"/>
    <w:qFormat/>
    <w:uiPriority w:val="0"/>
    <w:pPr>
      <w:keepNext/>
      <w:keepLines/>
      <w:widowControl w:val="0"/>
      <w:spacing w:line="560" w:lineRule="exact"/>
      <w:ind w:firstLine="600" w:firstLineChars="200"/>
      <w:jc w:val="both"/>
      <w:outlineLvl w:val="0"/>
    </w:pPr>
    <w:rPr>
      <w:rFonts w:hint="eastAsia" w:ascii="等线 Light" w:hAnsi="等线 Light" w:eastAsia="黑体" w:cs="Times New Roman"/>
      <w:bCs/>
      <w:color w:val="000000" w:themeColor="text1"/>
      <w:kern w:val="2"/>
      <w:sz w:val="32"/>
      <w:szCs w:val="48"/>
      <w:lang w:val="en-US" w:eastAsia="zh-CN" w:bidi="ar-SA"/>
      <w14:textFill>
        <w14:solidFill>
          <w14:schemeClr w14:val="tx1"/>
        </w14:solidFill>
      </w14:textFill>
    </w:rPr>
  </w:style>
  <w:style w:type="paragraph" w:styleId="3">
    <w:name w:val="heading 2"/>
    <w:basedOn w:val="1"/>
    <w:next w:val="1"/>
    <w:unhideWhenUsed/>
    <w:qFormat/>
    <w:uiPriority w:val="0"/>
    <w:pPr>
      <w:keepNext/>
      <w:keepLines/>
      <w:spacing w:before="160" w:after="80"/>
      <w:outlineLvl w:val="1"/>
    </w:pPr>
    <w:rPr>
      <w:rFonts w:hint="eastAsia" w:ascii="等线 Light" w:hAnsi="等线 Light" w:eastAsia="等线 Light" w:cs="Times New Roman"/>
      <w:b/>
      <w:bCs/>
      <w:color w:val="2F5496"/>
      <w:sz w:val="40"/>
      <w:szCs w:val="40"/>
    </w:rPr>
  </w:style>
  <w:style w:type="paragraph" w:styleId="4">
    <w:name w:val="heading 3"/>
    <w:basedOn w:val="1"/>
    <w:next w:val="1"/>
    <w:unhideWhenUsed/>
    <w:qFormat/>
    <w:uiPriority w:val="0"/>
    <w:pPr>
      <w:keepNext/>
      <w:keepLines/>
      <w:spacing w:before="160" w:after="80"/>
      <w:outlineLvl w:val="2"/>
    </w:pPr>
    <w:rPr>
      <w:rFonts w:hint="eastAsia" w:ascii="等线 Light" w:hAnsi="等线 Light" w:eastAsia="等线 Light" w:cs="Times New Roman"/>
      <w:b/>
      <w:bCs/>
      <w:color w:val="2F5496"/>
      <w:szCs w:val="32"/>
    </w:rPr>
  </w:style>
  <w:style w:type="paragraph" w:styleId="5">
    <w:name w:val="heading 4"/>
    <w:next w:val="1"/>
    <w:unhideWhenUsed/>
    <w:qFormat/>
    <w:uiPriority w:val="0"/>
    <w:pPr>
      <w:keepNext/>
      <w:keepLines/>
      <w:widowControl w:val="0"/>
      <w:spacing w:before="280" w:after="290" w:line="372" w:lineRule="auto"/>
      <w:ind w:firstLine="600" w:firstLineChars="200"/>
      <w:jc w:val="both"/>
      <w:outlineLvl w:val="3"/>
    </w:pPr>
    <w:rPr>
      <w:rFonts w:ascii="Arial" w:hAnsi="Arial" w:eastAsia="黑体" w:cstheme="minorBidi"/>
      <w:b/>
      <w:kern w:val="2"/>
      <w:sz w:val="28"/>
      <w:szCs w:val="24"/>
      <w:lang w:val="en-US" w:eastAsia="zh-CN" w:bidi="ar-SA"/>
    </w:r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qFormat/>
    <w:uiPriority w:val="39"/>
    <w:pPr>
      <w:spacing w:after="160" w:line="278" w:lineRule="auto"/>
      <w:ind w:left="2520" w:leftChars="1200" w:firstLine="0" w:firstLineChars="0"/>
      <w:jc w:val="left"/>
    </w:pPr>
    <w:rPr>
      <w:rFonts w:eastAsiaTheme="minorEastAsia"/>
      <w:sz w:val="22"/>
      <w14:ligatures w14:val="standardContextual"/>
    </w:rPr>
  </w:style>
  <w:style w:type="paragraph" w:styleId="7">
    <w:name w:val="annotation text"/>
    <w:basedOn w:val="1"/>
    <w:qFormat/>
    <w:uiPriority w:val="0"/>
    <w:pPr>
      <w:jc w:val="left"/>
    </w:pPr>
  </w:style>
  <w:style w:type="paragraph" w:styleId="8">
    <w:name w:val="Body Text"/>
    <w:basedOn w:val="1"/>
    <w:qFormat/>
    <w:uiPriority w:val="0"/>
    <w:rPr>
      <w:rFonts w:ascii="仿宋" w:hAnsi="仿宋" w:cs="仿宋"/>
      <w:szCs w:val="35"/>
    </w:rPr>
  </w:style>
  <w:style w:type="paragraph" w:styleId="9">
    <w:name w:val="toc 5"/>
    <w:basedOn w:val="1"/>
    <w:next w:val="1"/>
    <w:unhideWhenUsed/>
    <w:qFormat/>
    <w:uiPriority w:val="39"/>
    <w:pPr>
      <w:spacing w:after="160" w:line="278" w:lineRule="auto"/>
      <w:ind w:left="1680" w:leftChars="800" w:firstLine="0" w:firstLineChars="0"/>
      <w:jc w:val="left"/>
    </w:pPr>
    <w:rPr>
      <w:rFonts w:eastAsiaTheme="minorEastAsia"/>
      <w:sz w:val="22"/>
      <w14:ligatures w14:val="standardContextual"/>
    </w:rPr>
  </w:style>
  <w:style w:type="paragraph" w:styleId="10">
    <w:name w:val="toc 3"/>
    <w:basedOn w:val="1"/>
    <w:next w:val="1"/>
    <w:qFormat/>
    <w:uiPriority w:val="39"/>
    <w:pPr>
      <w:ind w:left="640" w:leftChars="200" w:firstLine="0" w:firstLineChars="0"/>
    </w:pPr>
    <w:rPr>
      <w:sz w:val="28"/>
    </w:rPr>
  </w:style>
  <w:style w:type="paragraph" w:styleId="11">
    <w:name w:val="toc 8"/>
    <w:basedOn w:val="1"/>
    <w:next w:val="1"/>
    <w:unhideWhenUsed/>
    <w:qFormat/>
    <w:uiPriority w:val="39"/>
    <w:pPr>
      <w:spacing w:after="160" w:line="278" w:lineRule="auto"/>
      <w:ind w:left="2940" w:leftChars="1400" w:firstLine="0" w:firstLineChars="0"/>
      <w:jc w:val="left"/>
    </w:pPr>
    <w:rPr>
      <w:rFonts w:eastAsiaTheme="minorEastAsia"/>
      <w:sz w:val="22"/>
      <w14:ligatures w14:val="standardContextual"/>
    </w:rPr>
  </w:style>
  <w:style w:type="paragraph" w:styleId="12">
    <w:name w:val="footer"/>
    <w:qFormat/>
    <w:uiPriority w:val="99"/>
    <w:pPr>
      <w:widowControl w:val="0"/>
      <w:tabs>
        <w:tab w:val="center" w:pos="4153"/>
        <w:tab w:val="right" w:pos="8306"/>
      </w:tabs>
      <w:snapToGrid w:val="0"/>
      <w:spacing w:line="560" w:lineRule="exact"/>
      <w:ind w:firstLine="600" w:firstLineChars="200"/>
    </w:pPr>
    <w:rPr>
      <w:rFonts w:eastAsia="仿宋_GB2312" w:asciiTheme="minorHAnsi" w:hAnsiTheme="minorHAnsi" w:cstheme="minorBidi"/>
      <w:kern w:val="2"/>
      <w:sz w:val="18"/>
      <w:szCs w:val="24"/>
      <w:lang w:val="en-US" w:eastAsia="zh-CN" w:bidi="ar-SA"/>
    </w:rPr>
  </w:style>
  <w:style w:type="paragraph" w:styleId="13">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ind w:firstLine="600" w:firstLineChars="200"/>
      <w:jc w:val="both"/>
    </w:pPr>
    <w:rPr>
      <w:rFonts w:eastAsia="仿宋_GB2312" w:asciiTheme="minorHAnsi" w:hAnsiTheme="minorHAnsi" w:cstheme="minorBidi"/>
      <w:kern w:val="2"/>
      <w:sz w:val="18"/>
      <w:szCs w:val="24"/>
      <w:lang w:val="en-US" w:eastAsia="zh-CN" w:bidi="ar-SA"/>
    </w:rPr>
  </w:style>
  <w:style w:type="paragraph" w:styleId="14">
    <w:name w:val="toc 1"/>
    <w:basedOn w:val="1"/>
    <w:next w:val="1"/>
    <w:qFormat/>
    <w:uiPriority w:val="39"/>
    <w:pPr>
      <w:adjustRightInd w:val="0"/>
      <w:snapToGrid w:val="0"/>
      <w:ind w:firstLine="0" w:firstLineChars="0"/>
    </w:pPr>
    <w:rPr>
      <w:rFonts w:ascii="方正小标宋简体" w:hAnsi="方正小标宋简体" w:eastAsia="方正小标宋简体"/>
      <w:sz w:val="28"/>
    </w:rPr>
  </w:style>
  <w:style w:type="paragraph" w:styleId="15">
    <w:name w:val="toc 4"/>
    <w:basedOn w:val="1"/>
    <w:next w:val="1"/>
    <w:unhideWhenUsed/>
    <w:qFormat/>
    <w:uiPriority w:val="39"/>
    <w:pPr>
      <w:spacing w:after="160" w:line="278" w:lineRule="auto"/>
      <w:ind w:left="1260" w:leftChars="600" w:firstLine="0" w:firstLineChars="0"/>
      <w:jc w:val="left"/>
    </w:pPr>
    <w:rPr>
      <w:rFonts w:eastAsiaTheme="minorEastAsia"/>
      <w:sz w:val="22"/>
      <w14:ligatures w14:val="standardContextual"/>
    </w:rPr>
  </w:style>
  <w:style w:type="paragraph" w:styleId="16">
    <w:name w:val="index heading"/>
    <w:next w:val="17"/>
    <w:qFormat/>
    <w:uiPriority w:val="0"/>
    <w:pPr>
      <w:widowControl w:val="0"/>
      <w:spacing w:line="560" w:lineRule="exact"/>
      <w:ind w:firstLine="600" w:firstLineChars="200"/>
      <w:jc w:val="both"/>
    </w:pPr>
    <w:rPr>
      <w:rFonts w:ascii="Arial" w:hAnsi="Arial" w:eastAsia="等线" w:cs="Times New Roman"/>
      <w:b/>
      <w:kern w:val="2"/>
      <w:sz w:val="21"/>
      <w:szCs w:val="21"/>
      <w:lang w:val="en-US" w:eastAsia="zh-CN" w:bidi="ar-SA"/>
    </w:rPr>
  </w:style>
  <w:style w:type="paragraph" w:styleId="17">
    <w:name w:val="index 1"/>
    <w:next w:val="1"/>
    <w:qFormat/>
    <w:uiPriority w:val="0"/>
    <w:pPr>
      <w:widowControl w:val="0"/>
      <w:spacing w:line="560" w:lineRule="exact"/>
      <w:ind w:firstLine="600" w:firstLineChars="200"/>
      <w:jc w:val="both"/>
    </w:pPr>
    <w:rPr>
      <w:rFonts w:hint="eastAsia" w:ascii="等线" w:hAnsi="等线" w:eastAsia="等线" w:cs="Times New Roman"/>
      <w:kern w:val="2"/>
      <w:sz w:val="21"/>
      <w:szCs w:val="21"/>
      <w:lang w:val="en-US" w:eastAsia="zh-CN" w:bidi="ar-SA"/>
    </w:rPr>
  </w:style>
  <w:style w:type="paragraph" w:styleId="18">
    <w:name w:val="footnote text"/>
    <w:basedOn w:val="1"/>
    <w:qFormat/>
    <w:uiPriority w:val="0"/>
    <w:pPr>
      <w:snapToGrid w:val="0"/>
      <w:jc w:val="left"/>
    </w:pPr>
    <w:rPr>
      <w:sz w:val="18"/>
    </w:rPr>
  </w:style>
  <w:style w:type="paragraph" w:styleId="19">
    <w:name w:val="toc 6"/>
    <w:basedOn w:val="1"/>
    <w:next w:val="1"/>
    <w:unhideWhenUsed/>
    <w:qFormat/>
    <w:uiPriority w:val="39"/>
    <w:pPr>
      <w:spacing w:after="160" w:line="278" w:lineRule="auto"/>
      <w:ind w:left="2100" w:leftChars="1000" w:firstLine="0" w:firstLineChars="0"/>
      <w:jc w:val="left"/>
    </w:pPr>
    <w:rPr>
      <w:rFonts w:eastAsiaTheme="minorEastAsia"/>
      <w:sz w:val="22"/>
      <w14:ligatures w14:val="standardContextual"/>
    </w:rPr>
  </w:style>
  <w:style w:type="paragraph" w:styleId="20">
    <w:name w:val="toc 2"/>
    <w:basedOn w:val="1"/>
    <w:next w:val="1"/>
    <w:qFormat/>
    <w:uiPriority w:val="39"/>
    <w:pPr>
      <w:ind w:left="320" w:leftChars="100" w:firstLine="0" w:firstLineChars="0"/>
    </w:pPr>
    <w:rPr>
      <w:rFonts w:eastAsia="楷体_GB2312"/>
      <w:sz w:val="28"/>
    </w:rPr>
  </w:style>
  <w:style w:type="paragraph" w:styleId="21">
    <w:name w:val="toc 9"/>
    <w:basedOn w:val="1"/>
    <w:next w:val="1"/>
    <w:unhideWhenUsed/>
    <w:qFormat/>
    <w:uiPriority w:val="39"/>
    <w:pPr>
      <w:spacing w:after="160" w:line="278" w:lineRule="auto"/>
      <w:ind w:left="3360" w:leftChars="1600" w:firstLine="0" w:firstLineChars="0"/>
      <w:jc w:val="left"/>
    </w:pPr>
    <w:rPr>
      <w:rFonts w:eastAsiaTheme="minorEastAsia"/>
      <w:sz w:val="22"/>
      <w14:ligatures w14:val="standardContextual"/>
    </w:rPr>
  </w:style>
  <w:style w:type="paragraph" w:styleId="22">
    <w:name w:val="Normal (Web)"/>
    <w:qFormat/>
    <w:uiPriority w:val="0"/>
    <w:pPr>
      <w:spacing w:beforeAutospacing="1" w:afterAutospacing="1" w:line="560" w:lineRule="exact"/>
      <w:ind w:firstLine="600" w:firstLineChars="200"/>
    </w:pPr>
    <w:rPr>
      <w:rFonts w:ascii="宋体" w:hAnsi="宋体" w:eastAsia="宋体" w:cs="Times New Roman"/>
      <w:sz w:val="24"/>
      <w:szCs w:val="24"/>
      <w:lang w:val="en-US" w:eastAsia="zh-CN" w:bidi="ar-SA"/>
    </w:rPr>
  </w:style>
  <w:style w:type="paragraph" w:styleId="23">
    <w:name w:val="Title"/>
    <w:basedOn w:val="1"/>
    <w:qFormat/>
    <w:uiPriority w:val="0"/>
    <w:pPr>
      <w:spacing w:after="80"/>
      <w:contextualSpacing/>
      <w:jc w:val="center"/>
    </w:pPr>
    <w:rPr>
      <w:rFonts w:hint="eastAsia" w:ascii="等线 Light" w:hAnsi="等线 Light" w:eastAsia="等线 Light" w:cs="Times New Roman"/>
      <w:spacing w:val="-10"/>
      <w:kern w:val="28"/>
      <w:sz w:val="56"/>
      <w:szCs w:val="56"/>
    </w:rPr>
  </w:style>
  <w:style w:type="table" w:styleId="2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tcPr>
      <w:tcBorders>
        <w:top w:val="single" w:color="auto" w:sz="4" w:space="0"/>
        <w:left w:val="single" w:color="auto" w:sz="4" w:space="0"/>
        <w:bottom w:val="single" w:color="auto" w:sz="4" w:space="0"/>
        <w:right w:val="single" w:color="auto" w:sz="4" w:space="0"/>
      </w:tcBorders>
    </w:tcPr>
  </w:style>
  <w:style w:type="character" w:styleId="27">
    <w:name w:val="Strong"/>
    <w:basedOn w:val="26"/>
    <w:qFormat/>
    <w:uiPriority w:val="0"/>
    <w:rPr>
      <w:b/>
    </w:rPr>
  </w:style>
  <w:style w:type="character" w:styleId="28">
    <w:name w:val="Emphasis"/>
    <w:basedOn w:val="26"/>
    <w:qFormat/>
    <w:uiPriority w:val="0"/>
    <w:rPr>
      <w:i/>
    </w:rPr>
  </w:style>
  <w:style w:type="character" w:styleId="29">
    <w:name w:val="Hyperlink"/>
    <w:basedOn w:val="26"/>
    <w:unhideWhenUsed/>
    <w:qFormat/>
    <w:uiPriority w:val="99"/>
    <w:rPr>
      <w:color w:val="0026E5" w:themeColor="hyperlink"/>
      <w:u w:val="single"/>
      <w14:textFill>
        <w14:solidFill>
          <w14:schemeClr w14:val="hlink"/>
        </w14:solidFill>
      </w14:textFill>
    </w:rPr>
  </w:style>
  <w:style w:type="character" w:styleId="30">
    <w:name w:val="annotation reference"/>
    <w:basedOn w:val="26"/>
    <w:qFormat/>
    <w:uiPriority w:val="0"/>
    <w:rPr>
      <w:sz w:val="21"/>
      <w:szCs w:val="21"/>
    </w:rPr>
  </w:style>
  <w:style w:type="character" w:styleId="31">
    <w:name w:val="footnote reference"/>
    <w:basedOn w:val="26"/>
    <w:qFormat/>
    <w:uiPriority w:val="0"/>
    <w:rPr>
      <w:vertAlign w:val="superscript"/>
    </w:rPr>
  </w:style>
  <w:style w:type="character" w:customStyle="1" w:styleId="32">
    <w:name w:val="10"/>
    <w:qFormat/>
    <w:uiPriority w:val="0"/>
    <w:rPr>
      <w:rFonts w:hint="default" w:ascii="Times New Roman" w:hAnsi="Times New Roman" w:cs="Times New Roman"/>
    </w:rPr>
  </w:style>
  <w:style w:type="character" w:customStyle="1" w:styleId="33">
    <w:name w:val="18"/>
    <w:qFormat/>
    <w:uiPriority w:val="0"/>
    <w:rPr>
      <w:rFonts w:hint="default" w:ascii="Times New Roman" w:hAnsi="Times New Roman" w:cs="Times New Roman"/>
      <w:b/>
    </w:rPr>
  </w:style>
  <w:style w:type="paragraph" w:customStyle="1" w:styleId="34">
    <w:name w:val="修订1"/>
    <w:hidden/>
    <w:unhideWhenUsed/>
    <w:qFormat/>
    <w:uiPriority w:val="99"/>
    <w:rPr>
      <w:rFonts w:eastAsia="仿宋_GB2312" w:asciiTheme="minorHAnsi" w:hAnsiTheme="minorHAnsi" w:cstheme="minorBidi"/>
      <w:kern w:val="2"/>
      <w:sz w:val="32"/>
      <w:szCs w:val="24"/>
      <w:lang w:val="en-US" w:eastAsia="zh-CN" w:bidi="ar-SA"/>
    </w:rPr>
  </w:style>
  <w:style w:type="character" w:customStyle="1" w:styleId="35">
    <w:name w:val="font21"/>
    <w:basedOn w:val="26"/>
    <w:qFormat/>
    <w:uiPriority w:val="0"/>
    <w:rPr>
      <w:rFonts w:hint="eastAsia" w:ascii="仿宋_GB2312" w:eastAsia="仿宋_GB2312" w:cs="仿宋_GB2312"/>
      <w:color w:val="000000"/>
      <w:sz w:val="24"/>
      <w:szCs w:val="24"/>
      <w:u w:val="none"/>
    </w:rPr>
  </w:style>
  <w:style w:type="paragraph" w:customStyle="1" w:styleId="36">
    <w:name w:val="修订2"/>
    <w:hidden/>
    <w:unhideWhenUsed/>
    <w:qFormat/>
    <w:uiPriority w:val="99"/>
    <w:rPr>
      <w:rFonts w:eastAsia="仿宋_GB2312" w:asciiTheme="minorHAnsi" w:hAnsiTheme="minorHAnsi" w:cstheme="minorBidi"/>
      <w:kern w:val="2"/>
      <w:sz w:val="32"/>
      <w:szCs w:val="24"/>
      <w:lang w:val="en-US" w:eastAsia="zh-CN" w:bidi="ar-SA"/>
    </w:rPr>
  </w:style>
  <w:style w:type="paragraph" w:customStyle="1" w:styleId="37">
    <w:name w:val="修订3"/>
    <w:hidden/>
    <w:unhideWhenUsed/>
    <w:qFormat/>
    <w:uiPriority w:val="99"/>
    <w:rPr>
      <w:rFonts w:eastAsia="仿宋_GB2312" w:asciiTheme="minorHAnsi" w:hAnsiTheme="minorHAnsi" w:cstheme="minorBidi"/>
      <w:kern w:val="2"/>
      <w:sz w:val="32"/>
      <w:szCs w:val="24"/>
      <w:lang w:val="en-US" w:eastAsia="zh-CN" w:bidi="ar-SA"/>
    </w:rPr>
  </w:style>
  <w:style w:type="paragraph" w:customStyle="1" w:styleId="38">
    <w:name w:val="修订4"/>
    <w:hidden/>
    <w:unhideWhenUsed/>
    <w:qFormat/>
    <w:uiPriority w:val="99"/>
    <w:rPr>
      <w:rFonts w:eastAsia="仿宋_GB2312" w:asciiTheme="minorHAnsi" w:hAnsiTheme="minorHAnsi" w:cstheme="minorBidi"/>
      <w:kern w:val="2"/>
      <w:sz w:val="32"/>
      <w:szCs w:val="24"/>
      <w:lang w:val="en-US" w:eastAsia="zh-CN" w:bidi="ar-SA"/>
    </w:rPr>
  </w:style>
  <w:style w:type="paragraph" w:customStyle="1" w:styleId="39">
    <w:name w:val="修订5"/>
    <w:hidden/>
    <w:unhideWhenUsed/>
    <w:qFormat/>
    <w:uiPriority w:val="99"/>
    <w:rPr>
      <w:rFonts w:eastAsia="仿宋_GB2312" w:asciiTheme="minorHAnsi" w:hAnsiTheme="minorHAnsi" w:cstheme="minorBidi"/>
      <w:kern w:val="2"/>
      <w:sz w:val="32"/>
      <w:szCs w:val="24"/>
      <w:lang w:val="en-US" w:eastAsia="zh-CN" w:bidi="ar-SA"/>
    </w:rPr>
  </w:style>
  <w:style w:type="paragraph" w:styleId="40">
    <w:name w:val="List Paragraph"/>
    <w:basedOn w:val="1"/>
    <w:unhideWhenUsed/>
    <w:qFormat/>
    <w:uiPriority w:val="99"/>
    <w:pPr>
      <w:ind w:firstLine="420"/>
    </w:pPr>
  </w:style>
  <w:style w:type="paragraph" w:customStyle="1" w:styleId="41">
    <w:name w:val="修订6"/>
    <w:hidden/>
    <w:unhideWhenUsed/>
    <w:qFormat/>
    <w:uiPriority w:val="99"/>
    <w:rPr>
      <w:rFonts w:eastAsia="仿宋_GB2312" w:asciiTheme="minorHAnsi" w:hAnsiTheme="minorHAnsi" w:cstheme="minorBidi"/>
      <w:kern w:val="2"/>
      <w:sz w:val="32"/>
      <w:szCs w:val="24"/>
      <w:lang w:val="en-US" w:eastAsia="zh-CN" w:bidi="ar-SA"/>
    </w:rPr>
  </w:style>
  <w:style w:type="paragraph" w:customStyle="1" w:styleId="42">
    <w:name w:val="修订7"/>
    <w:hidden/>
    <w:unhideWhenUsed/>
    <w:qFormat/>
    <w:uiPriority w:val="99"/>
    <w:rPr>
      <w:rFonts w:eastAsia="仿宋_GB2312" w:asciiTheme="minorHAnsi" w:hAnsiTheme="minorHAnsi" w:cstheme="minorBidi"/>
      <w:kern w:val="2"/>
      <w:sz w:val="32"/>
      <w:szCs w:val="24"/>
      <w:lang w:val="en-US" w:eastAsia="zh-CN" w:bidi="ar-SA"/>
    </w:rPr>
  </w:style>
  <w:style w:type="paragraph" w:customStyle="1" w:styleId="43">
    <w:name w:val="修订8"/>
    <w:hidden/>
    <w:unhideWhenUsed/>
    <w:qFormat/>
    <w:uiPriority w:val="99"/>
    <w:rPr>
      <w:rFonts w:eastAsia="仿宋_GB2312" w:asciiTheme="minorHAnsi" w:hAnsiTheme="minorHAnsi" w:cstheme="minorBidi"/>
      <w:kern w:val="2"/>
      <w:sz w:val="32"/>
      <w:szCs w:val="24"/>
      <w:lang w:val="en-US" w:eastAsia="zh-CN" w:bidi="ar-SA"/>
    </w:rPr>
  </w:style>
  <w:style w:type="character" w:customStyle="1" w:styleId="44">
    <w:name w:val="未处理的提及1"/>
    <w:basedOn w:val="26"/>
    <w:semiHidden/>
    <w:unhideWhenUsed/>
    <w:qFormat/>
    <w:uiPriority w:val="99"/>
    <w:rPr>
      <w:color w:val="605E5C"/>
      <w:shd w:val="clear" w:color="auto" w:fill="E1DFDD"/>
    </w:rPr>
  </w:style>
  <w:style w:type="paragraph" w:customStyle="1" w:styleId="45">
    <w:name w:val="修订9"/>
    <w:hidden/>
    <w:unhideWhenUsed/>
    <w:qFormat/>
    <w:uiPriority w:val="99"/>
    <w:rPr>
      <w:rFonts w:eastAsia="仿宋_GB2312" w:asciiTheme="minorHAnsi" w:hAnsiTheme="minorHAnsi"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3c1ab9db-8f70-4e11-b1bb-517a03a02e7c</errorID>
      <errorWord>前  言</errorWord>
      <group>L1_Grammar</group>
      <groupName>语法问题</groupName>
      <ability>L2_Grammar</ability>
      <abilityName>语法错误</abilityName>
      <candidateList>
        <item>前言</item>
      </candidateList>
      <explain/>
      <paraID>  BB6449</paraID>
      <start>0</start>
      <end>4</end>
      <status>ignored</status>
      <modifiedWord/>
      <trackRevisions>false</trackRevisions>
    </reviewItem>
    <reviewItem>
      <errorID>6bad3496-b6aa-45f2-85ad-6725f6bfcc0b</errorID>
      <errorWord>北京及城市副中心</errorWord>
      <group>L1_Political</group>
      <groupName>政治性问题</groupName>
      <ability>L2_Keyword</ability>
      <abilityName>固定表述</abilityName>
      <candidateList>
        <item>北京城市副中心</item>
      </candidateList>
      <explain>词汇“北京城市副中心”在特定场景下为固定表述形式，请确认此处的“北京及城市副中心”是否存在不当。</explain>
      <paraID>527C303D</paraID>
      <start>28</start>
      <end>36</end>
      <status>ignored</status>
      <modifiedWord/>
      <trackRevisions>false</trackRevisions>
    </reviewItem>
    <reviewItem>
      <errorID>7caa16db-b6bf-48e0-8d3f-35ea1bb18110</errorID>
      <errorWord>文件精神</errorWord>
      <group>L1_Grammar</group>
      <groupName>语法问题</groupName>
      <ability>L2_Grammar</ability>
      <abilityName>语法错误</abilityName>
      <candidateList>
        <item>文件</item>
      </candidateList>
      <explain/>
      <paraID>527C303D</paraID>
      <start>241</start>
      <end>245</end>
      <status>ignored</status>
      <modifiedWord/>
      <trackRevisions>false</trackRevisions>
    </reviewItem>
    <reviewItem>
      <errorID>f8d75a86-0ed6-41b6-9452-efd33328695b</errorID>
      <errorWord>产业</errorWord>
      <group>L1_Word</group>
      <groupName>字词问题</groupName>
      <ability>L2_Typo</ability>
      <abilityName>字词错误</abilityName>
      <candidateList>
        <item>的产业</item>
      </candidateList>
      <explain/>
      <paraID>527C303D</paraID>
      <start>261</start>
      <end>263</end>
      <status>ignored</status>
      <modifiedWord/>
      <trackRevisions>false</trackRevisions>
    </reviewItem>
    <reviewItem>
      <errorID>cd9aaa52-5a6d-4acb-9172-b2f1d65937e9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34D5AD95</paraID>
      <start>670</start>
      <end>671</end>
      <status>ignored</status>
      <modifiedWord/>
      <trackRevisions>false</trackRevisions>
    </reviewItem>
    <reviewItem>
      <errorID>6a2637a4-9fe4-43de-acb5-8f520052e36a</errorID>
      <errorWord>提升</errorWord>
      <group>L1_Punc</group>
      <groupName>标点问题</groupName>
      <ability>L2_Punc</ability>
      <abilityName>标点符号检查</abilityName>
      <candidateList>
        <item>提升。</item>
      </candidateList>
      <explain/>
      <paraID>22607559</paraID>
      <start>125</start>
      <end>127</end>
      <status>ignored</status>
      <modifiedWord/>
      <trackRevisions>false</trackRevisions>
    </reviewItem>
    <reviewItem>
      <errorID>92021b0f-7c5e-4fd3-8e8e-d15db22b7cd8</errorID>
      <errorWord>运营</errorWord>
      <group>L1_Punc</group>
      <groupName>标点问题</groupName>
      <ability>L2_Punc</ability>
      <abilityName>标点符号检查</abilityName>
      <candidateList>
        <item>运营。</item>
      </candidateList>
      <explain/>
      <paraID>22607559</paraID>
      <start>143</start>
      <end>145</end>
      <status>ignored</status>
      <modifiedWord/>
      <trackRevisions>false</trackRevisions>
    </reviewItem>
    <reviewItem>
      <errorID>cb3a7a61-143b-476d-ad79-5db6df1f8112</errorID>
      <errorWord>国家级夜间文化和旅游消费集聚区</errorWord>
      <group>L1_Political</group>
      <groupName>政治性问题</groupName>
      <ability>L2_Keyword</ability>
      <abilityName>固定表述</abilityName>
      <candidateList>
        <item>国家级夜间文化和旅游消费集聚区。</item>
      </candidateList>
      <explain>此处内容疑似含有固定表述相关错误，建议核查。</explain>
      <paraID>22607559</paraID>
      <start>191</start>
      <end>206</end>
      <status>ignored</status>
      <modifiedWord/>
      <trackRevisions>false</trackRevisions>
    </reviewItem>
    <reviewItem>
      <errorID>d1cc3aea-574d-454e-b024-f314fa7442ff</errorID>
      <errorWord>余个</errorWord>
      <group>L1_Punc</group>
      <groupName>标点问题</groupName>
      <ability>L2_Punc</ability>
      <abilityName>标点符号检查</abilityName>
      <candidateList>
        <item>余个。</item>
      </candidateList>
      <explain/>
      <paraID>22607559</paraID>
      <start>464</start>
      <end>466</end>
      <status>ignored</status>
      <modifiedWord/>
      <trackRevisions>false</trackRevisions>
    </reviewItem>
    <reviewItem>
      <errorID>80462419-2d6e-472a-b372-cc67c9cace2e</errorID>
      <errorWord>首位</errorWord>
      <group>L1_Punc</group>
      <groupName>标点问题</groupName>
      <ability>L2_Punc</ability>
      <abilityName>标点符号检查</abilityName>
      <candidateList>
        <item>首位。</item>
      </candidateList>
      <explain/>
      <paraID>22607559</paraID>
      <start>581</start>
      <end>583</end>
      <status>ignored</status>
      <modifiedWord/>
      <trackRevisions>false</trackRevisions>
    </reviewItem>
    <reviewItem>
      <errorID>abd31e96-b5ab-4b26-8389-3d531788f516</errorID>
      <errorWord>《国务院</errorWord>
      <group>L1_Grammar</group>
      <groupName>语法问题</groupName>
      <ability>L2_Grammar</ability>
      <abilityName>语法错误</abilityName>
      <candidateList>
        <item>《</item>
      </candidateList>
      <explain/>
      <paraID>41603548</paraID>
      <start>107</start>
      <end>111</end>
      <status>ignored</status>
      <modifiedWord/>
      <trackRevisions>false</trackRevisions>
    </reviewItem>
    <reviewItem>
      <errorID>befbc2c5-71f6-45f1-aa76-9066967540bf</errorID>
      <errorWord>对</errorWord>
      <group>L1_Word</group>
      <groupName>字词问题</groupName>
      <ability>L2_Typo</ability>
      <abilityName>字词错误</abilityName>
      <candidateList>
        <item>这对</item>
      </candidateList>
      <explain/>
      <paraID>27A9DD8B</paraID>
      <start>198</start>
      <end>199</end>
      <status>ignored</status>
      <modifiedWord/>
      <trackRevisions>false</trackRevisions>
    </reviewItem>
    <reviewItem>
      <errorID>c1dba995-b731-4ae8-b748-36b6957f1e87</errorID>
      <errorWord>对</errorWord>
      <group>L1_Word</group>
      <groupName>字词问题</groupName>
      <ability>L2_Typo</ability>
      <abilityName>字词错误</abilityName>
      <candidateList>
        <item>这对</item>
      </candidateList>
      <explain/>
      <paraID>29165DA0</paraID>
      <start>187</start>
      <end>188</end>
      <status>ignored</status>
      <modifiedWord/>
      <trackRevisions>false</trackRevisions>
    </reviewItem>
    <reviewItem>
      <errorID>57fa8b82-0b04-4295-be29-4f917aa74683</errorID>
      <errorWord>，</errorWord>
      <group>L1_Punc</group>
      <groupName>标点问题</groupName>
      <ability>L2_Punc</ability>
      <abilityName>标点符号检查</abilityName>
      <candidateList>
        <item>。</item>
      </candidateList>
      <explain/>
      <paraID>498293DE</paraID>
      <start>196</start>
      <end>197</end>
      <status>ignored</status>
      <modifiedWord/>
      <trackRevisions>false</trackRevisions>
    </reviewItem>
    <reviewItem>
      <errorID>24b9abd6-69f9-4851-a07c-1867e67c74b3</errorID>
      <errorWord>，</errorWord>
      <group>L1_Punc</group>
      <groupName>标点问题</groupName>
      <ability>L2_Punc</ability>
      <abilityName>标点符号检查</abilityName>
      <candidateList>
        <item>。</item>
      </candidateList>
      <explain/>
      <paraID>29320028</paraID>
      <start>197</start>
      <end>198</end>
      <status>ignored</status>
      <modifiedWord/>
      <trackRevisions>false</trackRevisions>
    </reviewItem>
    <reviewItem>
      <errorID>0c0aa4b0-abb9-4fb6-afef-6b196ef62aca</errorID>
      <errorWord>数字经济等产业</errorWord>
      <group>L1_Political</group>
      <groupName>政治性问题</groupName>
      <ability>L2_Keyword</ability>
      <abilityName>固定表述</abilityName>
      <candidateList>
        <item>数字经济核心产业</item>
      </candidateList>
      <explain>词汇“数字经济核心产业”在特定场景下为固定表述形式，请确认此处的“数字经济等产业”是否存在不当。</explain>
      <paraID>685EE4C8</paraID>
      <start>21</start>
      <end>28</end>
      <status>ignored</status>
      <modifiedWord/>
      <trackRevisions>false</trackRevisions>
    </reviewItem>
    <reviewItem>
      <errorID>8cc8d66a-2b30-481b-9670-5fa7a6948d54</errorID>
      <errorWord>。</errorWord>
      <group>L1_Punc</group>
      <groupName>标点问题</groupName>
      <ability>L2_Punc</ability>
      <abilityName>标点符号检查</abilityName>
      <candidateList>
        <item>，</item>
      </candidateList>
      <explain/>
      <paraID>685EE4C8</paraID>
      <start>65</start>
      <end>66</end>
      <status>ignored</status>
      <modifiedWord/>
      <trackRevisions>false</trackRevisions>
    </reviewItem>
    <reviewItem>
      <errorID>6011fe78-a17a-441d-bacb-31407e8430b4</errorID>
      <errorWord>。</errorWord>
      <group>L1_Punc</group>
      <groupName>标点问题</groupName>
      <ability>L2_Punc</ability>
      <abilityName>标点符号检查</abilityName>
      <candidateList>
        <item>，</item>
      </candidateList>
      <explain/>
      <paraID>2F110149</paraID>
      <start>59</start>
      <end>60</end>
      <status>ignored</status>
      <modifiedWord/>
      <trackRevisions>false</trackRevisions>
    </reviewItem>
    <reviewItem>
      <errorID>dbb1f9ee-02aa-4b7b-9cae-aa9343a8a959</errorID>
      <errorWord>。</errorWord>
      <group>L1_Punc</group>
      <groupName>标点问题</groupName>
      <ability>L2_Punc</ability>
      <abilityName>标点符号检查</abilityName>
      <candidateList>
        <item>，</item>
      </candidateList>
      <explain/>
      <paraID>2F110149</paraID>
      <start>119</start>
      <end>120</end>
      <status>ignored</status>
      <modifiedWord/>
      <trackRevisions>false</trackRevisions>
    </reviewItem>
    <reviewItem>
      <errorID>bd6779ca-b5fd-45e9-b7d1-161735b5b082</errorID>
      <errorWord>，</errorWord>
      <group>L1_Punc</group>
      <groupName>标点问题</groupName>
      <ability>L2_Punc</ability>
      <abilityName>标点符号检查</abilityName>
      <candidateList>
        <item>。</item>
      </candidateList>
      <explain/>
      <paraID> 4210617</paraID>
      <start>77</start>
      <end>78</end>
      <status>ignored</status>
      <modifiedWord/>
      <trackRevisions>false</trackRevisions>
    </reviewItem>
    <reviewItem>
      <errorID>f5b933cc-4cdc-4786-a7d5-17897d97caac</errorID>
      <errorWord>新旧动能转换</errorWord>
      <group>L1_Political</group>
      <groupName>政治性问题</groupName>
      <ability>L2_Keyword</ability>
      <abilityName>固定表述</abilityName>
      <candidateList>
        <item>，新旧动能转换</item>
      </candidateList>
      <explain>此处内容疑似含有固定表述相关错误，建议核查。</explain>
      <paraID> 4210617</paraID>
      <start>83</start>
      <end>89</end>
      <status>ignored</status>
      <modifiedWord/>
      <trackRevisions>false</trackRevisions>
    </reviewItem>
    <reviewItem>
      <errorID>e72021c2-3923-434f-b8ff-00ccef47a0c4</errorID>
      <errorWord>，</errorWord>
      <group>L1_Punc</group>
      <groupName>标点问题</groupName>
      <ability>L2_Punc</ability>
      <abilityName>标点符号检查</abilityName>
      <candidateList>
        <item>；</item>
      </candidateList>
      <explain/>
      <paraID>1FA1E54B</paraID>
      <start>38</start>
      <end>39</end>
      <status>ignored</status>
      <modifiedWord/>
      <trackRevisions>false</trackRevisions>
    </reviewItem>
    <reviewItem>
      <errorID>1b4002bb-ad36-4c5b-8298-f04df4933730</errorID>
      <errorWord> </errorWord>
      <group>L1_Punc</group>
      <groupName>标点问题</groupName>
      <ability>L2_Punc</ability>
      <abilityName>标点符号检查</abilityName>
      <candidateList>
        <item/>
      </candidateList>
      <explain>此处空格冗余，建议删除。</explain>
      <paraID>34BE841E</paraID>
      <start>51</start>
      <end>52</end>
      <status>ignored</status>
      <modifiedWord/>
      <trackRevisions>false</trackRevisions>
    </reviewItem>
    <reviewItem>
      <errorID>dc68d07c-e48b-4e9b-999b-9acac35f568b</errorID>
      <errorWord>开发区1</errorWord>
      <group>L1_Word</group>
      <groupName>字词问题</groupName>
      <ability>L2_Typo</ability>
      <abilityName>字词错误</abilityName>
      <candidateList>
        <item>开发区</item>
      </candidateList>
      <explain/>
      <paraID>34BE841E</paraID>
      <start>55</start>
      <end>83</end>
      <status>ignored</status>
      <modifiedWord/>
      <trackRevisions>false</trackRevisions>
    </reviewItem>
    <reviewItem>
      <errorID>bd8582e9-31ed-4d61-9965-93d1222653c6</errorID>
      <errorWord>资源集聚</errorWord>
      <group>L1_Grammar</group>
      <groupName>语法问题</groupName>
      <ability>L2_Grammar</ability>
      <abilityName>语法错误</abilityName>
      <candidateList>
        <item>资源</item>
      </candidateList>
      <explain/>
      <paraID>47554DAF</paraID>
      <start>110</start>
      <end>114</end>
      <status>ignored</status>
      <modifiedWord/>
      <trackRevisions>false</trackRevisions>
    </reviewItem>
    <reviewItem>
      <errorID>373b1f3a-21fb-445b-b4e4-a88b6314e99b</errorID>
      <errorWord>产业布局</errorWord>
      <group>L1_Political</group>
      <groupName>政治性问题</groupName>
      <ability>L2_Keyword</ability>
      <abilityName>固定表述</abilityName>
      <candidateList>
        <item>产业布局。</item>
      </candidateList>
      <explain>此处内容疑似含有固定表述相关错误，建议核查。</explain>
      <paraID>394B0570</paraID>
      <start>24</start>
      <end>28</end>
      <status>ignored</status>
      <modifiedWord/>
      <trackRevisions>false</trackRevisions>
    </reviewItem>
    <reviewItem>
      <errorID>bcb4e15c-b40a-4977-a7be-258be096c33a</errorID>
      <errorWord>“</errorWord>
      <group>L1_Punc</group>
      <groupName>标点问题</groupName>
      <ability>L2_Punc</ability>
      <abilityName>标点符号检查</abilityName>
      <candidateList>
        <item>：“</item>
      </candidateList>
      <explain/>
      <paraID> 99AE0A3</paraID>
      <start>44</start>
      <end>46</end>
      <status>modified</status>
      <modifiedWord>：“</modifiedWord>
      <trackRevisions>false</trackRevisions>
    </reviewItem>
    <reviewItem>
      <errorID>54389bd7-5fe8-4372-9159-a8cde9ec7763</errorID>
      <errorWord>”。</errorWord>
      <group>L1_Punc</group>
      <groupName>标点问题</groupName>
      <ability>L2_Punc</ability>
      <abilityName>标点符号检查</abilityName>
      <candidateList>
        <item>。”</item>
      </candidateList>
      <explain/>
      <paraID> 99AE0A3</paraID>
      <start>78</start>
      <end>80</end>
      <status>modified</status>
      <modifiedWord>。”</modifiedWord>
      <trackRevisions>false</trackRevisions>
    </reviewItem>
    <reviewItem>
      <errorID>ef769ebd-5730-4a68-b3a5-fd7a796d5cd7</errorID>
      <errorWord>。</errorWord>
      <group>L1_Grammar</group>
      <groupName>语法问题</groupName>
      <ability>L2_Grammar</ability>
      <abilityName>语法错误</abilityName>
      <candidateList>
        <item>水平。</item>
      </candidateList>
      <explain/>
      <paraID>5D2EA0BF</paraID>
      <start>12</start>
      <end>13</end>
      <status>ignored</status>
      <modifiedWord/>
      <trackRevisions>false</trackRevisions>
    </reviewItem>
    <reviewItem>
      <errorID>914959cb-b967-4670-8b87-e30d1901119e</errorID>
      <errorWord>产业</errorWord>
      <group>L1_Word</group>
      <groupName>字词问题</groupName>
      <ability>L2_Typo</ability>
      <abilityName>字词错误</abilityName>
      <candidateList>
        <item>的产业</item>
      </candidateList>
      <explain/>
      <paraID>5D2EA0BF</paraID>
      <start>181</start>
      <end>183</end>
      <status>ignored</status>
      <modifiedWord/>
      <trackRevisions>false</trackRevisions>
    </reviewItem>
    <reviewItem>
      <errorID>594e8b96-ee9b-4f77-befd-e68bb7c77320</errorID>
      <errorWord>升级</errorWord>
      <group>L1_Word</group>
      <groupName>字词问题</groupName>
      <ability>L2_Typo</ability>
      <abilityName>字词错误</abilityName>
      <candidateList>
        <item>的升级</item>
      </candidateList>
      <explain/>
      <paraID>5928D3C8</paraID>
      <start>53</start>
      <end>55</end>
      <status>ignored</status>
      <modifiedWord/>
      <trackRevisions>false</trackRevisions>
    </reviewItem>
    <reviewItem>
      <errorID>6e96d161-3658-4d64-8efa-2da2df79a0a6</errorID>
      <errorWord>围绕</errorWord>
      <group>L1_Word</group>
      <groupName>字词问题</groupName>
      <ability>L2_Typo</ability>
      <abilityName>字词错误</abilityName>
      <candidateList>
        <item>以适配</item>
      </candidateList>
      <explain/>
      <paraID>5928D3C8</paraID>
      <start>58</start>
      <end>60</end>
      <status>ignored</status>
      <modifiedWord/>
      <trackRevisions>false</trackRevisions>
    </reviewItem>
    <reviewItem>
      <errorID>6b30da5d-dc3c-4589-b0ba-56385c57ec2c</errorID>
      <errorWord>，适配</errorWord>
      <group>L1_Grammar</group>
      <groupName>语法问题</groupName>
      <ability>L2_Grammar</ability>
      <abilityName>语法错误</abilityName>
      <candidateList>
        <item>的</item>
      </candidateList>
      <explain/>
      <paraID>5928D3C8</paraID>
      <start>77</start>
      <end>80</end>
      <status>ignored</status>
      <modifiedWord/>
      <trackRevisions>false</trackRevisions>
    </reviewItem>
    <reviewItem>
      <errorID>0b74a349-c587-4f42-a726-8cf25ebfd1c2</errorID>
      <errorWord>建设</errorWord>
      <group>L1_Word</group>
      <groupName>字词问题</groupName>
      <ability>L2_Typo</ability>
      <abilityName>字词错误</abilityName>
      <candidateList>
        <item>的建设</item>
      </candidateList>
      <explain/>
      <paraID> 98F3116</paraID>
      <start>41</start>
      <end>43</end>
      <status>ignored</status>
      <modifiedWord/>
      <trackRevisions>false</trackRevisions>
    </reviewItem>
    <reviewItem>
      <errorID>37559018-7b94-4569-9e35-4c20346d4202</errorID>
      <errorWord>落地</errorWord>
      <group>L1_Word</group>
      <groupName>字词问题</groupName>
      <ability>L2_Typo</ability>
      <abilityName>字词错误</abilityName>
      <candidateList>
        <item>的落地</item>
      </candidateList>
      <explain/>
      <paraID> 98F3116</paraID>
      <start>95</start>
      <end>97</end>
      <status>ignored</status>
      <modifiedWord/>
      <trackRevisions>false</trackRevisions>
    </reviewItem>
    <reviewItem>
      <errorID>54f7905f-7e8f-4125-a378-cefe79d04555</errorID>
      <errorWord>智能网</errorWord>
      <group>L1_Word</group>
      <groupName>字词问题</groupName>
      <ability>L2_Typo</ability>
      <abilityName>字词错误</abilityName>
      <candidateList>
        <item>在智能网</item>
      </candidateList>
      <explain/>
      <paraID>75B3711E</paraID>
      <start>51</start>
      <end>54</end>
      <status>ignored</status>
      <modifiedWord/>
      <trackRevisions>false</trackRevisions>
    </reviewItem>
    <reviewItem>
      <errorID>ae56eb3f-8e2b-4466-9bfc-bf60c6303c02</errorID>
      <errorWord>双向</errorWord>
      <group>L1_Grammar</group>
      <groupName>语法问题</groupName>
      <ability>L2_Grammar</ability>
      <abilityName>语法错误</abilityName>
      <candidateList>
        <item>方面双向</item>
      </candidateList>
      <explain/>
      <paraID>75B3711E</paraID>
      <start>59</start>
      <end>61</end>
      <status>ignored</status>
      <modifiedWord/>
      <trackRevisions>false</trackRevisions>
    </reviewItem>
    <reviewItem>
      <errorID>8193629c-607c-4a29-91da-c93445427fd3</errorID>
      <errorWord>通亦</errorWord>
      <group>L1_Grammar</group>
      <groupName>语法问题</groupName>
      <ability>L2_Grammar</ability>
      <abilityName>语法错误</abilityName>
      <candidateList>
        <item>通州—亦庄</item>
      </candidateList>
      <explain/>
      <paraID>62BBC822</paraID>
      <start>39</start>
      <end>41</end>
      <status>ignored</status>
      <modifiedWord/>
      <trackRevisions>false</trackRevisions>
    </reviewItem>
    <reviewItem>
      <errorID>e27cee39-d5d8-4723-84bb-6ddc4bb0cd09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1CE4A8D8</paraID>
      <start>243</start>
      <end>244</end>
      <status>ignored</status>
      <modifiedWord/>
      <trackRevisions>false</trackRevisions>
    </reviewItem>
    <reviewItem>
      <errorID>5f491855-748a-4a4a-9db5-e6a1f35d52df</errorID>
      <errorWord>筑造</errorWord>
      <group>L1_Word</group>
      <groupName>字词问题</groupName>
      <ability>L2_Typo</ability>
      <abilityName>字词错误</abilityName>
      <candidateList>
        <item>打造</item>
      </candidateList>
      <explain/>
      <paraID>6403D6E0</paraID>
      <start>9</start>
      <end>11</end>
      <status>ignored</status>
      <modifiedWord/>
      <trackRevisions>false</trackRevisions>
    </reviewItem>
    <reviewItem>
      <errorID>9c0a22be-b454-45ea-bfe0-f6e1ea665429</errorID>
      <errorWord> </errorWord>
      <group>L1_Punc</group>
      <groupName>标点问题</groupName>
      <ability>L2_Punc</ability>
      <abilityName>标点符号检查</abilityName>
      <candidateList>
        <item/>
      </candidateList>
      <explain>此处空格冗余，建议删除。</explain>
      <paraID>41233AB7</paraID>
      <start>186</start>
      <end>187</end>
      <status>ignored</status>
      <modifiedWord/>
      <trackRevisions>false</trackRevisions>
    </reviewItem>
    <reviewItem>
      <errorID>c6576338-a40b-4a9c-8514-adc583446779</errorID>
      <errorWord>关键共性技术攻关</errorWord>
      <group>L1_Political</group>
      <groupName>政治性问题</groupName>
      <ability>L2_Keyword</ability>
      <abilityName>固定表述</abilityName>
      <candidateList>
        <item>关键核心技术攻关</item>
      </candidateList>
      <explain>词汇“关键核心技术攻关”在特定场景下为固定表述形式，请确认此处的“关键共性技术攻关”是否存在不当。</explain>
      <paraID>56A11756</paraID>
      <start>52</start>
      <end>60</end>
      <status>ignored</status>
      <modifiedWord/>
      <trackRevisions>false</trackRevisions>
    </reviewItem>
    <reviewItem>
      <errorID>9d3cc235-4bb0-4a8b-8399-9e8b6fefa905</errorID>
      <errorWord>亦</errorWord>
      <group>L1_Word</group>
      <groupName>字词问题</groupName>
      <ability>L2_Typo</ability>
      <abilityName>字词错误</abilityName>
      <candidateList>
        <item>办</item>
      </candidateList>
      <explain>存在字形相近字词的误用。</explain>
      <paraID> C10FCE6</paraID>
      <start>5</start>
      <end>6</end>
      <status>ignored</status>
      <modifiedWord/>
      <trackRevisions>false</trackRevisions>
    </reviewItem>
    <reviewItem>
      <errorID>97e655b7-23a3-477d-b9c7-8701890ea44a</errorID>
      <errorWord>亦</errorWord>
      <group>L1_Word</group>
      <groupName>字词问题</groupName>
      <ability>L2_Typo</ability>
      <abilityName>字词错误</abilityName>
      <candidateList>
        <item>办</item>
      </candidateList>
      <explain>存在字形相近字词的误用。</explain>
      <paraID>1868E568</paraID>
      <start>7</start>
      <end>8</end>
      <status>ignored</status>
      <modifiedWord/>
      <trackRevisions>false</trackRevisions>
    </reviewItem>
    <reviewItem>
      <errorID>658da5ac-8f67-468c-907f-adaeb494d553</errorID>
      <errorWord>增强</errorWord>
      <group>L1_Grammar</group>
      <groupName>语法问题</groupName>
      <ability>L2_Grammar</ability>
      <abilityName>语法错误</abilityName>
      <candidateList>
        <item>提升</item>
      </candidateList>
      <explain>“增强～水平”搭配不当，建议修改为“提升～水平”。</explain>
      <paraID>5B304F26</paraID>
      <start>11</start>
      <end>13</end>
      <status>ignored</status>
      <modifiedWord/>
      <trackRevisions>false</trackRevisions>
    </reviewItem>
    <reviewItem>
      <errorID>d82ed8df-dbaf-4b6f-86b8-ac960e54dacc</errorID>
      <errorWord>增强</errorWord>
      <group>L1_Grammar</group>
      <groupName>语法问题</groupName>
      <ability>L2_Grammar</ability>
      <abilityName>语法错误</abilityName>
      <candidateList>
        <item>提升</item>
      </candidateList>
      <explain>“增强～水平”搭配不当，建议修改为“提升～水平”。</explain>
      <paraID>4EDD223D</paraID>
      <start>11</start>
      <end>13</end>
      <status>ignored</status>
      <modifiedWord/>
      <trackRevisions>false</trackRevisions>
    </reviewItem>
    <reviewItem>
      <errorID>9ab972b7-9d4b-48c7-9584-4f5dcfebd493</errorID>
      <errorWord>市场化、专业化、国际化</errorWord>
      <group>L1_Political</group>
      <groupName>政治性问题</groupName>
      <ability>L2_Keyword</ability>
      <abilityName>固定表述</abilityName>
      <candidateList>
        <item>市场化、法治化、国际化</item>
      </candidateList>
      <explain>词汇“市场化、法治化、国际化”在特定场景下为固定表述形式，请确认此处的“市场化、专业化、国际化”是否存在不当。</explain>
      <paraID>4EDD223D</paraID>
      <start>81</start>
      <end>92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60200A-6DC8-47DB-862C-B65D0628379F}">
  <ds:schemaRefs/>
</ds:datastoreItem>
</file>

<file path=docProps/app.xml><?xml version="1.0" encoding="utf-8"?>
<Properties xmlns="http://schemas.openxmlformats.org/officeDocument/2006/extended-properties" xmlns:vt="http://schemas.openxmlformats.org/officeDocument/2006/docPropsVTypes">
  <Template>Normal</Template>
  <Pages>65</Pages>
  <Words>32429</Words>
  <Characters>32659</Characters>
  <Lines>270</Lines>
  <Paragraphs>76</Paragraphs>
  <TotalTime>16</TotalTime>
  <ScaleCrop>false</ScaleCrop>
  <LinksUpToDate>false</LinksUpToDate>
  <CharactersWithSpaces>33198</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2026-05-13T05:21:00Z</dcterms:created>
  <dc:creator>鹿七七</dc:creator>
  <cp:lastModifiedBy>檀昕</cp:lastModifiedBy>
  <cp:lastPrinted>2026-05-06T15:34:00Z</cp:lastPrinted>
  <dcterms:modified xsi:type="dcterms:W3CDTF">2026-05-14T04:30:49Z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605072CD1C374A35825CF6351FE988B9</vt:lpwstr>
  </property>
  <property fmtid="{D5CDD505-2E9C-101B-9397-08002B2CF9AE}" pid="4" name="KSOTemplateDocerSaveRecord">
    <vt:lpwstr>eyJoZGlkIjoiMDUzZWEyZjM3M2QyNmE1YzEwNzRlMDdiZGExZDhmNWMiLCJ1c2VySWQiOiIxMjA2MTAzNzA4In0=</vt:lpwstr>
  </property>
</Properties>
</file>