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rPr>
          <w:rFonts w:hint="default" w:ascii="方正小标宋简体" w:hAnsi="仿宋_GB2312" w:eastAsia="方正小标宋简体"/>
          <w:sz w:val="32"/>
          <w:szCs w:val="32"/>
          <w:lang w:val="en-US" w:eastAsia="zh-CN"/>
        </w:rPr>
      </w:pPr>
      <w:bookmarkStart w:id="0" w:name="OLE_LINK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方正小标宋简体" w:hAnsi="仿宋_GB2312"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方正小标宋简体" w:hAnsi="黑体" w:eastAsia="方正小标宋简体" w:cs="黑体"/>
          <w:b w:val="0"/>
          <w:bCs w:val="0"/>
          <w:color w:val="000000"/>
          <w:sz w:val="44"/>
          <w:szCs w:val="44"/>
          <w:highlight w:val="none"/>
          <w:u w:val="none" w:color="auto"/>
          <w:lang w:val="en-US" w:eastAsia="zh-CN"/>
        </w:rPr>
      </w:pPr>
      <w:r>
        <w:rPr>
          <w:rFonts w:hint="eastAsia" w:ascii="方正小标宋简体" w:hAnsi="仿宋_GB2312" w:eastAsia="方正小标宋简体"/>
          <w:sz w:val="44"/>
          <w:szCs w:val="44"/>
        </w:rPr>
        <w:t>关于《</w:t>
      </w:r>
      <w:r>
        <w:rPr>
          <w:rFonts w:hint="eastAsia" w:ascii="方正小标宋简体" w:hAnsi="黑体" w:eastAsia="方正小标宋简体" w:cs="黑体"/>
          <w:b w:val="0"/>
          <w:bCs w:val="0"/>
          <w:color w:val="000000"/>
          <w:sz w:val="44"/>
          <w:szCs w:val="44"/>
          <w:highlight w:val="none"/>
          <w:u w:val="none" w:color="auto"/>
          <w:lang w:val="en-US" w:eastAsia="zh-CN"/>
        </w:rPr>
        <w:t>北京城市副中心（通州区）“十五五”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方正小标宋简体" w:hAnsi="仿宋_GB2312" w:eastAsia="方正小标宋简体"/>
          <w:sz w:val="44"/>
          <w:szCs w:val="44"/>
        </w:rPr>
      </w:pPr>
      <w:r>
        <w:rPr>
          <w:rFonts w:hint="eastAsia" w:ascii="方正小标宋简体" w:hAnsi="黑体" w:eastAsia="方正小标宋简体" w:cs="黑体"/>
          <w:b w:val="0"/>
          <w:bCs w:val="0"/>
          <w:color w:val="000000"/>
          <w:sz w:val="44"/>
          <w:szCs w:val="44"/>
          <w:highlight w:val="none"/>
          <w:u w:val="none" w:color="auto"/>
          <w:lang w:val="en-US" w:eastAsia="zh-CN"/>
        </w:rPr>
        <w:t>时期产业发展规划（征求意见稿）</w:t>
      </w:r>
      <w:r>
        <w:rPr>
          <w:rFonts w:hint="eastAsia" w:ascii="方正小标宋简体" w:hAnsi="仿宋_GB2312" w:eastAsia="方正小标宋简体"/>
          <w:sz w:val="44"/>
          <w:szCs w:val="44"/>
        </w:rPr>
        <w:t>》的起草说明</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黑体" w:hAnsi="黑体" w:eastAsia="黑体" w:cs="黑体"/>
          <w:b w:val="0"/>
          <w:bCs w:val="0"/>
          <w:color w:val="000000"/>
          <w:sz w:val="32"/>
          <w:szCs w:val="32"/>
          <w:highlight w:val="none"/>
          <w:u w:val="none" w:color="auto"/>
        </w:rPr>
      </w:pPr>
      <w:bookmarkStart w:id="1" w:name="_Toc336567400"/>
      <w:bookmarkStart w:id="2" w:name="_Toc19062"/>
      <w:bookmarkStart w:id="3" w:name="_Toc27801"/>
      <w:bookmarkStart w:id="4" w:name="_Toc7701"/>
      <w:bookmarkStart w:id="5" w:name="_Toc2119186901"/>
      <w:bookmarkStart w:id="6" w:name="_Toc1786436564"/>
      <w:bookmarkStart w:id="7" w:name="_Toc12590"/>
      <w:bookmarkStart w:id="8" w:name="_Toc92818517"/>
      <w:bookmarkStart w:id="9" w:name="_Toc7205"/>
      <w:bookmarkStart w:id="10" w:name="_Toc2818"/>
      <w:bookmarkStart w:id="11" w:name="_Toc26571"/>
      <w:bookmarkStart w:id="12" w:name="_Toc8625"/>
      <w:bookmarkStart w:id="13" w:name="_Toc13501"/>
      <w:bookmarkStart w:id="14" w:name="_Toc11600"/>
      <w:bookmarkStart w:id="15" w:name="_Toc1252345155"/>
      <w:bookmarkStart w:id="16" w:name="_Toc21093"/>
      <w:bookmarkStart w:id="17" w:name="_Toc4633"/>
      <w:bookmarkStart w:id="18" w:name="_Toc29612"/>
      <w:r>
        <w:rPr>
          <w:rFonts w:hint="eastAsia" w:ascii="黑体" w:hAnsi="黑体" w:eastAsia="黑体" w:cs="黑体"/>
          <w:b w:val="0"/>
          <w:bCs w:val="0"/>
          <w:sz w:val="32"/>
          <w:szCs w:val="32"/>
          <w:highlight w:val="none"/>
          <w:u w:val="none" w:color="auto"/>
          <w:lang w:val="en-US" w:eastAsia="zh-CN"/>
        </w:rPr>
        <w:t>一、规划背景</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keepNext w:val="0"/>
        <w:keepLines w:val="0"/>
        <w:pageBreakBefore w:val="0"/>
        <w:widowControl/>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近年来，北京城市副中心立足“3+1”主导功能定位，以高质量发展为目标，以培育新质生产力为重要抓手，加速推进产业升级、项目落地、政策创新与协同发展，经济实力大幅提升、产业体系量质齐升、发展动能持续增强、协同效应充分彰显。“十五五”时期，是我国基本实现社会主义现代化筑牢根基、蓄势跃升的关键阶段，也是北京城市副中心加快构建现代化产业体系的重要窗口期。作为北京新“两翼”中的重要一翼，城市副中心承载着疏解非首都功能、带动区域协同发展的重要使命，肩负着培育新质生产力、引领京津冀高质量发展的时代重任。随着国家绿色发展示范区、北京国际科技创新中心建设、要素市场化配置综合改革等重大战略在副中心叠加布局，智能化、绿色化、融合化成为产业转型主攻方向，城市副中心需抢抓机遇、乘势而上，加快构建多业态、全链条的现代化产业体系，走好城市副中心特色鲜明的产业升级之路，为助力“五个示范区”建设、构建首都发展新的增长极注入强劲动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1"/>
        <w:rPr>
          <w:rFonts w:hint="eastAsia" w:ascii="仿宋_GB2312" w:hAnsi="仿宋_GB2312" w:eastAsia="仿宋_GB2312" w:cs="仿宋_GB2312"/>
          <w:sz w:val="32"/>
          <w:szCs w:val="32"/>
        </w:rPr>
      </w:pPr>
      <w:bookmarkStart w:id="19" w:name="_Toc92073748"/>
      <w:bookmarkStart w:id="20" w:name="_Toc2595"/>
      <w:bookmarkStart w:id="21" w:name="_Toc927687497"/>
      <w:bookmarkStart w:id="22" w:name="_Toc630345629"/>
      <w:bookmarkStart w:id="23" w:name="_Toc677795838"/>
      <w:bookmarkStart w:id="24" w:name="_Toc19060"/>
      <w:bookmarkStart w:id="25" w:name="_Toc19453"/>
      <w:bookmarkStart w:id="26" w:name="_Toc18515"/>
      <w:bookmarkStart w:id="27" w:name="_Toc12125"/>
      <w:bookmarkStart w:id="28" w:name="_Toc32018"/>
      <w:bookmarkStart w:id="29" w:name="_Toc2847"/>
      <w:bookmarkStart w:id="30" w:name="_Toc216365602"/>
      <w:bookmarkStart w:id="31" w:name="_Toc18876"/>
      <w:bookmarkStart w:id="32" w:name="_Toc18803"/>
      <w:bookmarkStart w:id="33" w:name="_Toc5491"/>
      <w:bookmarkStart w:id="34" w:name="_Toc28033"/>
      <w:bookmarkStart w:id="35" w:name="_Toc11516"/>
      <w:bookmarkStart w:id="36" w:name="_Toc22964"/>
      <w:r>
        <w:rPr>
          <w:rFonts w:hint="eastAsia" w:ascii="黑体" w:hAnsi="黑体" w:eastAsia="黑体" w:cs="黑体"/>
          <w:b w:val="0"/>
          <w:bCs w:val="0"/>
          <w:sz w:val="32"/>
          <w:szCs w:val="32"/>
          <w:highlight w:val="none"/>
          <w:u w:val="none" w:color="auto"/>
          <w:lang w:val="en-US" w:eastAsia="zh-CN"/>
        </w:rPr>
        <w:t>二、规划依据</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widowControl/>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划深入贯彻党的二十大和二十届历次全会精神，以习近平新时代中国特色社会主义思想和习近平总书记对北京及城市副中心系列重要讲话精神为根本遵循，依据《北京城市总体规划（2016年—2035年）》《北京城市副中心控制性详细规划（街区层面）（2016年—2035年）》《现代化首都都市圈空间协同规划（2023—2035年）》以及《国务院关于支持北京城市副中心高质量发展的意见》《北京城市副中心建设国家绿色发展示范区实施方案》《北京城市副中心要素市场化配置综合改革试点实施方案》《通州区与北三县一体化高质量发展示范区总体方案》等上位文件精神，有效衔接《北京城市副中心条例》产业发展方向，确保规划方向与国家战略、首都定位和城市副中心发展实际深度契合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1"/>
        <w:rPr>
          <w:rFonts w:hint="eastAsia" w:ascii="黑体" w:hAnsi="黑体" w:eastAsia="黑体" w:cs="黑体"/>
          <w:b w:val="0"/>
          <w:bCs w:val="0"/>
          <w:color w:val="000000"/>
          <w:sz w:val="32"/>
          <w:szCs w:val="32"/>
          <w:highlight w:val="none"/>
          <w:u w:val="none" w:color="auto"/>
        </w:rPr>
      </w:pPr>
      <w:bookmarkStart w:id="37" w:name="_Toc25122"/>
      <w:bookmarkStart w:id="38" w:name="_Toc766858443"/>
      <w:bookmarkStart w:id="39" w:name="_Toc20452"/>
      <w:bookmarkStart w:id="40" w:name="_Toc21184"/>
      <w:bookmarkStart w:id="41" w:name="_Toc16296"/>
      <w:bookmarkStart w:id="42" w:name="_Toc1845"/>
      <w:bookmarkStart w:id="43" w:name="_Toc19455"/>
      <w:bookmarkStart w:id="44" w:name="_Toc1461385578"/>
      <w:bookmarkStart w:id="45" w:name="_Toc2380"/>
      <w:bookmarkStart w:id="46" w:name="_Toc9519"/>
      <w:bookmarkStart w:id="47" w:name="_Toc188156461"/>
      <w:bookmarkStart w:id="48" w:name="_Toc1998"/>
      <w:bookmarkStart w:id="49" w:name="_Toc1924059339"/>
      <w:bookmarkStart w:id="50" w:name="_Toc2750"/>
      <w:bookmarkStart w:id="51" w:name="_Toc912484859"/>
      <w:bookmarkStart w:id="52" w:name="_Toc22680"/>
      <w:bookmarkStart w:id="53" w:name="_Toc23683"/>
      <w:bookmarkStart w:id="54" w:name="_Toc18931"/>
      <w:r>
        <w:rPr>
          <w:rFonts w:hint="eastAsia" w:ascii="黑体" w:hAnsi="黑体" w:eastAsia="黑体" w:cs="黑体"/>
          <w:b w:val="0"/>
          <w:bCs w:val="0"/>
          <w:sz w:val="32"/>
          <w:szCs w:val="32"/>
          <w:highlight w:val="none"/>
          <w:u w:val="none" w:color="auto"/>
          <w:lang w:val="en-US" w:eastAsia="zh-CN"/>
        </w:rPr>
        <w:t>三、</w:t>
      </w:r>
      <w:r>
        <w:rPr>
          <w:rFonts w:hint="eastAsia" w:ascii="黑体" w:hAnsi="黑体" w:eastAsia="黑体" w:cs="黑体"/>
          <w:b w:val="0"/>
          <w:bCs w:val="0"/>
          <w:sz w:val="32"/>
          <w:szCs w:val="32"/>
          <w:highlight w:val="none"/>
          <w:u w:val="none" w:color="auto"/>
        </w:rPr>
        <w:t>规划目的与意义</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keepNext w:val="0"/>
        <w:keepLines w:val="0"/>
        <w:pageBreakBefore w:val="0"/>
        <w:widowControl/>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划旨在落实“十五五”时期国家及北京市构建现代化产业体系重大战略要求及相关产业政策导向，明确“十五五”时期城市副中心产业发展的总体方向、重点产业布局和主要任务，构建布局合理、结构优化、集群发展、融合创新的现代化产业体系，实现产业能级和创新势能稳步攀升，空间格局和产业生态系统优化。规划以数字经济、先进制造、现代金融、文化旅游等优势产业为引领，以前沿未来产业为先导，同时以智能化、绿色化、融合化为方向，探索产城人文协调统一、生态与发展互促共进的协同演进路径，</w:t>
      </w:r>
      <w:bookmarkStart w:id="55" w:name="OLE_LINK2"/>
      <w:r>
        <w:rPr>
          <w:rFonts w:hint="eastAsia" w:ascii="仿宋_GB2312" w:hAnsi="仿宋_GB2312" w:eastAsia="仿宋_GB2312" w:cs="仿宋_GB2312"/>
          <w:sz w:val="32"/>
          <w:szCs w:val="32"/>
          <w:lang w:val="en-US" w:eastAsia="zh-CN"/>
        </w:rPr>
        <w:t>为打造首都科技创新重要承载区、京津冀产业协同新高地、国际一流和谐宜居之都示范区筑牢坚实支撑。</w:t>
      </w:r>
      <w:bookmarkEnd w:id="55"/>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1"/>
        <w:rPr>
          <w:rFonts w:hint="default" w:ascii="黑体" w:hAnsi="黑体" w:eastAsia="黑体" w:cs="黑体"/>
          <w:b w:val="0"/>
          <w:bCs w:val="0"/>
          <w:sz w:val="32"/>
          <w:szCs w:val="32"/>
          <w:highlight w:val="none"/>
          <w:u w:val="none" w:color="auto"/>
          <w:lang w:val="en-US" w:eastAsia="zh-CN"/>
        </w:rPr>
      </w:pPr>
      <w:r>
        <w:rPr>
          <w:rFonts w:hint="eastAsia" w:ascii="黑体" w:hAnsi="黑体" w:eastAsia="黑体" w:cs="黑体"/>
          <w:b w:val="0"/>
          <w:bCs w:val="0"/>
          <w:sz w:val="32"/>
          <w:szCs w:val="32"/>
          <w:highlight w:val="none"/>
          <w:u w:val="none" w:color="auto"/>
          <w:lang w:val="en-US" w:eastAsia="zh-CN"/>
        </w:rPr>
        <w:t>四、规划内容</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bookmarkStart w:id="56" w:name="_Toc3630"/>
      <w:bookmarkStart w:id="57" w:name="_Toc10168"/>
      <w:bookmarkStart w:id="58" w:name="_Toc952301986"/>
      <w:bookmarkStart w:id="59" w:name="_Toc10021"/>
      <w:bookmarkStart w:id="60" w:name="_Toc736938707"/>
      <w:bookmarkStart w:id="61" w:name="_Toc22009"/>
      <w:bookmarkStart w:id="62" w:name="_Toc16406"/>
      <w:bookmarkStart w:id="63" w:name="_Toc14358"/>
      <w:bookmarkStart w:id="64" w:name="_Toc23423"/>
      <w:bookmarkStart w:id="65" w:name="_Toc24298"/>
      <w:bookmarkStart w:id="66" w:name="_Toc1443245785"/>
      <w:bookmarkStart w:id="67" w:name="_Toc31877"/>
      <w:bookmarkStart w:id="68" w:name="_Toc1540485854"/>
      <w:bookmarkStart w:id="69" w:name="_Toc1182601132"/>
      <w:bookmarkStart w:id="70" w:name="_Toc14548"/>
      <w:bookmarkStart w:id="71" w:name="_Toc27343"/>
      <w:bookmarkStart w:id="72" w:name="_Toc8437"/>
      <w:bookmarkStart w:id="73" w:name="_Toc21149"/>
      <w:r>
        <w:rPr>
          <w:rFonts w:hint="eastAsia" w:ascii="仿宋_GB2312" w:hAnsi="仿宋_GB2312" w:eastAsia="仿宋_GB2312" w:cs="仿宋_GB2312"/>
          <w:sz w:val="32"/>
          <w:szCs w:val="32"/>
          <w:lang w:val="en-US" w:eastAsia="zh-CN"/>
        </w:rPr>
        <w:t>本规划坚持“立足区情、对标上位、前瞻布局、务实落地”的原则，共分为六篇二十二章。</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第一篇“承前启后谋发展 凝心聚力启新程”</w:t>
      </w:r>
      <w:r>
        <w:rPr>
          <w:rFonts w:hint="eastAsia" w:ascii="仿宋_GB2312" w:hAnsi="仿宋_GB2312" w:eastAsia="仿宋_GB2312" w:cs="仿宋_GB2312"/>
          <w:sz w:val="32"/>
          <w:szCs w:val="32"/>
          <w:lang w:val="en-US" w:eastAsia="zh-CN"/>
        </w:rPr>
        <w:t>，主要回顾“十四五”时期产业发展成效、研判机遇挑战、剖析问题。从经济发展、产业体系、重大项目、政策创新、区域协同五个方面系统总结了“十四五”时期取得的核心成效，客观分析了“十五五”时期面临的外部风险与挑战及内部瓶颈制约，为后续规划编制奠定坚实基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第二篇“绘就蓝图启新程 系统谋划促跃升”</w:t>
      </w:r>
      <w:r>
        <w:rPr>
          <w:rFonts w:hint="eastAsia" w:ascii="仿宋_GB2312" w:hAnsi="仿宋_GB2312" w:eastAsia="仿宋_GB2312" w:cs="仿宋_GB2312"/>
          <w:sz w:val="32"/>
          <w:szCs w:val="32"/>
          <w:lang w:val="en-US" w:eastAsia="zh-CN"/>
        </w:rPr>
        <w:t>，明确“十五五”时期产业发展的指导思想、基本原则和主要目标，以及构建“一核一带、一轴一廊、两区三镇、多园联动”的产业总体布局，为产业布局和产业生态塑造提供方向指引与承载空间。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第三篇“做强优势产业 前瞻布局未来产业”</w:t>
      </w:r>
      <w:r>
        <w:rPr>
          <w:rFonts w:hint="eastAsia" w:ascii="仿宋_GB2312" w:hAnsi="仿宋_GB2312" w:eastAsia="仿宋_GB2312" w:cs="仿宋_GB2312"/>
          <w:sz w:val="32"/>
          <w:szCs w:val="32"/>
          <w:lang w:val="en-US" w:eastAsia="zh-CN"/>
        </w:rPr>
        <w:t>，是规划的核心内容，明确了“十五五”时期产业发展的主攻方向。紧抓六大优势产业提质升级——聚焦先进制造、数字经济、现代金融、商务服务、文化旅游、现代农业，推动链条升级、集群提能和业态焕新；紧抓四大未来产业前瞻布局——聚焦未来信息、未来健康、未来能源及潜力未来产业，加快形成新质生产力，塑造面向未来的产业增长极。</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第四篇“落实战略任务 构筑高质量发展强支撑”</w:t>
      </w:r>
      <w:r>
        <w:rPr>
          <w:rFonts w:hint="eastAsia" w:ascii="仿宋_GB2312" w:hAnsi="仿宋_GB2312" w:eastAsia="仿宋_GB2312" w:cs="仿宋_GB2312"/>
          <w:sz w:val="32"/>
          <w:szCs w:val="32"/>
          <w:lang w:val="en-US" w:eastAsia="zh-CN"/>
        </w:rPr>
        <w:t>，围绕落实国家战略部署，聚焦三大重点领域攻坚突破。深化要素市场化配置改革，强化科技、土地、人才、数据、资本等关键要素支撑；高标准建设国家绿色发展示范区，推动绿色技术、绿色产业、绿色建筑协同升级；深化京津冀区域协同，推动京雄联动、京津冀协作、通亦协同和四区结对，构建产业链共生体系。</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第五篇“集聚发展动能 构建产业发展创新生态”</w:t>
      </w:r>
      <w:r>
        <w:rPr>
          <w:rFonts w:hint="eastAsia" w:ascii="仿宋_GB2312" w:hAnsi="仿宋_GB2312" w:eastAsia="仿宋_GB2312" w:cs="仿宋_GB2312"/>
          <w:sz w:val="32"/>
          <w:szCs w:val="32"/>
          <w:lang w:val="en-US" w:eastAsia="zh-CN"/>
        </w:rPr>
        <w:t>，聚焦规划实施的关键路径，系统谋划支撑产业生态发展的三大关键举措。育链聚势，构建链群式产业生态圈；场景牵引，赋能创新成果转化；</w:t>
      </w:r>
      <w:bookmarkStart w:id="74" w:name="OLE_LINK3"/>
      <w:r>
        <w:rPr>
          <w:rFonts w:hint="eastAsia" w:ascii="仿宋_GB2312" w:hAnsi="仿宋_GB2312" w:eastAsia="仿宋_GB2312" w:cs="仿宋_GB2312"/>
          <w:sz w:val="32"/>
          <w:szCs w:val="32"/>
          <w:lang w:val="en-US" w:eastAsia="zh-CN"/>
        </w:rPr>
        <w:t>深化服务，精准靶向促增量</w:t>
      </w:r>
      <w:bookmarkEnd w:id="74"/>
      <w:r>
        <w:rPr>
          <w:rFonts w:hint="eastAsia" w:ascii="仿宋_GB2312" w:hAnsi="仿宋_GB2312" w:eastAsia="仿宋_GB2312" w:cs="仿宋_GB2312"/>
          <w:sz w:val="32"/>
          <w:szCs w:val="32"/>
          <w:lang w:val="en-US" w:eastAsia="zh-CN"/>
        </w:rPr>
        <w:t>；优化营商环境，厚植企业发展沃土，打造“近悦远来”的发展生态。</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第六篇“健全保障体系 确保规划落地见效”</w:t>
      </w:r>
      <w:r>
        <w:rPr>
          <w:rFonts w:hint="eastAsia" w:ascii="仿宋_GB2312" w:hAnsi="仿宋_GB2312" w:eastAsia="仿宋_GB2312" w:cs="仿宋_GB2312"/>
          <w:sz w:val="32"/>
          <w:szCs w:val="32"/>
          <w:lang w:val="en-US" w:eastAsia="zh-CN"/>
        </w:rPr>
        <w:t>，围绕规划落地见效，健全四大实施保障。强化党建引领和协同推进机制，形成全区“一盘棋”工作格局；完善政策集成和项目保障体系，增强规划实施的现实抓手；强化监测评估与要素支撑，形成目标可量化、任务可跟踪、成效可评估的闭环管理体系。</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1"/>
        <w:rPr>
          <w:rFonts w:hint="eastAsia" w:ascii="黑体" w:hAnsi="黑体" w:eastAsia="黑体" w:cs="黑体"/>
          <w:b w:val="0"/>
          <w:bCs w:val="0"/>
          <w:sz w:val="32"/>
          <w:szCs w:val="32"/>
          <w:highlight w:val="none"/>
          <w:u w:val="none" w:color="auto"/>
        </w:rPr>
      </w:pPr>
      <w:r>
        <w:rPr>
          <w:rFonts w:hint="eastAsia" w:ascii="黑体" w:hAnsi="黑体" w:eastAsia="黑体" w:cs="黑体"/>
          <w:b w:val="0"/>
          <w:bCs w:val="0"/>
          <w:sz w:val="32"/>
          <w:szCs w:val="32"/>
          <w:highlight w:val="none"/>
          <w:u w:val="none" w:color="auto"/>
          <w:lang w:val="en-US" w:eastAsia="zh-CN"/>
        </w:rPr>
        <w:t>五、</w:t>
      </w:r>
      <w:r>
        <w:rPr>
          <w:rFonts w:hint="eastAsia" w:ascii="黑体" w:hAnsi="黑体" w:eastAsia="黑体" w:cs="黑体"/>
          <w:b w:val="0"/>
          <w:bCs w:val="0"/>
          <w:sz w:val="32"/>
          <w:szCs w:val="32"/>
          <w:highlight w:val="none"/>
          <w:u w:val="none" w:color="auto"/>
        </w:rPr>
        <w:t>规划范围与期限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keepNext w:val="0"/>
        <w:keepLines w:val="0"/>
        <w:pageBreakBefore w:val="0"/>
        <w:widowControl/>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本规划的实施范围为北京城市副中心全域，将统筹考量区域功能定位、资源禀赋及与周边地区的协同发展，确保产业布局与城市功能深度融合。规划实施期限为2026年至2030年。</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rPr>
          <w:rFonts w:hint="eastAsia" w:ascii="仿宋_GB2312" w:hAnsi="仿宋_GB2312" w:eastAsia="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40" w:lineRule="exact"/>
        <w:ind w:right="315" w:rightChars="150" w:firstLine="640" w:firstLineChars="200"/>
        <w:jc w:val="right"/>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北京市通州区</w:t>
      </w:r>
      <w:r>
        <w:rPr>
          <w:rFonts w:hint="eastAsia" w:ascii="仿宋_GB2312" w:hAnsi="仿宋_GB2312" w:eastAsia="仿宋_GB2312"/>
          <w:sz w:val="32"/>
          <w:szCs w:val="32"/>
          <w:lang w:val="en-US" w:eastAsia="zh-CN"/>
        </w:rPr>
        <w:t>发展和改革</w:t>
      </w:r>
      <w:r>
        <w:rPr>
          <w:rFonts w:hint="eastAsia" w:ascii="仿宋_GB2312" w:hAnsi="仿宋_GB2312" w:eastAsia="仿宋_GB2312"/>
          <w:sz w:val="32"/>
          <w:szCs w:val="32"/>
          <w:lang w:eastAsia="zh-CN"/>
        </w:rPr>
        <w:t>委员会</w:t>
      </w:r>
    </w:p>
    <w:p>
      <w:pPr>
        <w:keepNext w:val="0"/>
        <w:keepLines w:val="0"/>
        <w:pageBreakBefore w:val="0"/>
        <w:widowControl w:val="0"/>
        <w:kinsoku/>
        <w:wordWrap w:val="0"/>
        <w:overflowPunct/>
        <w:topLinePunct w:val="0"/>
        <w:autoSpaceDE/>
        <w:autoSpaceDN/>
        <w:bidi w:val="0"/>
        <w:adjustRightInd/>
        <w:snapToGrid/>
        <w:spacing w:line="540" w:lineRule="exact"/>
        <w:ind w:right="315" w:rightChars="150" w:firstLine="640" w:firstLineChars="200"/>
        <w:jc w:val="righ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14</w:t>
      </w:r>
      <w:r>
        <w:rPr>
          <w:rFonts w:hint="eastAsia" w:ascii="仿宋_GB2312" w:hAnsi="仿宋_GB2312" w:eastAsia="仿宋_GB2312"/>
          <w:sz w:val="32"/>
          <w:szCs w:val="32"/>
        </w:rPr>
        <w:t>日</w:t>
      </w:r>
      <w:r>
        <w:rPr>
          <w:rFonts w:hint="eastAsia" w:ascii="仿宋_GB2312" w:hAnsi="仿宋_GB2312" w:eastAsia="仿宋_GB2312"/>
          <w:sz w:val="32"/>
          <w:szCs w:val="32"/>
          <w:lang w:val="en-US" w:eastAsia="zh-CN"/>
        </w:rPr>
        <w:t xml:space="preserve">    </w:t>
      </w:r>
    </w:p>
    <w:p>
      <w:pPr>
        <w:keepNext w:val="0"/>
        <w:keepLines w:val="0"/>
        <w:pageBreakBefore w:val="0"/>
        <w:kinsoku/>
        <w:overflowPunct/>
        <w:topLinePunct w:val="0"/>
        <w:autoSpaceDE/>
        <w:autoSpaceDN/>
        <w:bidi w:val="0"/>
        <w:adjustRightInd/>
        <w:snapToGrid/>
        <w:spacing w:line="540" w:lineRule="exact"/>
        <w:textAlignment w:val="auto"/>
      </w:pPr>
      <w:bookmarkStart w:id="75" w:name="_GoBack"/>
      <w:bookmarkEnd w:id="75"/>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9E08B9-AE81-484E-9333-2CE3270E99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7DBCD1-FC79-4E3A-A9D3-0FE975DD745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CCA6E8B-A96F-4305-A5B8-F8E68AD2EC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5BEE"/>
    <w:rsid w:val="0930241E"/>
    <w:rsid w:val="09D557C4"/>
    <w:rsid w:val="10C055A6"/>
    <w:rsid w:val="12CD6CB6"/>
    <w:rsid w:val="18CE20EA"/>
    <w:rsid w:val="224376A4"/>
    <w:rsid w:val="236D234D"/>
    <w:rsid w:val="258607C4"/>
    <w:rsid w:val="2B143BB9"/>
    <w:rsid w:val="2C1973E3"/>
    <w:rsid w:val="3802344A"/>
    <w:rsid w:val="45D8237D"/>
    <w:rsid w:val="463A65C6"/>
    <w:rsid w:val="477947D7"/>
    <w:rsid w:val="481316CF"/>
    <w:rsid w:val="5EC06100"/>
    <w:rsid w:val="60392C69"/>
    <w:rsid w:val="64236257"/>
    <w:rsid w:val="6B0C0FC3"/>
    <w:rsid w:val="7444344F"/>
    <w:rsid w:val="78055F56"/>
    <w:rsid w:val="7B6808A6"/>
    <w:rsid w:val="7B6A5C12"/>
    <w:rsid w:val="7BC3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2053</Words>
  <Characters>2081</Characters>
  <Lines>0</Lines>
  <Paragraphs>0</Paragraphs>
  <TotalTime>9</TotalTime>
  <ScaleCrop>false</ScaleCrop>
  <LinksUpToDate>false</LinksUpToDate>
  <CharactersWithSpaces>2085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2026-05-14T01:40:00Z</dcterms:created>
  <dc:creator>win10</dc:creator>
  <cp:lastModifiedBy>檀昕</cp:lastModifiedBy>
  <cp:lastPrinted>2026-05-14T03:36:00Z</cp:lastPrinted>
  <dcterms:modified xsi:type="dcterms:W3CDTF">2026-05-14T04:34:58Z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eyJoZGlkIjoiMDUzZWEyZjM3M2QyNmE1YzEwNzRlMDdiZGExZDhmNWMiLCJ1c2VySWQiOiIxMjA2MTAzNzA4In0=</vt:lpwstr>
  </property>
  <property fmtid="{D5CDD505-2E9C-101B-9397-08002B2CF9AE}" pid="4" name="ICV">
    <vt:lpwstr>3DD949EB31F740FC8EFB34A7E8260955</vt:lpwstr>
  </property>
</Properties>
</file>