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9A76">
      <w:pPr>
        <w:keepNext w:val="0"/>
        <w:keepLines w:val="0"/>
        <w:pageBreakBefore w:val="0"/>
        <w:widowControl w:val="0"/>
        <w:kinsoku/>
        <w:wordWrap/>
        <w:overflowPunct w:val="0"/>
        <w:topLinePunct w:val="0"/>
        <w:autoSpaceDN/>
        <w:bidi w:val="0"/>
        <w:adjustRightInd/>
        <w:jc w:val="right"/>
        <w:textAlignment w:val="auto"/>
        <w:rPr>
          <w:rFonts w:ascii="仿宋_GB2312" w:hAnsi="仿宋_GB2312" w:eastAsia="仿宋_GB2312" w:cs="仿宋_GB2312"/>
          <w:sz w:val="32"/>
          <w:szCs w:val="32"/>
          <w:highlight w:val="none"/>
        </w:rPr>
      </w:pPr>
    </w:p>
    <w:p w14:paraId="10D97410">
      <w:pPr>
        <w:keepNext w:val="0"/>
        <w:keepLines w:val="0"/>
        <w:pageBreakBefore w:val="0"/>
        <w:widowControl w:val="0"/>
        <w:kinsoku/>
        <w:wordWrap/>
        <w:overflowPunct w:val="0"/>
        <w:topLinePunct w:val="0"/>
        <w:autoSpaceDN/>
        <w:bidi w:val="0"/>
        <w:adjustRightInd/>
        <w:jc w:val="right"/>
        <w:textAlignment w:val="auto"/>
        <w:rPr>
          <w:rFonts w:ascii="仿宋_GB2312" w:hAnsi="仿宋_GB2312" w:eastAsia="仿宋_GB2312" w:cs="仿宋_GB2312"/>
          <w:sz w:val="32"/>
          <w:szCs w:val="32"/>
          <w:highlight w:val="none"/>
        </w:rPr>
      </w:pPr>
    </w:p>
    <w:p w14:paraId="17C4FE66">
      <w:pPr>
        <w:keepNext w:val="0"/>
        <w:keepLines w:val="0"/>
        <w:pageBreakBefore w:val="0"/>
        <w:widowControl w:val="0"/>
        <w:kinsoku/>
        <w:wordWrap/>
        <w:overflowPunct w:val="0"/>
        <w:topLinePunct w:val="0"/>
        <w:autoSpaceDE w:val="0"/>
        <w:autoSpaceDN/>
        <w:bidi w:val="0"/>
        <w:adjustRightInd/>
        <w:snapToGrid w:val="0"/>
        <w:spacing w:line="560" w:lineRule="exact"/>
        <w:textAlignment w:val="auto"/>
        <w:outlineLvl w:val="0"/>
        <w:rPr>
          <w:rFonts w:ascii="方正黑体_GBK" w:hAnsi="方正黑体_GBK" w:eastAsia="方正黑体_GBK" w:cs="方正黑体_GBK"/>
          <w:sz w:val="32"/>
          <w:szCs w:val="32"/>
          <w:highlight w:val="none"/>
        </w:rPr>
      </w:pPr>
      <w:bookmarkStart w:id="0" w:name="_Toc16043"/>
    </w:p>
    <w:p w14:paraId="61A43A30">
      <w:pPr>
        <w:keepNext w:val="0"/>
        <w:keepLines w:val="0"/>
        <w:pageBreakBefore w:val="0"/>
        <w:widowControl w:val="0"/>
        <w:kinsoku/>
        <w:wordWrap/>
        <w:overflowPunct w:val="0"/>
        <w:topLinePunct w:val="0"/>
        <w:autoSpaceDE w:val="0"/>
        <w:autoSpaceDN/>
        <w:bidi w:val="0"/>
        <w:adjustRightInd/>
        <w:snapToGrid w:val="0"/>
        <w:spacing w:line="60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北京城市副中心（通州区）“十五五”时期</w:t>
      </w:r>
    </w:p>
    <w:p w14:paraId="5303CB55">
      <w:pPr>
        <w:keepNext w:val="0"/>
        <w:keepLines w:val="0"/>
        <w:pageBreakBefore w:val="0"/>
        <w:widowControl w:val="0"/>
        <w:kinsoku/>
        <w:wordWrap/>
        <w:overflowPunct w:val="0"/>
        <w:topLinePunct w:val="0"/>
        <w:autoSpaceDE w:val="0"/>
        <w:autoSpaceDN/>
        <w:bidi w:val="0"/>
        <w:adjustRightInd/>
        <w:snapToGrid w:val="0"/>
        <w:spacing w:line="60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社会治理规划</w:t>
      </w:r>
      <w:bookmarkEnd w:id="0"/>
    </w:p>
    <w:p w14:paraId="1418F6EB">
      <w:pPr>
        <w:keepNext w:val="0"/>
        <w:keepLines w:val="0"/>
        <w:pageBreakBefore w:val="0"/>
        <w:widowControl w:val="0"/>
        <w:kinsoku/>
        <w:wordWrap/>
        <w:overflowPunct w:val="0"/>
        <w:topLinePunct w:val="0"/>
        <w:autoSpaceDE w:val="0"/>
        <w:autoSpaceDN/>
        <w:bidi w:val="0"/>
        <w:adjustRightInd/>
        <w:snapToGrid w:val="0"/>
        <w:spacing w:line="600" w:lineRule="exact"/>
        <w:jc w:val="center"/>
        <w:textAlignment w:val="auto"/>
        <w:rPr>
          <w:rFonts w:ascii="楷体_GB2312" w:hAnsi="楷体_GB2312" w:eastAsia="楷体_GB2312" w:cs="楷体_GB2312"/>
          <w:sz w:val="36"/>
          <w:szCs w:val="36"/>
          <w:highlight w:val="none"/>
        </w:rPr>
      </w:pPr>
      <w:r>
        <w:rPr>
          <w:rFonts w:hint="eastAsia" w:ascii="楷体_GB2312" w:hAnsi="楷体_GB2312" w:eastAsia="楷体_GB2312" w:cs="楷体_GB2312"/>
          <w:sz w:val="36"/>
          <w:szCs w:val="36"/>
          <w:highlight w:val="none"/>
        </w:rPr>
        <w:t>（征求意见稿）</w:t>
      </w:r>
    </w:p>
    <w:p w14:paraId="6589AC51">
      <w:pPr>
        <w:keepNext w:val="0"/>
        <w:keepLines w:val="0"/>
        <w:pageBreakBefore w:val="0"/>
        <w:widowControl w:val="0"/>
        <w:kinsoku/>
        <w:wordWrap/>
        <w:overflowPunct w:val="0"/>
        <w:topLinePunct w:val="0"/>
        <w:autoSpaceDN/>
        <w:bidi w:val="0"/>
        <w:adjustRightInd/>
        <w:spacing w:line="560" w:lineRule="exact"/>
        <w:jc w:val="center"/>
        <w:textAlignment w:val="auto"/>
        <w:rPr>
          <w:rFonts w:ascii="黑体" w:hAnsi="黑体" w:eastAsia="黑体"/>
          <w:sz w:val="32"/>
          <w:szCs w:val="32"/>
          <w:highlight w:val="none"/>
        </w:rPr>
      </w:pPr>
    </w:p>
    <w:p w14:paraId="2156DC57">
      <w:pPr>
        <w:keepNext w:val="0"/>
        <w:keepLines w:val="0"/>
        <w:pageBreakBefore w:val="0"/>
        <w:widowControl w:val="0"/>
        <w:kinsoku/>
        <w:wordWrap/>
        <w:overflowPunct w:val="0"/>
        <w:topLinePunct w:val="0"/>
        <w:autoSpaceDN/>
        <w:bidi w:val="0"/>
        <w:adjustRightInd/>
        <w:spacing w:line="560" w:lineRule="exact"/>
        <w:jc w:val="center"/>
        <w:textAlignment w:val="auto"/>
        <w:rPr>
          <w:rFonts w:ascii="黑体" w:hAnsi="黑体" w:eastAsia="黑体"/>
          <w:sz w:val="32"/>
          <w:szCs w:val="32"/>
          <w:highlight w:val="none"/>
        </w:rPr>
      </w:pPr>
    </w:p>
    <w:p w14:paraId="7D29EF8E">
      <w:pPr>
        <w:keepNext w:val="0"/>
        <w:keepLines w:val="0"/>
        <w:pageBreakBefore w:val="0"/>
        <w:widowControl w:val="0"/>
        <w:kinsoku/>
        <w:wordWrap/>
        <w:overflowPunct w:val="0"/>
        <w:topLinePunct w:val="0"/>
        <w:autoSpaceDN/>
        <w:bidi w:val="0"/>
        <w:adjustRightInd/>
        <w:spacing w:line="560" w:lineRule="exact"/>
        <w:jc w:val="center"/>
        <w:textAlignment w:val="auto"/>
        <w:rPr>
          <w:rFonts w:ascii="黑体" w:hAnsi="黑体" w:eastAsia="黑体"/>
          <w:sz w:val="32"/>
          <w:szCs w:val="32"/>
          <w:highlight w:val="none"/>
        </w:rPr>
      </w:pPr>
    </w:p>
    <w:p w14:paraId="33BC42AE">
      <w:pPr>
        <w:keepNext w:val="0"/>
        <w:keepLines w:val="0"/>
        <w:pageBreakBefore w:val="0"/>
        <w:widowControl w:val="0"/>
        <w:kinsoku/>
        <w:wordWrap/>
        <w:overflowPunct w:val="0"/>
        <w:topLinePunct w:val="0"/>
        <w:autoSpaceDN/>
        <w:bidi w:val="0"/>
        <w:adjustRightInd/>
        <w:spacing w:line="560" w:lineRule="exact"/>
        <w:jc w:val="center"/>
        <w:textAlignment w:val="auto"/>
        <w:rPr>
          <w:rFonts w:ascii="黑体" w:hAnsi="黑体" w:eastAsia="黑体"/>
          <w:sz w:val="32"/>
          <w:szCs w:val="32"/>
          <w:highlight w:val="none"/>
        </w:rPr>
      </w:pPr>
    </w:p>
    <w:p w14:paraId="3D4279F6">
      <w:pPr>
        <w:keepNext w:val="0"/>
        <w:keepLines w:val="0"/>
        <w:pageBreakBefore w:val="0"/>
        <w:widowControl w:val="0"/>
        <w:kinsoku/>
        <w:wordWrap/>
        <w:overflowPunct w:val="0"/>
        <w:topLinePunct w:val="0"/>
        <w:autoSpaceDN/>
        <w:bidi w:val="0"/>
        <w:adjustRightInd/>
        <w:spacing w:line="560" w:lineRule="exact"/>
        <w:jc w:val="center"/>
        <w:textAlignment w:val="auto"/>
        <w:rPr>
          <w:rFonts w:ascii="黑体" w:hAnsi="黑体" w:eastAsia="黑体"/>
          <w:sz w:val="32"/>
          <w:szCs w:val="32"/>
          <w:highlight w:val="none"/>
        </w:rPr>
      </w:pPr>
    </w:p>
    <w:p w14:paraId="2221F2AC">
      <w:pPr>
        <w:keepNext w:val="0"/>
        <w:keepLines w:val="0"/>
        <w:pageBreakBefore w:val="0"/>
        <w:widowControl w:val="0"/>
        <w:kinsoku/>
        <w:wordWrap/>
        <w:overflowPunct w:val="0"/>
        <w:topLinePunct w:val="0"/>
        <w:autoSpaceDN/>
        <w:bidi w:val="0"/>
        <w:adjustRightInd/>
        <w:spacing w:line="560" w:lineRule="exact"/>
        <w:textAlignment w:val="auto"/>
        <w:rPr>
          <w:rFonts w:ascii="黑体" w:hAnsi="黑体" w:eastAsia="黑体"/>
          <w:sz w:val="32"/>
          <w:szCs w:val="32"/>
          <w:highlight w:val="none"/>
        </w:rPr>
      </w:pPr>
    </w:p>
    <w:p w14:paraId="05DA9566">
      <w:pPr>
        <w:pStyle w:val="10"/>
        <w:rPr>
          <w:highlight w:val="none"/>
        </w:rPr>
      </w:pPr>
    </w:p>
    <w:p w14:paraId="22F51D42">
      <w:pPr>
        <w:keepNext w:val="0"/>
        <w:keepLines w:val="0"/>
        <w:pageBreakBefore w:val="0"/>
        <w:widowControl w:val="0"/>
        <w:kinsoku/>
        <w:wordWrap/>
        <w:overflowPunct w:val="0"/>
        <w:topLinePunct w:val="0"/>
        <w:autoSpaceDN/>
        <w:bidi w:val="0"/>
        <w:adjustRightInd/>
        <w:spacing w:line="560" w:lineRule="exact"/>
        <w:textAlignment w:val="auto"/>
        <w:rPr>
          <w:rFonts w:ascii="黑体" w:hAnsi="黑体" w:eastAsia="黑体"/>
          <w:sz w:val="32"/>
          <w:szCs w:val="32"/>
          <w:highlight w:val="none"/>
        </w:rPr>
      </w:pPr>
    </w:p>
    <w:p w14:paraId="13D14F8C">
      <w:pPr>
        <w:keepNext w:val="0"/>
        <w:keepLines w:val="0"/>
        <w:pageBreakBefore w:val="0"/>
        <w:widowControl w:val="0"/>
        <w:kinsoku/>
        <w:wordWrap/>
        <w:overflowPunct w:val="0"/>
        <w:topLinePunct w:val="0"/>
        <w:autoSpaceDN/>
        <w:bidi w:val="0"/>
        <w:adjustRightInd/>
        <w:spacing w:line="560" w:lineRule="exact"/>
        <w:textAlignment w:val="auto"/>
        <w:rPr>
          <w:rFonts w:ascii="黑体" w:hAnsi="黑体" w:eastAsia="黑体"/>
          <w:sz w:val="32"/>
          <w:szCs w:val="32"/>
          <w:highlight w:val="none"/>
        </w:rPr>
      </w:pPr>
    </w:p>
    <w:p w14:paraId="0B67F78D">
      <w:pPr>
        <w:keepNext w:val="0"/>
        <w:keepLines w:val="0"/>
        <w:pageBreakBefore w:val="0"/>
        <w:widowControl w:val="0"/>
        <w:kinsoku/>
        <w:wordWrap/>
        <w:overflowPunct w:val="0"/>
        <w:topLinePunct w:val="0"/>
        <w:autoSpaceDN/>
        <w:bidi w:val="0"/>
        <w:adjustRightInd/>
        <w:spacing w:line="560" w:lineRule="exact"/>
        <w:jc w:val="center"/>
        <w:textAlignment w:val="auto"/>
        <w:rPr>
          <w:rFonts w:ascii="黑体" w:hAnsi="黑体" w:eastAsia="黑体"/>
          <w:sz w:val="32"/>
          <w:szCs w:val="32"/>
          <w:highlight w:val="none"/>
        </w:rPr>
      </w:pPr>
      <w:r>
        <w:rPr>
          <w:rFonts w:hint="eastAsia" w:ascii="黑体" w:hAnsi="黑体" w:eastAsia="黑体"/>
          <w:sz w:val="32"/>
          <w:szCs w:val="32"/>
          <w:highlight w:val="none"/>
        </w:rPr>
        <w:t>202</w:t>
      </w:r>
      <w:r>
        <w:rPr>
          <w:rFonts w:ascii="黑体" w:hAnsi="黑体" w:eastAsia="黑体"/>
          <w:sz w:val="32"/>
          <w:szCs w:val="32"/>
          <w:highlight w:val="none"/>
        </w:rPr>
        <w:t>6</w:t>
      </w:r>
      <w:r>
        <w:rPr>
          <w:rFonts w:hint="eastAsia" w:ascii="黑体" w:hAnsi="黑体" w:eastAsia="黑体"/>
          <w:sz w:val="32"/>
          <w:szCs w:val="32"/>
          <w:highlight w:val="none"/>
        </w:rPr>
        <w:t>年</w:t>
      </w:r>
      <w:r>
        <w:rPr>
          <w:rFonts w:hint="eastAsia" w:ascii="黑体" w:hAnsi="黑体" w:eastAsia="黑体"/>
          <w:sz w:val="32"/>
          <w:szCs w:val="32"/>
          <w:highlight w:val="none"/>
          <w:lang w:val="en-US" w:eastAsia="zh-CN"/>
        </w:rPr>
        <w:t>5</w:t>
      </w:r>
      <w:r>
        <w:rPr>
          <w:rFonts w:hint="eastAsia" w:ascii="黑体" w:hAnsi="黑体" w:eastAsia="黑体"/>
          <w:sz w:val="32"/>
          <w:szCs w:val="32"/>
          <w:highlight w:val="none"/>
        </w:rPr>
        <w:t>月</w:t>
      </w:r>
    </w:p>
    <w:p w14:paraId="7AD54770">
      <w:pPr>
        <w:keepNext w:val="0"/>
        <w:keepLines w:val="0"/>
        <w:pageBreakBefore w:val="0"/>
        <w:widowControl w:val="0"/>
        <w:kinsoku/>
        <w:wordWrap/>
        <w:overflowPunct w:val="0"/>
        <w:topLinePunct w:val="0"/>
        <w:autoSpaceDN/>
        <w:bidi w:val="0"/>
        <w:adjustRightInd/>
        <w:spacing w:line="560" w:lineRule="exact"/>
        <w:jc w:val="center"/>
        <w:textAlignment w:val="auto"/>
        <w:rPr>
          <w:rFonts w:ascii="黑体" w:hAnsi="黑体" w:eastAsia="黑体"/>
          <w:sz w:val="32"/>
          <w:szCs w:val="32"/>
          <w:highlight w:val="none"/>
        </w:rPr>
      </w:pPr>
    </w:p>
    <w:p w14:paraId="450C581B">
      <w:pPr>
        <w:keepNext w:val="0"/>
        <w:keepLines w:val="0"/>
        <w:pageBreakBefore w:val="0"/>
        <w:widowControl w:val="0"/>
        <w:kinsoku/>
        <w:wordWrap/>
        <w:overflowPunct w:val="0"/>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序 言</w:t>
      </w:r>
    </w:p>
    <w:p w14:paraId="13B958A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规划建设</w:t>
      </w:r>
      <w:r>
        <w:rPr>
          <w:rFonts w:hint="eastAsia" w:ascii="仿宋_GB2312" w:hAnsi="仿宋_GB2312" w:eastAsia="仿宋_GB2312" w:cs="仿宋_GB2312"/>
          <w:sz w:val="32"/>
          <w:szCs w:val="32"/>
          <w:highlight w:val="none"/>
        </w:rPr>
        <w:t>北京城市副中心是千年大计、国家大事，肩负承接非首都功能疏解、引领区域一体化发展、建设“五个示范区”的重大使命，其社会治理水平关系首都功能优化与国家战略实施。“十四五”</w:t>
      </w:r>
      <w:r>
        <w:rPr>
          <w:rFonts w:hint="eastAsia" w:ascii="仿宋_GB2312" w:hAnsi="仿宋_GB2312" w:eastAsia="仿宋_GB2312" w:cs="仿宋_GB2312"/>
          <w:sz w:val="32"/>
          <w:szCs w:val="32"/>
          <w:highlight w:val="none"/>
          <w:lang w:eastAsia="zh-CN"/>
        </w:rPr>
        <w:t>期间</w:t>
      </w:r>
      <w:r>
        <w:rPr>
          <w:rFonts w:hint="eastAsia" w:ascii="仿宋_GB2312" w:hAnsi="仿宋_GB2312" w:eastAsia="仿宋_GB2312" w:cs="仿宋_GB2312"/>
          <w:sz w:val="32"/>
          <w:szCs w:val="32"/>
          <w:highlight w:val="none"/>
        </w:rPr>
        <w:t>，通州区紧扣北京城市副中心战略定位，</w:t>
      </w:r>
      <w:r>
        <w:rPr>
          <w:rFonts w:hint="eastAsia" w:ascii="仿宋_GB2312" w:hAnsi="仿宋_GB2312" w:eastAsia="仿宋_GB2312" w:cs="仿宋_GB2312"/>
          <w:sz w:val="32"/>
          <w:szCs w:val="32"/>
          <w:highlight w:val="none"/>
          <w:lang w:eastAsia="zh-CN"/>
        </w:rPr>
        <w:t>持续践行“大抓基层”鲜明导向</w:t>
      </w:r>
      <w:r>
        <w:rPr>
          <w:rFonts w:hint="eastAsia" w:ascii="仿宋_GB2312" w:hAnsi="仿宋_GB2312" w:eastAsia="仿宋_GB2312" w:cs="仿宋_GB2312"/>
          <w:sz w:val="32"/>
          <w:szCs w:val="32"/>
          <w:highlight w:val="none"/>
          <w:lang w:val="en-US" w:eastAsia="zh-CN"/>
        </w:rPr>
        <w:t>，统筹</w:t>
      </w:r>
      <w:r>
        <w:rPr>
          <w:rFonts w:hint="eastAsia" w:ascii="仿宋_GB2312" w:hAnsi="仿宋_GB2312" w:eastAsia="仿宋_GB2312" w:cs="仿宋_GB2312"/>
          <w:sz w:val="32"/>
          <w:szCs w:val="32"/>
          <w:highlight w:val="none"/>
        </w:rPr>
        <w:t>推进社会治理创新。“十五五”时期，围绕全面建设社会主义现代化国家目标，通州区将聚焦疏解承接与功能提升双重任务，开启社会治理现代化新征程，全力打造超大城市社会治理新标杆。编制实施《北京城市副中心（通州区）“十五五”时期社会治理规划》，是深入贯彻党的二十大和二十届历次全会精神的必然要求，是认真落实习近平总书记视察北京重要讲话的战略举措，是全面实施国家和市级层面对城市副中心发展提出的“3+4+1”系列文件的重要组成部分。</w:t>
      </w:r>
    </w:p>
    <w:p w14:paraId="36D50F57">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规划依据《北京市国民经济和社会发展第十五个五年规划纲要》《北京城市副中心（通州区）国民经济和社会发展第十五个五年规划纲要》等有关文件制定，以“一核引领、一心为民、两维平衡、‘三治融合’”为主线，系统谋划“十五五”时期社会治理的目标任务与实施路径，是全区创新社会治理模式、加强治理能力建设的行动纲领。</w:t>
      </w:r>
    </w:p>
    <w:p w14:paraId="1D671551">
      <w:pPr>
        <w:pStyle w:val="10"/>
        <w:keepNext w:val="0"/>
        <w:keepLines w:val="0"/>
        <w:pageBreakBefore w:val="0"/>
        <w:widowControl w:val="0"/>
        <w:kinsoku/>
        <w:wordWrap/>
        <w:overflowPunct w:val="0"/>
        <w:topLinePunct w:val="0"/>
        <w:autoSpaceDN/>
        <w:bidi w:val="0"/>
        <w:adjustRightInd/>
        <w:textAlignment w:val="auto"/>
        <w:rPr>
          <w:rFonts w:hint="eastAsia" w:ascii="仿宋_GB2312" w:hAnsi="仿宋_GB2312" w:eastAsia="仿宋_GB2312" w:cs="仿宋_GB2312"/>
          <w:sz w:val="32"/>
          <w:szCs w:val="32"/>
          <w:highlight w:val="none"/>
        </w:rPr>
        <w:sectPr>
          <w:pgSz w:w="11906" w:h="16838"/>
          <w:pgMar w:top="2098" w:right="1474" w:bottom="1984" w:left="1587" w:header="851" w:footer="992" w:gutter="0"/>
          <w:pgNumType w:fmt="decimal"/>
          <w:cols w:space="425" w:num="1"/>
          <w:docGrid w:type="lines" w:linePitch="312" w:charSpace="0"/>
        </w:sectPr>
      </w:pPr>
    </w:p>
    <w:sdt>
      <w:sdtPr>
        <w:rPr>
          <w:rFonts w:hint="eastAsia" w:ascii="黑体" w:hAnsi="黑体" w:eastAsia="黑体" w:cs="黑体"/>
          <w:sz w:val="32"/>
          <w:szCs w:val="32"/>
          <w:highlight w:val="none"/>
        </w:rPr>
        <w:id w:val="147476338"/>
        <w15:color w:val="DBDBDB"/>
        <w:docPartObj>
          <w:docPartGallery w:val="Table of Contents"/>
          <w:docPartUnique/>
        </w:docPartObj>
      </w:sdtPr>
      <w:sdtEndPr>
        <w:rPr>
          <w:rFonts w:hint="eastAsia" w:ascii="黑体" w:hAnsi="黑体" w:eastAsia="黑体" w:cs="Times New Roman"/>
          <w:sz w:val="21"/>
          <w:szCs w:val="32"/>
          <w:highlight w:val="none"/>
        </w:rPr>
      </w:sdtEndPr>
      <w:sdtContent>
        <w:p w14:paraId="6AED097A">
          <w:pPr>
            <w:keepNext w:val="0"/>
            <w:keepLines w:val="0"/>
            <w:pageBreakBefore w:val="0"/>
            <w:widowControl w:val="0"/>
            <w:kinsoku/>
            <w:wordWrap/>
            <w:overflowPunct w:val="0"/>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w:t>
          </w:r>
          <w:r>
            <w:rPr>
              <w:rFonts w:hint="eastAsia" w:ascii="方正小标宋简体" w:hAnsi="方正小标宋简体" w:eastAsia="方正小标宋简体" w:cs="方正小标宋简体"/>
              <w:sz w:val="44"/>
              <w:szCs w:val="44"/>
              <w:highlight w:val="none"/>
              <w:lang w:val="en"/>
            </w:rPr>
            <w:t xml:space="preserve">  </w:t>
          </w:r>
          <w:r>
            <w:rPr>
              <w:rFonts w:hint="eastAsia" w:ascii="方正小标宋简体" w:hAnsi="方正小标宋简体" w:eastAsia="方正小标宋简体" w:cs="方正小标宋简体"/>
              <w:sz w:val="44"/>
              <w:szCs w:val="44"/>
              <w:highlight w:val="none"/>
            </w:rPr>
            <w:t>录</w:t>
          </w:r>
        </w:p>
        <w:p w14:paraId="2B87C7B5">
          <w:pPr>
            <w:pStyle w:val="10"/>
            <w:keepNext w:val="0"/>
            <w:keepLines w:val="0"/>
            <w:pageBreakBefore w:val="0"/>
            <w:widowControl w:val="0"/>
            <w:kinsoku/>
            <w:wordWrap/>
            <w:overflowPunct w:val="0"/>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p>
        <w:p w14:paraId="1538EB9B">
          <w:pPr>
            <w:pStyle w:val="9"/>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\h \u </w:instrText>
          </w:r>
          <w:r>
            <w:rPr>
              <w:rFonts w:hint="eastAsia" w:ascii="仿宋_GB2312" w:hAnsi="仿宋_GB2312" w:eastAsia="仿宋_GB2312" w:cs="仿宋_GB2312"/>
              <w:sz w:val="32"/>
              <w:szCs w:val="32"/>
              <w:highlight w:val="none"/>
            </w:rPr>
            <w:fldChar w:fldCharType="separate"/>
          </w:r>
          <w:r>
            <w:rPr>
              <w:rFonts w:hint="eastAsia" w:ascii="黑体" w:hAnsi="黑体" w:eastAsia="黑体" w:cs="黑体"/>
              <w:sz w:val="32"/>
              <w:szCs w:val="32"/>
              <w:highlight w:val="none"/>
            </w:rPr>
            <w:fldChar w:fldCharType="begin"/>
          </w:r>
          <w:r>
            <w:rPr>
              <w:rFonts w:hint="eastAsia" w:ascii="黑体" w:hAnsi="黑体" w:eastAsia="黑体" w:cs="黑体"/>
              <w:sz w:val="32"/>
              <w:szCs w:val="32"/>
              <w:highlight w:val="none"/>
            </w:rPr>
            <w:instrText xml:space="preserve"> HYPERLINK \l _Toc1327972000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highlight w:val="none"/>
            </w:rPr>
            <w:t>第一章  开启社会治理现代化样板新征程</w:t>
          </w:r>
          <w:r>
            <w:rPr>
              <w:rFonts w:hint="eastAsia" w:ascii="仿宋_GB2312" w:hAnsi="仿宋_GB2312" w:eastAsia="仿宋_GB2312" w:cs="仿宋_GB2312"/>
              <w:kern w:val="2"/>
              <w:sz w:val="32"/>
              <w:szCs w:val="32"/>
              <w:highlight w:val="none"/>
              <w:lang w:val="en-US" w:eastAsia="zh-CN" w:bidi="ar-SA"/>
            </w:rPr>
            <w:tab/>
          </w:r>
          <w:r>
            <w:rPr>
              <w:rFonts w:hint="eastAsia" w:ascii="仿宋_GB2312" w:hAnsi="仿宋_GB2312" w:eastAsia="仿宋_GB2312" w:cs="仿宋_GB2312"/>
              <w:kern w:val="2"/>
              <w:sz w:val="32"/>
              <w:szCs w:val="32"/>
              <w:highlight w:val="none"/>
              <w:lang w:val="en-US" w:eastAsia="zh-CN" w:bidi="ar-SA"/>
            </w:rPr>
            <w:fldChar w:fldCharType="begin"/>
          </w:r>
          <w:r>
            <w:rPr>
              <w:rFonts w:hint="eastAsia" w:ascii="仿宋_GB2312" w:hAnsi="仿宋_GB2312" w:eastAsia="仿宋_GB2312" w:cs="仿宋_GB2312"/>
              <w:kern w:val="2"/>
              <w:sz w:val="32"/>
              <w:szCs w:val="32"/>
              <w:highlight w:val="none"/>
              <w:lang w:val="en-US" w:eastAsia="zh-CN" w:bidi="ar-SA"/>
            </w:rPr>
            <w:instrText xml:space="preserve"> PAGEREF _Toc1327972000 \h </w:instrText>
          </w:r>
          <w:r>
            <w:rPr>
              <w:rFonts w:hint="eastAsia" w:ascii="仿宋_GB2312" w:hAnsi="仿宋_GB2312" w:eastAsia="仿宋_GB2312" w:cs="仿宋_GB2312"/>
              <w:kern w:val="2"/>
              <w:sz w:val="32"/>
              <w:szCs w:val="32"/>
              <w:highlight w:val="none"/>
              <w:lang w:val="en-US" w:eastAsia="zh-CN" w:bidi="ar-SA"/>
            </w:rPr>
            <w:fldChar w:fldCharType="separate"/>
          </w: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fldChar w:fldCharType="end"/>
          </w:r>
          <w:r>
            <w:rPr>
              <w:rFonts w:hint="eastAsia" w:ascii="黑体" w:hAnsi="黑体" w:eastAsia="黑体" w:cs="黑体"/>
              <w:sz w:val="32"/>
              <w:szCs w:val="32"/>
              <w:highlight w:val="none"/>
            </w:rPr>
            <w:fldChar w:fldCharType="end"/>
          </w:r>
        </w:p>
        <w:p w14:paraId="46F64838">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_Toc427860729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“十四五”时期主要成就</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_Toc427860729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1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4D305556">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_Toc1280022147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新阶段、新机遇、新要求与新挑战</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_Toc1280022147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4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B1AC708">
          <w:pPr>
            <w:pStyle w:val="9"/>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_Toc1988532630 </w:instrText>
          </w:r>
          <w:r>
            <w:rPr>
              <w:rFonts w:hint="eastAsia" w:ascii="仿宋_GB2312" w:hAnsi="仿宋_GB2312" w:eastAsia="仿宋_GB2312" w:cs="仿宋_GB2312"/>
              <w:sz w:val="32"/>
              <w:szCs w:val="32"/>
              <w:highlight w:val="none"/>
            </w:rPr>
            <w:fldChar w:fldCharType="separate"/>
          </w:r>
          <w:r>
            <w:rPr>
              <w:rFonts w:hint="eastAsia" w:ascii="黑体" w:hAnsi="黑体" w:eastAsia="黑体" w:cs="黑体"/>
              <w:sz w:val="32"/>
              <w:szCs w:val="32"/>
              <w:highlight w:val="none"/>
            </w:rPr>
            <w:t>第二章  总体要求</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_Toc1988532630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7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C7B724F">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_Toc2127397796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指导思想</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_Toc2127397796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7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696A0E3">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_Toc1719518469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基本原则</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_Toc1719518469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7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12C30574">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_Toc1259470804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主要目标</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_Toc1259470804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8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1B5C724F">
          <w:pPr>
            <w:pStyle w:val="9"/>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_Toc179494349 </w:instrText>
          </w:r>
          <w:r>
            <w:rPr>
              <w:rFonts w:hint="eastAsia" w:ascii="仿宋_GB2312" w:hAnsi="仿宋_GB2312" w:eastAsia="仿宋_GB2312" w:cs="仿宋_GB2312"/>
              <w:sz w:val="32"/>
              <w:szCs w:val="32"/>
              <w:highlight w:val="none"/>
            </w:rPr>
            <w:fldChar w:fldCharType="separate"/>
          </w:r>
          <w:r>
            <w:rPr>
              <w:rFonts w:hint="eastAsia" w:ascii="黑体" w:hAnsi="黑体" w:eastAsia="黑体" w:cs="黑体"/>
              <w:sz w:val="32"/>
              <w:szCs w:val="32"/>
              <w:highlight w:val="none"/>
            </w:rPr>
            <w:t>第三章  以高质量党建引领高效能社会治理</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_Toc179494349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10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7A73BC6C">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_Toc1694483255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一、把准</w:t>
          </w:r>
          <w:r>
            <w:rPr>
              <w:rFonts w:hint="eastAsia" w:ascii="仿宋_GB2312" w:hAnsi="仿宋_GB2312" w:eastAsia="仿宋_GB2312" w:cs="仿宋_GB2312"/>
              <w:sz w:val="32"/>
              <w:szCs w:val="32"/>
              <w:highlight w:val="none"/>
            </w:rPr>
            <w:t>政治引领方向</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_Toc1694483255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10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3A2E55B">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_Toc1399423918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二、建强</w:t>
          </w:r>
          <w:r>
            <w:rPr>
              <w:rFonts w:hint="eastAsia" w:ascii="仿宋_GB2312" w:hAnsi="仿宋_GB2312" w:eastAsia="仿宋_GB2312" w:cs="仿宋_GB2312"/>
              <w:sz w:val="32"/>
              <w:szCs w:val="32"/>
              <w:highlight w:val="none"/>
            </w:rPr>
            <w:t>组织引领堡垒</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_Toc1399423918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11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198EB053">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_Toc876887882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三、完善</w:t>
          </w:r>
          <w:r>
            <w:rPr>
              <w:rFonts w:hint="eastAsia" w:ascii="仿宋_GB2312" w:hAnsi="仿宋_GB2312" w:eastAsia="仿宋_GB2312" w:cs="仿宋_GB2312"/>
              <w:sz w:val="32"/>
              <w:szCs w:val="32"/>
              <w:highlight w:val="none"/>
            </w:rPr>
            <w:t>机制引领体系</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_Toc876887882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13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D0701FB">
          <w:pPr>
            <w:pStyle w:val="9"/>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_Toc1821847060 </w:instrText>
          </w:r>
          <w:r>
            <w:rPr>
              <w:rFonts w:hint="eastAsia" w:ascii="仿宋_GB2312" w:hAnsi="仿宋_GB2312" w:eastAsia="仿宋_GB2312" w:cs="仿宋_GB2312"/>
              <w:sz w:val="32"/>
              <w:szCs w:val="32"/>
              <w:highlight w:val="none"/>
            </w:rPr>
            <w:fldChar w:fldCharType="separate"/>
          </w:r>
          <w:r>
            <w:rPr>
              <w:rFonts w:hint="eastAsia" w:ascii="黑体" w:hAnsi="黑体" w:eastAsia="黑体" w:cs="黑体"/>
              <w:sz w:val="32"/>
              <w:szCs w:val="32"/>
              <w:highlight w:val="none"/>
            </w:rPr>
            <w:t>第四章  激发社会治理自治活力</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_Toc1821847060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14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4D9B0E84">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_Toc961698494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规范基层自治组织建设</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_Toc961698494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15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3B2E15ED">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_Toc1304661336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完善基层协商议事机制</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_Toc1304661336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16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DC97D60">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_Toc1635038282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拓宽群众参与治理渠道</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_Toc1635038282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17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3141F9B8">
          <w:pPr>
            <w:pStyle w:val="9"/>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_Toc887658562 </w:instrText>
          </w:r>
          <w:r>
            <w:rPr>
              <w:rFonts w:hint="eastAsia" w:ascii="仿宋_GB2312" w:hAnsi="仿宋_GB2312" w:eastAsia="仿宋_GB2312" w:cs="仿宋_GB2312"/>
              <w:sz w:val="32"/>
              <w:szCs w:val="32"/>
              <w:highlight w:val="none"/>
            </w:rPr>
            <w:fldChar w:fldCharType="separate"/>
          </w:r>
          <w:r>
            <w:rPr>
              <w:rFonts w:hint="eastAsia" w:ascii="黑体" w:hAnsi="黑体" w:eastAsia="黑体" w:cs="黑体"/>
              <w:sz w:val="32"/>
              <w:szCs w:val="32"/>
              <w:highlight w:val="none"/>
            </w:rPr>
            <w:t>第五章  夯实社会治理法治根基</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_Toc887658562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18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8DD8857">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_Toc308555825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深化依法治理体系</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_Toc308555825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19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B5AAE20">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_Toc1872226917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完善公共法律服务</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_Toc1872226917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19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49D5B8E4">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_Toc1587398175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健全法治宣传体系</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_Toc1587398175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20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1311650">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_Toc1211780544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健全一站式矛盾纠纷化解体系</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_Toc1211780544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 xml:space="preserve">20 </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73079003">
          <w:pPr>
            <w:pStyle w:val="9"/>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_Toc1808178507 </w:instrText>
          </w:r>
          <w:r>
            <w:rPr>
              <w:rFonts w:hint="eastAsia" w:ascii="仿宋_GB2312" w:hAnsi="仿宋_GB2312" w:eastAsia="仿宋_GB2312" w:cs="仿宋_GB2312"/>
              <w:sz w:val="32"/>
              <w:szCs w:val="32"/>
              <w:highlight w:val="none"/>
            </w:rPr>
            <w:fldChar w:fldCharType="separate"/>
          </w:r>
          <w:r>
            <w:rPr>
              <w:rFonts w:hint="eastAsia" w:ascii="黑体" w:hAnsi="黑体" w:eastAsia="黑体" w:cs="黑体"/>
              <w:sz w:val="32"/>
              <w:szCs w:val="32"/>
              <w:highlight w:val="none"/>
            </w:rPr>
            <w:t>第六章  涵养社会治理德治风尚</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_Toc1808178507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3BD71A60">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_Toc1015078452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厚植家庭家风建设根基</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_Toc1015078452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0DF55CA">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_Toc813450996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深化完善村规民约与居民公约建设</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_Toc813450996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22</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75F5460B">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_Toc789992970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推进社会文明风尚培育</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_Toc789992970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6DBB7D50">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_Toc1667941036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健全志愿服务体系建设</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_Toc1667941036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3056F4BA">
          <w:pPr>
            <w:pStyle w:val="9"/>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_Toc1980947761 </w:instrText>
          </w:r>
          <w:r>
            <w:rPr>
              <w:rFonts w:hint="eastAsia" w:ascii="仿宋_GB2312" w:hAnsi="仿宋_GB2312" w:eastAsia="仿宋_GB2312" w:cs="仿宋_GB2312"/>
              <w:sz w:val="32"/>
              <w:szCs w:val="32"/>
              <w:highlight w:val="none"/>
            </w:rPr>
            <w:fldChar w:fldCharType="separate"/>
          </w:r>
          <w:r>
            <w:rPr>
              <w:rFonts w:hint="eastAsia" w:ascii="黑体" w:hAnsi="黑体" w:eastAsia="黑体" w:cs="黑体"/>
              <w:sz w:val="32"/>
              <w:szCs w:val="32"/>
              <w:highlight w:val="none"/>
            </w:rPr>
            <w:t>第七章  凝聚社会治理多元主体参与</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_Toc1980947761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25</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361CFBDB">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_Toc1350039686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深化物业</w:t>
          </w:r>
          <w:r>
            <w:rPr>
              <w:rFonts w:hint="eastAsia" w:ascii="仿宋_GB2312" w:hAnsi="仿宋_GB2312" w:eastAsia="仿宋_GB2312" w:cs="仿宋_GB2312"/>
              <w:sz w:val="32"/>
              <w:szCs w:val="32"/>
              <w:highlight w:val="none"/>
              <w:lang w:eastAsia="zh-CN"/>
            </w:rPr>
            <w:t>管理</w:t>
          </w:r>
          <w:r>
            <w:rPr>
              <w:rFonts w:hint="eastAsia" w:ascii="仿宋_GB2312" w:hAnsi="仿宋_GB2312" w:eastAsia="仿宋_GB2312" w:cs="仿宋_GB2312"/>
              <w:sz w:val="32"/>
              <w:szCs w:val="32"/>
              <w:highlight w:val="none"/>
            </w:rPr>
            <w:t>改革创新</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_Toc1350039686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25</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3DF38959">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_Toc1952272047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推进产校社融合互促</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_Toc1952272047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26</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0E47447C">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_Toc433651416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完善新就业群体友好体系</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_Toc433651416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27</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E8524B5">
          <w:pPr>
            <w:pStyle w:val="9"/>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_Toc1967334441 </w:instrText>
          </w:r>
          <w:r>
            <w:rPr>
              <w:rFonts w:hint="eastAsia" w:ascii="仿宋_GB2312" w:hAnsi="仿宋_GB2312" w:eastAsia="仿宋_GB2312" w:cs="仿宋_GB2312"/>
              <w:sz w:val="32"/>
              <w:szCs w:val="32"/>
              <w:highlight w:val="none"/>
            </w:rPr>
            <w:fldChar w:fldCharType="separate"/>
          </w:r>
          <w:r>
            <w:rPr>
              <w:rFonts w:hint="eastAsia" w:ascii="黑体" w:hAnsi="黑体" w:eastAsia="黑体" w:cs="黑体"/>
              <w:sz w:val="32"/>
              <w:szCs w:val="32"/>
              <w:highlight w:val="none"/>
            </w:rPr>
            <w:t>第八章  保障措施</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_Toc1967334441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5360988A">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_Toc184237028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强化组织领导</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_Toc184237028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05656CF4">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_Toc1947794269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二、实施</w:t>
          </w:r>
          <w:r>
            <w:rPr>
              <w:rFonts w:hint="eastAsia" w:ascii="仿宋_GB2312" w:hAnsi="仿宋_GB2312" w:eastAsia="仿宋_GB2312" w:cs="仿宋_GB2312"/>
              <w:sz w:val="32"/>
              <w:szCs w:val="32"/>
              <w:highlight w:val="none"/>
            </w:rPr>
            <w:t>过程管控</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_Toc1947794269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7241727C">
          <w:pPr>
            <w:pStyle w:val="11"/>
            <w:keepNext w:val="0"/>
            <w:keepLines w:val="0"/>
            <w:pageBreakBefore w:val="0"/>
            <w:widowControl w:val="0"/>
            <w:tabs>
              <w:tab w:val="right" w:leader="dot" w:pos="8845"/>
            </w:tabs>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_Toc337564215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三、营造治理氛围</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_Toc337564215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fldChar w:fldCharType="end"/>
          </w:r>
        </w:p>
        <w:p w14:paraId="2F1CB62B">
          <w:pPr>
            <w:keepNext w:val="0"/>
            <w:keepLines w:val="0"/>
            <w:pageBreakBefore w:val="0"/>
            <w:widowControl w:val="0"/>
            <w:kinsoku/>
            <w:wordWrap/>
            <w:overflowPunct w:val="0"/>
            <w:topLinePunct w:val="0"/>
            <w:autoSpaceDE/>
            <w:autoSpaceDN/>
            <w:bidi w:val="0"/>
            <w:adjustRightInd/>
            <w:snapToGrid/>
            <w:spacing w:after="0" w:line="560" w:lineRule="exact"/>
            <w:textAlignment w:val="auto"/>
            <w:rPr>
              <w:rFonts w:ascii="黑体" w:hAnsi="黑体" w:eastAsia="黑体"/>
              <w:szCs w:val="32"/>
              <w:highlight w:val="none"/>
            </w:rPr>
          </w:pPr>
          <w:r>
            <w:rPr>
              <w:rFonts w:hint="eastAsia" w:ascii="仿宋_GB2312" w:hAnsi="仿宋_GB2312" w:eastAsia="仿宋_GB2312" w:cs="仿宋_GB2312"/>
              <w:sz w:val="32"/>
              <w:szCs w:val="32"/>
              <w:highlight w:val="none"/>
            </w:rPr>
            <w:fldChar w:fldCharType="end"/>
          </w:r>
        </w:p>
      </w:sdtContent>
    </w:sdt>
    <w:p w14:paraId="77334975">
      <w:pPr>
        <w:pStyle w:val="24"/>
        <w:keepNext w:val="0"/>
        <w:keepLines w:val="0"/>
        <w:pageBreakBefore w:val="0"/>
        <w:widowControl w:val="0"/>
        <w:kinsoku/>
        <w:wordWrap/>
        <w:overflowPunct w:val="0"/>
        <w:topLinePunct w:val="0"/>
        <w:autoSpaceDN/>
        <w:bidi w:val="0"/>
        <w:adjustRightInd/>
        <w:spacing w:line="560" w:lineRule="exact"/>
        <w:ind w:firstLine="0" w:firstLineChars="0"/>
        <w:jc w:val="center"/>
        <w:textAlignment w:val="auto"/>
        <w:rPr>
          <w:rFonts w:ascii="黑体" w:hAnsi="黑体" w:eastAsia="黑体"/>
          <w:sz w:val="32"/>
          <w:szCs w:val="32"/>
          <w:highlight w:val="none"/>
        </w:rPr>
      </w:pPr>
    </w:p>
    <w:p w14:paraId="29DDA83D">
      <w:pPr>
        <w:pStyle w:val="24"/>
        <w:keepNext w:val="0"/>
        <w:keepLines w:val="0"/>
        <w:pageBreakBefore w:val="0"/>
        <w:widowControl w:val="0"/>
        <w:kinsoku/>
        <w:wordWrap/>
        <w:overflowPunct w:val="0"/>
        <w:topLinePunct w:val="0"/>
        <w:autoSpaceDN/>
        <w:bidi w:val="0"/>
        <w:adjustRightInd/>
        <w:spacing w:line="560" w:lineRule="exact"/>
        <w:ind w:firstLine="0" w:firstLineChars="0"/>
        <w:jc w:val="center"/>
        <w:textAlignment w:val="auto"/>
        <w:rPr>
          <w:rFonts w:ascii="黑体" w:hAnsi="黑体" w:eastAsia="黑体"/>
          <w:sz w:val="32"/>
          <w:szCs w:val="32"/>
          <w:highlight w:val="none"/>
        </w:rPr>
      </w:pPr>
    </w:p>
    <w:p w14:paraId="25B843DE">
      <w:pPr>
        <w:pStyle w:val="24"/>
        <w:keepNext w:val="0"/>
        <w:keepLines w:val="0"/>
        <w:pageBreakBefore w:val="0"/>
        <w:widowControl w:val="0"/>
        <w:kinsoku/>
        <w:wordWrap/>
        <w:overflowPunct w:val="0"/>
        <w:topLinePunct w:val="0"/>
        <w:autoSpaceDN/>
        <w:bidi w:val="0"/>
        <w:adjustRightInd/>
        <w:spacing w:line="560" w:lineRule="exact"/>
        <w:ind w:firstLine="0" w:firstLineChars="0"/>
        <w:jc w:val="center"/>
        <w:textAlignment w:val="auto"/>
        <w:rPr>
          <w:rFonts w:ascii="黑体" w:hAnsi="黑体" w:eastAsia="黑体"/>
          <w:sz w:val="32"/>
          <w:szCs w:val="32"/>
          <w:highlight w:val="none"/>
        </w:rPr>
      </w:pPr>
    </w:p>
    <w:p w14:paraId="484FCA3C">
      <w:pPr>
        <w:pStyle w:val="24"/>
        <w:keepNext w:val="0"/>
        <w:keepLines w:val="0"/>
        <w:pageBreakBefore w:val="0"/>
        <w:widowControl w:val="0"/>
        <w:kinsoku/>
        <w:wordWrap/>
        <w:overflowPunct w:val="0"/>
        <w:topLinePunct w:val="0"/>
        <w:autoSpaceDN/>
        <w:bidi w:val="0"/>
        <w:adjustRightInd/>
        <w:spacing w:line="560" w:lineRule="exact"/>
        <w:ind w:firstLine="0" w:firstLineChars="0"/>
        <w:jc w:val="center"/>
        <w:textAlignment w:val="auto"/>
        <w:rPr>
          <w:rFonts w:ascii="黑体" w:hAnsi="黑体" w:eastAsia="黑体"/>
          <w:sz w:val="32"/>
          <w:szCs w:val="32"/>
          <w:highlight w:val="none"/>
        </w:rPr>
      </w:pPr>
    </w:p>
    <w:p w14:paraId="4C68CB16">
      <w:pPr>
        <w:pStyle w:val="24"/>
        <w:keepNext w:val="0"/>
        <w:keepLines w:val="0"/>
        <w:pageBreakBefore w:val="0"/>
        <w:widowControl w:val="0"/>
        <w:kinsoku/>
        <w:wordWrap/>
        <w:overflowPunct w:val="0"/>
        <w:topLinePunct w:val="0"/>
        <w:autoSpaceDN/>
        <w:bidi w:val="0"/>
        <w:adjustRightInd/>
        <w:spacing w:line="560" w:lineRule="exact"/>
        <w:ind w:firstLine="0" w:firstLineChars="0"/>
        <w:jc w:val="center"/>
        <w:textAlignment w:val="auto"/>
        <w:rPr>
          <w:rFonts w:ascii="黑体" w:hAnsi="黑体" w:eastAsia="黑体"/>
          <w:sz w:val="32"/>
          <w:szCs w:val="32"/>
          <w:highlight w:val="none"/>
        </w:rPr>
      </w:pPr>
    </w:p>
    <w:p w14:paraId="5930AC20">
      <w:pPr>
        <w:pStyle w:val="24"/>
        <w:keepNext w:val="0"/>
        <w:keepLines w:val="0"/>
        <w:pageBreakBefore w:val="0"/>
        <w:widowControl w:val="0"/>
        <w:kinsoku/>
        <w:wordWrap/>
        <w:overflowPunct w:val="0"/>
        <w:topLinePunct w:val="0"/>
        <w:autoSpaceDN/>
        <w:bidi w:val="0"/>
        <w:adjustRightInd/>
        <w:spacing w:line="560" w:lineRule="exact"/>
        <w:ind w:firstLine="0" w:firstLineChars="0"/>
        <w:textAlignment w:val="auto"/>
        <w:outlineLvl w:val="0"/>
        <w:rPr>
          <w:rFonts w:ascii="黑体" w:hAnsi="黑体" w:eastAsia="黑体"/>
          <w:sz w:val="32"/>
          <w:szCs w:val="32"/>
          <w:highlight w:val="none"/>
        </w:rPr>
        <w:sectPr>
          <w:footerReference r:id="rId5" w:type="default"/>
          <w:pgSz w:w="11906" w:h="16838"/>
          <w:pgMar w:top="2098" w:right="1474" w:bottom="1984" w:left="1587" w:header="851" w:footer="992" w:gutter="0"/>
          <w:pgNumType w:fmt="decimal" w:start="1"/>
          <w:cols w:space="425" w:num="1"/>
          <w:docGrid w:type="lines" w:linePitch="312" w:charSpace="0"/>
        </w:sectPr>
      </w:pPr>
    </w:p>
    <w:p w14:paraId="6359E470">
      <w:pPr>
        <w:pStyle w:val="24"/>
        <w:keepNext w:val="0"/>
        <w:keepLines w:val="0"/>
        <w:pageBreakBefore w:val="0"/>
        <w:widowControl w:val="0"/>
        <w:kinsoku/>
        <w:wordWrap/>
        <w:overflowPunct w:val="0"/>
        <w:topLinePunct w:val="0"/>
        <w:autoSpaceDE/>
        <w:autoSpaceDN/>
        <w:bidi w:val="0"/>
        <w:adjustRightInd/>
        <w:snapToGrid/>
        <w:spacing w:before="313" w:beforeLines="100" w:after="313" w:afterLines="100" w:line="560" w:lineRule="exact"/>
        <w:ind w:firstLine="0" w:firstLineChars="0"/>
        <w:jc w:val="center"/>
        <w:textAlignment w:val="auto"/>
        <w:outlineLvl w:val="0"/>
        <w:rPr>
          <w:rFonts w:hint="eastAsia" w:ascii="黑体" w:hAnsi="黑体" w:eastAsia="黑体" w:cs="黑体"/>
          <w:sz w:val="32"/>
          <w:szCs w:val="32"/>
          <w:highlight w:val="none"/>
        </w:rPr>
      </w:pPr>
      <w:bookmarkStart w:id="1" w:name="_Toc1327972000"/>
      <w:r>
        <w:rPr>
          <w:rFonts w:hint="eastAsia" w:ascii="黑体" w:hAnsi="黑体" w:eastAsia="黑体" w:cs="黑体"/>
          <w:sz w:val="32"/>
          <w:szCs w:val="32"/>
          <w:highlight w:val="none"/>
        </w:rPr>
        <w:t>第一章  开启社会治理现代化样板新征程</w:t>
      </w:r>
      <w:bookmarkEnd w:id="1"/>
    </w:p>
    <w:p w14:paraId="2177BC67">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2" w:name="_Toc427860729"/>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“十四五”时期主要成就</w:t>
      </w:r>
      <w:bookmarkEnd w:id="2"/>
    </w:p>
    <w:p w14:paraId="25C45550">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“十四五”时期，通州区紧扣北京城市副中心战略定位，以“大抓基层”为鲜明导向，深入实施《北京城市副中心（通州区）基层治理五年行动计划（2022</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-2026</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）》，构建“党建引领 多元共治”治理格局，治理体系更加完善，治理能力显著提升，为</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高质量发展奠定了坚实基础。</w:t>
      </w:r>
    </w:p>
    <w:p w14:paraId="683DF96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bookmarkStart w:id="3" w:name="OLE_LINK18"/>
      <w:bookmarkStart w:id="4" w:name="OLE_LINK19"/>
      <w:r>
        <w:rPr>
          <w:rFonts w:hint="eastAsia" w:ascii="楷体_GB2312" w:hAnsi="楷体_GB2312" w:eastAsia="楷体_GB2312" w:cs="楷体_GB2312"/>
          <w:sz w:val="32"/>
          <w:szCs w:val="32"/>
          <w:highlight w:val="none"/>
        </w:rPr>
        <w:t>社会治理体系更加完善</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在多年工作基础上，经过“十四五”时期的砥砺奋进，北京城市副中心（通州区）社会治理体系更加完善。</w:t>
      </w:r>
    </w:p>
    <w:p w14:paraId="5B4C2841">
      <w:pPr>
        <w:keepNext w:val="0"/>
        <w:keepLines w:val="0"/>
        <w:pageBreakBefore w:val="0"/>
        <w:widowControl w:val="0"/>
        <w:kinsoku/>
        <w:wordWrap/>
        <w:overflowPunct w:val="0"/>
        <w:topLinePunct w:val="0"/>
        <w:autoSpaceDE/>
        <w:autoSpaceDN/>
        <w:bidi w:val="0"/>
        <w:adjustRightInd/>
        <w:snapToGrid/>
        <w:spacing w:after="0" w:line="560" w:lineRule="exact"/>
        <w:ind w:firstLine="56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社会治理组织力度不断提高。</w:t>
      </w:r>
      <w:r>
        <w:rPr>
          <w:rFonts w:hint="eastAsia" w:ascii="仿宋_GB2312" w:hAnsi="仿宋_GB2312" w:eastAsia="仿宋_GB2312" w:cs="仿宋_GB2312"/>
          <w:sz w:val="32"/>
          <w:szCs w:val="32"/>
          <w:highlight w:val="none"/>
        </w:rPr>
        <w:t>建立由区委社会工作领导小组牵头抓总的社会工作体系，社会工作部统筹做好部门筹建和工作谋划，全力推动高效能社会治理。坚持大抓基层的鲜明导向，制定并实施五年行动计划，突出制度、区域、主题三大特色，实施党建引领提质、基层管理体制等九大典范工程，扎实筑牢社会治理基础。</w:t>
      </w:r>
    </w:p>
    <w:p w14:paraId="454546F8">
      <w:pPr>
        <w:keepNext w:val="0"/>
        <w:keepLines w:val="0"/>
        <w:pageBreakBefore w:val="0"/>
        <w:widowControl w:val="0"/>
        <w:kinsoku/>
        <w:wordWrap/>
        <w:overflowPunct w:val="0"/>
        <w:topLinePunct w:val="0"/>
        <w:autoSpaceDE/>
        <w:autoSpaceDN/>
        <w:bidi w:val="0"/>
        <w:adjustRightInd/>
        <w:snapToGrid/>
        <w:spacing w:after="0" w:line="560" w:lineRule="exact"/>
        <w:ind w:firstLine="560"/>
        <w:textAlignment w:val="auto"/>
        <w:rPr>
          <w:rFonts w:ascii="仿宋" w:hAnsi="仿宋" w:eastAsia="仿宋" w:cs="楷体_GB2312"/>
          <w:sz w:val="32"/>
          <w:szCs w:val="32"/>
          <w:highlight w:val="none"/>
        </w:rPr>
      </w:pPr>
      <w:r>
        <w:rPr>
          <w:rFonts w:hint="eastAsia" w:ascii="仿宋_GB2312" w:hAnsi="仿宋_GB2312" w:eastAsia="仿宋_GB2312" w:cs="仿宋_GB2312"/>
          <w:b/>
          <w:bCs/>
          <w:sz w:val="32"/>
          <w:szCs w:val="32"/>
          <w:highlight w:val="none"/>
        </w:rPr>
        <w:t>社会治理广度不断提高。</w:t>
      </w:r>
      <w:r>
        <w:rPr>
          <w:rFonts w:hint="eastAsia" w:ascii="仿宋_GB2312" w:hAnsi="仿宋_GB2312" w:eastAsia="仿宋_GB2312" w:cs="仿宋_GB2312"/>
          <w:sz w:val="32"/>
          <w:szCs w:val="32"/>
          <w:highlight w:val="none"/>
        </w:rPr>
        <w:t>“党建引领 多元共治”模式持续深化，推动党的组织和工作向社会治理各领域全面覆盖，形成党建引领、区四套班子高频调度的工作推进体系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构建“副中心有我”社会动员体系，人大“千名代表问政问需”、政协“委员在行动”系列活动形成品牌效应，工青妇文等群团组织充分发挥作用，各类社会组织和广大社会工作者踊跃参与、积极行动。深化党员“双报到”机制，凝聚“两新”组织党员、退休老党员等力量，整合街乡镇、社区（村）、物业（业委会）、驻区单位等多方资源，多元主体协同参与的治理格局初步形成。</w:t>
      </w:r>
    </w:p>
    <w:p w14:paraId="41A3FE82">
      <w:pPr>
        <w:keepNext w:val="0"/>
        <w:keepLines w:val="0"/>
        <w:pageBreakBefore w:val="0"/>
        <w:widowControl w:val="0"/>
        <w:kinsoku/>
        <w:wordWrap/>
        <w:overflowPunct w:val="0"/>
        <w:topLinePunct w:val="0"/>
        <w:autoSpaceDE/>
        <w:autoSpaceDN/>
        <w:bidi w:val="0"/>
        <w:adjustRightInd/>
        <w:snapToGrid/>
        <w:spacing w:after="0" w:line="560" w:lineRule="exact"/>
        <w:ind w:firstLine="56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社会治理精度不断提高。</w:t>
      </w:r>
      <w:r>
        <w:rPr>
          <w:rFonts w:hint="eastAsia" w:ascii="仿宋_GB2312" w:hAnsi="仿宋_GB2312" w:eastAsia="仿宋_GB2312" w:cs="仿宋_GB2312"/>
          <w:sz w:val="32"/>
          <w:szCs w:val="32"/>
          <w:highlight w:val="none"/>
        </w:rPr>
        <w:t>建立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区-街乡镇-社区村-单元网格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四级工作体系，创新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热线+网格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治理模式，推动将2634个城市管理网格调整为8125个社会治理网格。创新建立接诉即办“一对一”专员专管、“第一网格长”等机制，民生事项未诉先办成效显著，市民诉求办理提质升级，实现“被动整改”向“主动治理”转变。</w:t>
      </w:r>
    </w:p>
    <w:p w14:paraId="36CB5BD7">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社会治理能力显著提升</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“十四五”期间，北京城市副中心（通州区）</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主动变革的斗争精神、使命担当的拼搏精神、万众一心的奉献精神，滋养社会治理沃土，社会治理能力显著提升。</w:t>
      </w:r>
    </w:p>
    <w:p w14:paraId="7C027F66">
      <w:pPr>
        <w:keepNext w:val="0"/>
        <w:keepLines w:val="0"/>
        <w:pageBreakBefore w:val="0"/>
        <w:widowControl w:val="0"/>
        <w:kinsoku/>
        <w:wordWrap/>
        <w:overflowPunct w:val="0"/>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议事协商能力显著增强。</w:t>
      </w:r>
      <w:r>
        <w:rPr>
          <w:rFonts w:hint="eastAsia" w:ascii="仿宋_GB2312" w:hAnsi="仿宋_GB2312" w:eastAsia="仿宋_GB2312" w:cs="仿宋_GB2312"/>
          <w:sz w:val="32"/>
          <w:szCs w:val="32"/>
          <w:highlight w:val="none"/>
        </w:rPr>
        <w:t>不断完善基层民主协商制度，注重发挥人大代表、政协委员作用，“督帮一体”推动重难点问题破解。搭建区、街乡镇、社区（村）三级协商参与平台，形成2个市级协商试点街镇、40个市级城乡社区议事厅示范点和75个区级社区议事厅推广点，实现协商平台全域覆盖。</w:t>
      </w:r>
    </w:p>
    <w:p w14:paraId="43930191">
      <w:pPr>
        <w:keepNext w:val="0"/>
        <w:keepLines w:val="0"/>
        <w:pageBreakBefore w:val="0"/>
        <w:widowControl w:val="0"/>
        <w:kinsoku/>
        <w:wordWrap/>
        <w:overflowPunct w:val="0"/>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为民服务能力不断提高。</w:t>
      </w:r>
      <w:r>
        <w:rPr>
          <w:rFonts w:hint="eastAsia" w:ascii="仿宋_GB2312" w:hAnsi="仿宋_GB2312" w:eastAsia="仿宋_GB2312" w:cs="仿宋_GB2312"/>
          <w:sz w:val="32"/>
          <w:szCs w:val="32"/>
          <w:highlight w:val="none"/>
        </w:rPr>
        <w:t>规范街乡镇政务服务、公共服务、公共安全等事项，市政市容管理、物业管理、流动人口服务管理、社会组织培育引导等工作取得新成效。扎实解决了一批民生问题，为民服务本领和成效持续提升。</w:t>
      </w:r>
      <w:r>
        <w:rPr>
          <w:rFonts w:hint="eastAsia" w:ascii="仿宋_GB2312" w:hAnsi="仿宋_GB2312" w:eastAsia="仿宋_GB2312" w:cs="仿宋_GB2312"/>
          <w:sz w:val="32"/>
          <w:szCs w:val="32"/>
          <w:highlight w:val="none"/>
          <w:lang w:val="en-US" w:eastAsia="zh-CN"/>
        </w:rPr>
        <w:t>公共服务持续提质增优，加大教育资源</w:t>
      </w:r>
      <w:r>
        <w:rPr>
          <w:rFonts w:hint="eastAsia" w:ascii="仿宋_GB2312" w:hAnsi="仿宋_GB2312" w:eastAsia="仿宋_GB2312" w:cs="仿宋_GB2312"/>
          <w:sz w:val="32"/>
          <w:szCs w:val="32"/>
          <w:highlight w:val="none"/>
        </w:rPr>
        <w:t>供给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义务教育均衡发展指数居全市第一。</w:t>
      </w:r>
      <w:r>
        <w:rPr>
          <w:rFonts w:hint="eastAsia" w:ascii="仿宋_GB2312" w:hAnsi="仿宋_GB2312" w:eastAsia="仿宋_GB2312" w:cs="仿宋_GB2312"/>
          <w:sz w:val="32"/>
          <w:szCs w:val="32"/>
          <w:highlight w:val="none"/>
        </w:rPr>
        <w:t>医疗卫生服务体系持续完善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三级联动儿科诊疗服务体系正式建立。</w:t>
      </w:r>
      <w:r>
        <w:rPr>
          <w:rFonts w:hint="eastAsia" w:ascii="仿宋_GB2312" w:hAnsi="仿宋_GB2312" w:eastAsia="仿宋_GB2312" w:cs="仿宋_GB2312"/>
          <w:sz w:val="32"/>
          <w:szCs w:val="32"/>
          <w:highlight w:val="none"/>
        </w:rPr>
        <w:t>文体服务设施日趋完善，物业管理服务持续优化。</w:t>
      </w:r>
    </w:p>
    <w:p w14:paraId="285C2901">
      <w:pPr>
        <w:keepNext w:val="0"/>
        <w:keepLines w:val="0"/>
        <w:pageBreakBefore w:val="0"/>
        <w:widowControl w:val="0"/>
        <w:kinsoku/>
        <w:wordWrap/>
        <w:overflowPunct w:val="0"/>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智慧治理水平明显提高。</w:t>
      </w:r>
      <w:r>
        <w:rPr>
          <w:rFonts w:hint="eastAsia" w:ascii="仿宋_GB2312" w:hAnsi="仿宋_GB2312" w:eastAsia="仿宋_GB2312" w:cs="仿宋_GB2312"/>
          <w:sz w:val="32"/>
          <w:szCs w:val="32"/>
          <w:highlight w:val="none"/>
          <w:lang w:eastAsia="zh-CN"/>
        </w:rPr>
        <w:t>构建全区感知一张网，构建智能感知算法体系，应用于“热线+网格”，有效提升民生事项响应效率。建成全市首个“热线+网格+吹哨报到”一体化平台，实现从被动应对到主动治理、未诉先办转变。</w:t>
      </w:r>
    </w:p>
    <w:p w14:paraId="61F54A41">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社会治理成效明显增强</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“十四五”时期，始终坚持以人民为中心，以保障和改善民生为重点，社会治理效能迈上新台阶。</w:t>
      </w:r>
    </w:p>
    <w:p w14:paraId="668BD3CF">
      <w:pPr>
        <w:keepNext w:val="0"/>
        <w:keepLines w:val="0"/>
        <w:pageBreakBefore w:val="0"/>
        <w:widowControl w:val="0"/>
        <w:kinsoku/>
        <w:wordWrap/>
        <w:overflowPunct w:val="0"/>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民生福祉稳步增进。</w:t>
      </w:r>
      <w:r>
        <w:rPr>
          <w:rFonts w:hint="eastAsia" w:ascii="仿宋_GB2312" w:hAnsi="仿宋_GB2312" w:eastAsia="仿宋_GB2312" w:cs="仿宋_GB2312"/>
          <w:sz w:val="32"/>
          <w:szCs w:val="32"/>
          <w:highlight w:val="none"/>
        </w:rPr>
        <w:t>深入推进接诉即办改革，2025年综合成绩达到历史最优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群众获得感和满意度全面提升。深化百日攻坚行动，靶向打通1118个堵点，城市环境治理成效显著。大力度开展城市更新，基本实现2000年底以前建成老旧小区“应改尽改”，实施完成87条背街小巷精细化改造，台湖图书城提升改造等一批项目获评北京城市更新“最佳实践”“优秀项目”。公共服务能级稳步提升，紧扣群众“七有”要求和“五性”需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七有”“五性”监测评价指数实现稳步提升，住有所居、公正性等指标位居全市前列。</w:t>
      </w:r>
    </w:p>
    <w:p w14:paraId="2D733D01">
      <w:pPr>
        <w:keepNext w:val="0"/>
        <w:keepLines w:val="0"/>
        <w:pageBreakBefore w:val="0"/>
        <w:widowControl w:val="0"/>
        <w:kinsoku/>
        <w:wordWrap/>
        <w:overflowPunct w:val="0"/>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社会治理局面长期和谐稳定。</w:t>
      </w:r>
      <w:r>
        <w:rPr>
          <w:rFonts w:hint="eastAsia" w:ascii="仿宋_GB2312" w:hAnsi="仿宋_GB2312" w:eastAsia="仿宋_GB2312" w:cs="仿宋_GB2312"/>
          <w:sz w:val="32"/>
          <w:szCs w:val="32"/>
          <w:highlight w:val="none"/>
        </w:rPr>
        <w:t>法治建设提质增效，成为北京市唯一荣获全国法治政府综合与单项“双示范”的城区。政府法律顾问和公职律师制度持续深化，公共法律服务水平持续向好。应急管理和平安建设能力持续巩固，社会治理应急体系更加健全，基本建成社会矛盾风险监测预警平台，启动运行社会治安综合治理中心，严格落实“访调对接”机制，创新打造“通通有解”多元解纷品牌。刑事、治安、秩序警情保持低位，群众安全感进一步增强。</w:t>
      </w:r>
    </w:p>
    <w:p w14:paraId="4B5D6CF0">
      <w:pPr>
        <w:keepNext w:val="0"/>
        <w:keepLines w:val="0"/>
        <w:pageBreakBefore w:val="0"/>
        <w:widowControl w:val="0"/>
        <w:kinsoku/>
        <w:wordWrap/>
        <w:overflowPunct w:val="0"/>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基层治理</w:t>
      </w:r>
      <w:r>
        <w:rPr>
          <w:rFonts w:hint="eastAsia" w:ascii="仿宋_GB2312" w:hAnsi="仿宋_GB2312" w:eastAsia="仿宋_GB2312" w:cs="仿宋_GB2312"/>
          <w:b/>
          <w:bCs/>
          <w:sz w:val="32"/>
          <w:szCs w:val="32"/>
          <w:highlight w:val="none"/>
          <w:lang w:val="en-US" w:eastAsia="zh-CN"/>
        </w:rPr>
        <w:t>实践</w:t>
      </w:r>
      <w:r>
        <w:rPr>
          <w:rFonts w:hint="eastAsia" w:ascii="仿宋_GB2312" w:hAnsi="仿宋_GB2312" w:eastAsia="仿宋_GB2312" w:cs="仿宋_GB2312"/>
          <w:b/>
          <w:bCs/>
          <w:sz w:val="32"/>
          <w:szCs w:val="32"/>
          <w:highlight w:val="none"/>
        </w:rPr>
        <w:t>绘就全域美景。</w:t>
      </w:r>
      <w:r>
        <w:rPr>
          <w:rFonts w:hint="eastAsia" w:ascii="仿宋_GB2312" w:hAnsi="仿宋_GB2312" w:eastAsia="仿宋_GB2312" w:cs="仿宋_GB2312"/>
          <w:sz w:val="32"/>
          <w:szCs w:val="32"/>
          <w:highlight w:val="none"/>
        </w:rPr>
        <w:t>打造了一批特色鲜明、务实管用的基层治理品牌，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副中心有我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“文明银行”“红杨先锋”“邻家邻”“零距梨”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马桥近邻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“玉见骑士”</w:t>
      </w:r>
      <w:r>
        <w:rPr>
          <w:rFonts w:hint="eastAsia" w:ascii="仿宋_GB2312" w:hAnsi="仿宋_GB2312" w:eastAsia="仿宋_GB2312" w:cs="仿宋_GB2312"/>
          <w:sz w:val="32"/>
          <w:szCs w:val="32"/>
          <w:highlight w:val="none"/>
          <w:lang w:val="en-US" w:eastAsia="zh-CN"/>
        </w:rPr>
        <w:t>等治理品牌</w:t>
      </w:r>
      <w:r>
        <w:rPr>
          <w:rFonts w:hint="eastAsia" w:ascii="仿宋_GB2312" w:hAnsi="仿宋_GB2312" w:eastAsia="仿宋_GB2312" w:cs="仿宋_GB2312"/>
          <w:sz w:val="32"/>
          <w:szCs w:val="32"/>
          <w:highlight w:val="none"/>
        </w:rPr>
        <w:t>引领基层治理创新实践走深走实，基层社会治理创新逐渐从“盆景”转向“风景”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12个基层治理特色品牌在全国基层治理典型案例评选中荣获奖励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其中，</w:t>
      </w:r>
      <w:r>
        <w:rPr>
          <w:rFonts w:hint="eastAsia" w:ascii="仿宋_GB2312" w:hAnsi="仿宋_GB2312" w:eastAsia="仿宋_GB2312" w:cs="仿宋_GB2312"/>
          <w:sz w:val="32"/>
          <w:szCs w:val="32"/>
          <w:highlight w:val="none"/>
        </w:rPr>
        <w:t>张家湾镇“一核多元共治”基层治理新模式、文景街道“网格+志愿”治理模式、杨庄街道“社区治理创新实验室”入选全国社会治理创新榜单，北苑街道“有事您找我”基层治理经验被中央深改委专刊刊登。</w:t>
      </w:r>
    </w:p>
    <w:p w14:paraId="759EB835">
      <w:pPr>
        <w:keepNext w:val="0"/>
        <w:keepLines w:val="0"/>
        <w:pageBreakBefore w:val="0"/>
        <w:widowControl w:val="0"/>
        <w:kinsoku/>
        <w:wordWrap/>
        <w:overflowPunct w:val="0"/>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区域协同共治迈上更高水平。</w:t>
      </w:r>
      <w:r>
        <w:rPr>
          <w:rFonts w:hint="eastAsia" w:ascii="仿宋_GB2312" w:hAnsi="仿宋_GB2312" w:eastAsia="仿宋_GB2312" w:cs="仿宋_GB2312"/>
          <w:sz w:val="32"/>
          <w:szCs w:val="32"/>
          <w:highlight w:val="none"/>
        </w:rPr>
        <w:t>协同治理纵深推进，通武廊、北三县政务服务跨区域无差别受理、养老服务互认等机制落地见效。深化区域交流合作，</w:t>
      </w:r>
      <w:r>
        <w:rPr>
          <w:rFonts w:hint="eastAsia" w:ascii="仿宋_GB2312" w:hAnsi="仿宋_GB2312" w:eastAsia="仿宋_GB2312" w:cs="仿宋_GB2312"/>
          <w:sz w:val="32"/>
          <w:szCs w:val="32"/>
          <w:highlight w:val="none"/>
          <w:lang w:val="en-US" w:eastAsia="zh-CN"/>
        </w:rPr>
        <w:t>实施</w:t>
      </w:r>
      <w:r>
        <w:rPr>
          <w:rFonts w:hint="eastAsia" w:ascii="仿宋_GB2312" w:hAnsi="仿宋_GB2312" w:eastAsia="仿宋_GB2312" w:cs="仿宋_GB2312"/>
          <w:sz w:val="32"/>
          <w:szCs w:val="32"/>
          <w:highlight w:val="none"/>
        </w:rPr>
        <w:t>“通武廊”社会工作协同发展框架协议，推动三地社区治理基地共建、社区治理模式共创、志愿服务机制共融、两企三新发展共促。北京城市副中心新市镇研究院挂牌成立助推通武廊毗邻区高质量发展。</w:t>
      </w:r>
    </w:p>
    <w:p w14:paraId="5671F5BB">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hint="eastAsia" w:ascii="黑体" w:hAnsi="黑体" w:eastAsia="黑体" w:cs="黑体"/>
          <w:sz w:val="32"/>
          <w:szCs w:val="32"/>
          <w:highlight w:val="none"/>
        </w:rPr>
      </w:pPr>
      <w:bookmarkStart w:id="5" w:name="_Toc1280022147"/>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新阶段、新机遇、新要求与新挑战</w:t>
      </w:r>
      <w:bookmarkEnd w:id="5"/>
    </w:p>
    <w:p w14:paraId="2EF586B8">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五”与“十五五”承前启后，是北京城市副中心（通州区）从城市框架基本成型到功能品质全面提升、国际一流副中心形象凸显的跨越时期，社会治理也同步从“搭框架、建机制、聚合力”的典范工程引领到“强内涵、优效能、促融合”的全面提升增效的阶段跃迁。这一转型不仅是治理模式的深化，更是对城市发展新阶段、群众需求新变化、治理环境新挑战的主动回应。</w:t>
      </w:r>
    </w:p>
    <w:p w14:paraId="27B26145">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bookmarkStart w:id="6" w:name="OLE_LINK28"/>
      <w:r>
        <w:rPr>
          <w:rFonts w:hint="eastAsia" w:ascii="仿宋_GB2312" w:hAnsi="仿宋_GB2312" w:eastAsia="仿宋_GB2312" w:cs="仿宋_GB2312"/>
          <w:sz w:val="32"/>
          <w:szCs w:val="32"/>
          <w:highlight w:val="none"/>
        </w:rPr>
        <w:t>“十五五”时期，</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社会治理处于重要战略机遇期。规划建设北京城市副中心是以习近平同志为核心的党中央作出的重大决策部署，与京津冀协同发展、首都“四</w:t>
      </w:r>
      <w:r>
        <w:rPr>
          <w:rFonts w:hint="eastAsia" w:ascii="仿宋_GB2312" w:hAnsi="仿宋_GB2312" w:eastAsia="仿宋_GB2312" w:cs="仿宋_GB2312"/>
          <w:sz w:val="32"/>
          <w:szCs w:val="32"/>
          <w:highlight w:val="none"/>
          <w:lang w:eastAsia="zh-CN"/>
        </w:rPr>
        <w:t>个</w:t>
      </w:r>
      <w:r>
        <w:rPr>
          <w:rFonts w:hint="eastAsia" w:ascii="仿宋_GB2312" w:hAnsi="仿宋_GB2312" w:eastAsia="仿宋_GB2312" w:cs="仿宋_GB2312"/>
          <w:sz w:val="32"/>
          <w:szCs w:val="32"/>
          <w:highlight w:val="none"/>
        </w:rPr>
        <w:t>中心”功能建设等战略纵深推进、深度融合，国家与区域战略叠加赋能带来发展能级的跃升,为</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在更高起点上探索超大城市现代化治理新路径提供了战略平台、政策红利和改革先机。随着市属行政事业单位、高精尖产业、高等院校和高素质人才的持续导入，</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产业结构、人才结构不断优化，城市发展动能和治理支撑能力显著提升，推动社会治理向精细化转型。</w:t>
      </w:r>
    </w:p>
    <w:bookmarkEnd w:id="6"/>
    <w:p w14:paraId="7DB443E0">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bookmarkStart w:id="7" w:name="OLE_LINK29"/>
      <w:r>
        <w:rPr>
          <w:rFonts w:hint="eastAsia" w:ascii="仿宋_GB2312" w:hAnsi="仿宋_GB2312" w:eastAsia="仿宋_GB2312" w:cs="仿宋_GB2312"/>
          <w:sz w:val="32"/>
          <w:szCs w:val="32"/>
          <w:highlight w:val="none"/>
        </w:rPr>
        <w:t>“十五五”时期，</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社会治理工作面临更高要求：</w:t>
      </w:r>
      <w:bookmarkEnd w:id="7"/>
      <w:r>
        <w:rPr>
          <w:rFonts w:hint="eastAsia" w:ascii="仿宋_GB2312" w:hAnsi="仿宋_GB2312" w:eastAsia="仿宋_GB2312" w:cs="仿宋_GB2312"/>
          <w:sz w:val="32"/>
          <w:szCs w:val="32"/>
          <w:highlight w:val="none"/>
        </w:rPr>
        <w:t>一是服务国家战略，对标国际一流的更高要求。立足首都发展大局，</w:t>
      </w:r>
      <w:r>
        <w:rPr>
          <w:rFonts w:hint="eastAsia" w:ascii="仿宋_GB2312" w:hAnsi="仿宋_GB2312" w:eastAsia="仿宋_GB2312" w:cs="仿宋_GB2312"/>
          <w:sz w:val="32"/>
          <w:szCs w:val="32"/>
          <w:highlight w:val="none"/>
          <w:lang w:val="en-US" w:eastAsia="zh-CN"/>
        </w:rPr>
        <w:t>中央和市级层面以“3+4+1”系列文件对城市副中心进行系统布局，</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社会治理要体现首善标准，强化使命担当，勇于改革创新、先行先试，打造与国家战略功能定位相匹配的超大城市治理样板；二是回应人民期盼，实现美好生活的更高要求。“十五五”时期，</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社会治理要</w:t>
      </w:r>
      <w:r>
        <w:rPr>
          <w:rFonts w:hint="eastAsia" w:ascii="仿宋_GB2312" w:hAnsi="仿宋_GB2312" w:eastAsia="仿宋_GB2312" w:cs="仿宋_GB2312"/>
          <w:sz w:val="32"/>
          <w:szCs w:val="32"/>
          <w:highlight w:val="none"/>
          <w:lang w:eastAsia="zh-CN"/>
        </w:rPr>
        <w:t>紧紧围绕</w:t>
      </w:r>
      <w:r>
        <w:rPr>
          <w:rFonts w:hint="eastAsia" w:ascii="仿宋_GB2312" w:hAnsi="仿宋_GB2312" w:eastAsia="仿宋_GB2312" w:cs="仿宋_GB2312"/>
          <w:sz w:val="32"/>
          <w:szCs w:val="32"/>
          <w:highlight w:val="none"/>
        </w:rPr>
        <w:t>“七有”</w:t>
      </w:r>
      <w:r>
        <w:rPr>
          <w:rFonts w:hint="eastAsia" w:ascii="仿宋_GB2312" w:hAnsi="仿宋_GB2312" w:eastAsia="仿宋_GB2312" w:cs="仿宋_GB2312"/>
          <w:sz w:val="32"/>
          <w:szCs w:val="32"/>
          <w:highlight w:val="none"/>
          <w:lang w:val="en-US" w:eastAsia="zh-CN"/>
        </w:rPr>
        <w:t>要求和</w:t>
      </w:r>
      <w:r>
        <w:rPr>
          <w:rFonts w:hint="eastAsia" w:ascii="仿宋_GB2312" w:hAnsi="仿宋_GB2312" w:eastAsia="仿宋_GB2312" w:cs="仿宋_GB2312"/>
          <w:sz w:val="32"/>
          <w:szCs w:val="32"/>
          <w:highlight w:val="none"/>
        </w:rPr>
        <w:t>“五性”</w:t>
      </w:r>
      <w:r>
        <w:rPr>
          <w:rFonts w:hint="eastAsia" w:ascii="仿宋_GB2312" w:hAnsi="仿宋_GB2312" w:eastAsia="仿宋_GB2312" w:cs="仿宋_GB2312"/>
          <w:sz w:val="32"/>
          <w:szCs w:val="32"/>
          <w:highlight w:val="none"/>
          <w:lang w:val="en-US" w:eastAsia="zh-CN"/>
        </w:rPr>
        <w:t>需求</w:t>
      </w:r>
      <w:r>
        <w:rPr>
          <w:rFonts w:hint="eastAsia" w:ascii="仿宋_GB2312" w:hAnsi="仿宋_GB2312" w:eastAsia="仿宋_GB2312" w:cs="仿宋_GB2312"/>
          <w:sz w:val="32"/>
          <w:szCs w:val="32"/>
          <w:highlight w:val="none"/>
        </w:rPr>
        <w:t>，不断增强人民群众的获得感、幸福感、安全感；三是适应城市演进，驾驭复杂治理情境的更高要求。面对城市框架全面拉开后要素高度聚集、系统日趋复杂的新阶段，必须增强统筹发展与安全的能力，在保持社会秩序的同时激发内生动力与活力，实现高质量发展与高效能治理良性互动。</w:t>
      </w:r>
    </w:p>
    <w:bookmarkEnd w:id="3"/>
    <w:bookmarkEnd w:id="4"/>
    <w:p w14:paraId="31BCA4A8">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“十五五”时期，</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社会治理工作面临新挑战，必须深刻理解、正确把握、妥善处理好社会治理领域的六</w:t>
      </w:r>
      <w:r>
        <w:rPr>
          <w:rFonts w:hint="eastAsia" w:ascii="仿宋_GB2312" w:hAnsi="仿宋_GB2312" w:eastAsia="仿宋_GB2312" w:cs="仿宋_GB2312"/>
          <w:sz w:val="32"/>
          <w:szCs w:val="32"/>
          <w:highlight w:val="none"/>
          <w:lang w:eastAsia="zh-CN"/>
        </w:rPr>
        <w:t>个</w:t>
      </w:r>
      <w:r>
        <w:rPr>
          <w:rFonts w:hint="eastAsia" w:ascii="仿宋_GB2312" w:hAnsi="仿宋_GB2312" w:eastAsia="仿宋_GB2312" w:cs="仿宋_GB2312"/>
          <w:sz w:val="32"/>
          <w:szCs w:val="32"/>
          <w:highlight w:val="none"/>
        </w:rPr>
        <w:t>关系：一是“大”与“小”的关系，在城市建设与社区治理间</w:t>
      </w:r>
      <w:r>
        <w:rPr>
          <w:rFonts w:hint="eastAsia" w:ascii="仿宋_GB2312" w:hAnsi="仿宋_GB2312" w:eastAsia="仿宋_GB2312" w:cs="仿宋_GB2312"/>
          <w:sz w:val="32"/>
          <w:szCs w:val="32"/>
          <w:highlight w:val="none"/>
          <w:lang w:val="en-US" w:eastAsia="zh-CN"/>
        </w:rPr>
        <w:t>促</w:t>
      </w:r>
      <w:r>
        <w:rPr>
          <w:rFonts w:hint="eastAsia" w:ascii="仿宋_GB2312" w:hAnsi="仿宋_GB2312" w:eastAsia="仿宋_GB2312" w:cs="仿宋_GB2312"/>
          <w:sz w:val="32"/>
          <w:szCs w:val="32"/>
          <w:highlight w:val="none"/>
        </w:rPr>
        <w:t>平衡。</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既承担着疏解非首都功能、推动京津冀协同发展等国家战略，也需着力解决撤村建居、老旧小区改造、社区微更新等群众关切的具体问题；</w:t>
      </w:r>
      <w:bookmarkStart w:id="8" w:name="OLE_LINK30"/>
      <w:r>
        <w:rPr>
          <w:rFonts w:hint="eastAsia" w:ascii="仿宋_GB2312" w:hAnsi="仿宋_GB2312" w:eastAsia="仿宋_GB2312" w:cs="仿宋_GB2312"/>
          <w:sz w:val="32"/>
          <w:szCs w:val="32"/>
          <w:highlight w:val="none"/>
        </w:rPr>
        <w:t>二是“统”与“分”的关系，在党建引领与多元共治参与间促融合。</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市级行政机关、企事业单位、高精尖企业、高等院校等资源密集，需激发各类社会主体参与活力，构建多元共治格局；三是“新”与“旧”的关系，在新市民新就业群体与常住人口间补短板。行政办公、商务服务、科技创新、文化旅游等功能的导入，新市民和新就业群体规模不断扩大，对社会治理包容性提出更高要求；四是“城”与“乡”的关系，在城乡融合发展与治理均衡上促协调。</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城市与乡村并存，城乡之间在基础设施、公共服务、治理能力现代化等方面的差距仍需弥合；五是“稳”与“活”的关系，在安全韧性与社会活力间求统一。作为市级行政中心所在地，</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承担着维护区域安全稳定和推动区域高质量发展的双重职责。需进一步激发社会自我调节与创新发展的能力，形成活而不乱、稳而不僵的治理生态；六是</w:t>
      </w:r>
      <w:bookmarkEnd w:id="8"/>
      <w:r>
        <w:rPr>
          <w:rFonts w:hint="eastAsia" w:ascii="仿宋_GB2312" w:hAnsi="仿宋_GB2312" w:eastAsia="仿宋_GB2312" w:cs="仿宋_GB2312"/>
          <w:sz w:val="32"/>
          <w:szCs w:val="32"/>
          <w:highlight w:val="none"/>
        </w:rPr>
        <w:t>“专”与“合”的关系,在精细分工与系统集成间增效能。</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要进一步强化系统集成和协同治理，打破部门壁垒和信息孤岛，推动数据共享、流程再造和机制联动，构建跨领域、跨层级、跨区域的一体化协同治理体系。</w:t>
      </w:r>
    </w:p>
    <w:p w14:paraId="4AE6714D">
      <w:pPr>
        <w:pStyle w:val="24"/>
        <w:keepNext w:val="0"/>
        <w:keepLines w:val="0"/>
        <w:pageBreakBefore w:val="0"/>
        <w:widowControl w:val="0"/>
        <w:kinsoku/>
        <w:wordWrap/>
        <w:overflowPunct w:val="0"/>
        <w:topLinePunct w:val="0"/>
        <w:autoSpaceDE/>
        <w:autoSpaceDN/>
        <w:bidi w:val="0"/>
        <w:adjustRightInd/>
        <w:snapToGrid/>
        <w:spacing w:before="313" w:beforeLines="100" w:after="313" w:afterLines="100" w:line="560" w:lineRule="exact"/>
        <w:ind w:firstLine="0" w:firstLineChars="0"/>
        <w:jc w:val="center"/>
        <w:textAlignment w:val="auto"/>
        <w:outlineLvl w:val="0"/>
        <w:rPr>
          <w:rFonts w:ascii="黑体" w:hAnsi="黑体" w:eastAsia="黑体"/>
          <w:sz w:val="32"/>
          <w:szCs w:val="32"/>
          <w:highlight w:val="none"/>
        </w:rPr>
      </w:pPr>
      <w:bookmarkStart w:id="9" w:name="_Toc1988532630"/>
      <w:r>
        <w:rPr>
          <w:rFonts w:hint="eastAsia" w:ascii="黑体" w:hAnsi="黑体" w:eastAsia="黑体"/>
          <w:sz w:val="32"/>
          <w:szCs w:val="32"/>
          <w:highlight w:val="none"/>
        </w:rPr>
        <w:t>第二章  总体要求</w:t>
      </w:r>
      <w:bookmarkEnd w:id="9"/>
    </w:p>
    <w:p w14:paraId="371782C5">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10" w:name="_Toc2127397796"/>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指导思想</w:t>
      </w:r>
      <w:bookmarkEnd w:id="10"/>
    </w:p>
    <w:p w14:paraId="48E3B0A0">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坚持马克思列宁主义、毛泽东思想、邓小平理论、“三个代</w:t>
      </w:r>
    </w:p>
    <w:p w14:paraId="25EFEC1A">
      <w:pPr>
        <w:keepNext w:val="0"/>
        <w:keepLines w:val="0"/>
        <w:pageBreakBefore w:val="0"/>
        <w:widowControl w:val="0"/>
        <w:kinsoku/>
        <w:wordWrap/>
        <w:overflowPunct w:val="0"/>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表”重要思想、科学发展观，全面贯彻习近平新时代中国特色社</w:t>
      </w:r>
    </w:p>
    <w:p w14:paraId="6EE6D20C">
      <w:pPr>
        <w:keepNext w:val="0"/>
        <w:keepLines w:val="0"/>
        <w:pageBreakBefore w:val="0"/>
        <w:widowControl w:val="0"/>
        <w:kinsoku/>
        <w:wordWrap/>
        <w:overflowPunct w:val="0"/>
        <w:topLinePunct w:val="0"/>
        <w:autoSpaceDE/>
        <w:autoSpaceDN/>
        <w:bidi w:val="0"/>
        <w:adjustRightInd/>
        <w:snapToGrid/>
        <w:spacing w:after="0" w:line="560" w:lineRule="exact"/>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sz w:val="32"/>
          <w:szCs w:val="32"/>
          <w:highlight w:val="none"/>
        </w:rPr>
        <w:t>会主义思想，深入贯彻党的二十大和二十届历次全会精神，贯彻落实习近平总书记对北京重要讲话和</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rPr>
        <w:t>城市副中心规划建设的重要指示</w:t>
      </w:r>
      <w:r>
        <w:rPr>
          <w:rFonts w:hint="eastAsia" w:ascii="仿宋_GB2312" w:hAnsi="仿宋_GB2312" w:eastAsia="仿宋_GB2312" w:cs="仿宋_GB2312"/>
          <w:sz w:val="32"/>
          <w:szCs w:val="32"/>
          <w:highlight w:val="none"/>
          <w:lang w:eastAsia="zh-CN"/>
        </w:rPr>
        <w:t>批示</w:t>
      </w:r>
      <w:r>
        <w:rPr>
          <w:rFonts w:hint="eastAsia" w:ascii="仿宋_GB2312" w:hAnsi="仿宋_GB2312" w:eastAsia="仿宋_GB2312" w:cs="仿宋_GB2312"/>
          <w:sz w:val="32"/>
          <w:szCs w:val="32"/>
          <w:highlight w:val="none"/>
        </w:rPr>
        <w:t>精神，立足新发展阶段，完整、准确、全面贯彻新发展理念，主动服务和融入新发展格局。坚持党对社会治理工作的全面领导，坚持以人民为中心的发展思想，以提升治理体系和治理能力现代化水平为主线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增强人民群众获得感、幸福感、安全感为出发点和落脚点，以处理好“大与小、统与分、新与旧、城与乡、稳与活、专与合”关系为路径，深化社会治理改革创新，完善共建共治共享的社会治理制度，健全党组织领导的自治、法治、德治相结合的基层治理体系，推动社会治理模式向扁平化、精细化、智慧化转型升级，努力建设更高水平的活力</w:t>
      </w:r>
      <w:r>
        <w:rPr>
          <w:rFonts w:hint="eastAsia" w:ascii="仿宋_GB2312" w:hAnsi="仿宋_GB2312" w:eastAsia="仿宋_GB2312" w:cs="仿宋_GB2312"/>
          <w:sz w:val="32"/>
          <w:szCs w:val="32"/>
          <w:highlight w:val="none"/>
          <w:lang w:val="en-US" w:eastAsia="zh-CN"/>
        </w:rPr>
        <w:t>副中心</w:t>
      </w:r>
      <w:r>
        <w:rPr>
          <w:rFonts w:hint="eastAsia" w:ascii="仿宋_GB2312" w:hAnsi="仿宋_GB2312" w:eastAsia="仿宋_GB2312" w:cs="仿宋_GB2312"/>
          <w:sz w:val="32"/>
          <w:szCs w:val="32"/>
          <w:highlight w:val="none"/>
        </w:rPr>
        <w:t>、法治</w:t>
      </w:r>
      <w:r>
        <w:rPr>
          <w:rFonts w:hint="eastAsia" w:ascii="仿宋_GB2312" w:hAnsi="仿宋_GB2312" w:eastAsia="仿宋_GB2312" w:cs="仿宋_GB2312"/>
          <w:sz w:val="32"/>
          <w:szCs w:val="32"/>
          <w:highlight w:val="none"/>
          <w:lang w:val="en-US" w:eastAsia="zh-CN"/>
        </w:rPr>
        <w:t>副中心</w:t>
      </w:r>
      <w:r>
        <w:rPr>
          <w:rFonts w:hint="eastAsia" w:ascii="仿宋_GB2312" w:hAnsi="仿宋_GB2312" w:eastAsia="仿宋_GB2312" w:cs="仿宋_GB2312"/>
          <w:sz w:val="32"/>
          <w:szCs w:val="32"/>
          <w:highlight w:val="none"/>
        </w:rPr>
        <w:t>、幸福</w:t>
      </w:r>
      <w:r>
        <w:rPr>
          <w:rFonts w:hint="eastAsia" w:ascii="仿宋_GB2312" w:hAnsi="仿宋_GB2312" w:eastAsia="仿宋_GB2312" w:cs="仿宋_GB2312"/>
          <w:sz w:val="32"/>
          <w:szCs w:val="32"/>
          <w:highlight w:val="none"/>
          <w:lang w:val="en-US" w:eastAsia="zh-CN"/>
        </w:rPr>
        <w:t>副中心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将城市副中心打造成中国式现代化进程中城市发展样板</w:t>
      </w:r>
      <w:r>
        <w:rPr>
          <w:rFonts w:hint="eastAsia" w:ascii="仿宋_GB2312" w:hAnsi="仿宋_GB2312" w:eastAsia="仿宋_GB2312" w:cs="仿宋_GB2312"/>
          <w:color w:val="auto"/>
          <w:sz w:val="32"/>
          <w:szCs w:val="32"/>
          <w:highlight w:val="none"/>
        </w:rPr>
        <w:t>提供坚实支撑。</w:t>
      </w:r>
    </w:p>
    <w:p w14:paraId="2EC466B4">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11" w:name="_Toc1719518469"/>
      <w:bookmarkStart w:id="12" w:name="OLE_LINK5"/>
      <w:bookmarkStart w:id="13" w:name="OLE_LINK6"/>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基本原则</w:t>
      </w:r>
      <w:bookmarkEnd w:id="11"/>
    </w:p>
    <w:p w14:paraId="59AFA1F3">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坚持党的全面领导，把准政治方向</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充分发挥党总揽全局、协调各方的领导核心作用，将党的领导贯穿于社会治理的全过程和各领域，全面加强各级党组织领导社会治理的能力，为实现高质量发展提供根本保证。</w:t>
      </w:r>
    </w:p>
    <w:p w14:paraId="235FABC5">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FF0000"/>
          <w:sz w:val="32"/>
          <w:szCs w:val="32"/>
          <w:highlight w:val="none"/>
          <w:lang w:eastAsia="zh-CN"/>
        </w:rPr>
      </w:pPr>
      <w:r>
        <w:rPr>
          <w:rFonts w:hint="eastAsia" w:ascii="楷体_GB2312" w:hAnsi="楷体_GB2312" w:eastAsia="楷体_GB2312" w:cs="楷体_GB2312"/>
          <w:sz w:val="32"/>
          <w:szCs w:val="32"/>
          <w:highlight w:val="none"/>
        </w:rPr>
        <w:t>坚持以人民为中心，增进民生福祉</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始终将人民对美好生活的向往作为奋斗目标，践行人民至上、以人为本理念，</w:t>
      </w:r>
      <w:r>
        <w:rPr>
          <w:rFonts w:hint="eastAsia" w:ascii="仿宋_GB2312" w:hAnsi="仿宋_GB2312" w:eastAsia="仿宋_GB2312" w:cs="仿宋_GB2312"/>
          <w:sz w:val="32"/>
          <w:szCs w:val="32"/>
          <w:highlight w:val="none"/>
          <w:lang w:eastAsia="zh-CN"/>
        </w:rPr>
        <w:t>坚持把城市发展与群众需求紧密结合，把解决好人民群众最关心、最直接、最现实的问题放在工作首位，不断提升人民群众的获得感、幸福感、安全感。</w:t>
      </w:r>
    </w:p>
    <w:p w14:paraId="00A5047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坚持“三治融合”，夯实治理根基</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健全自治、法治、德治相结合的基层治理体系，以自治增活力、法治强保障、德治扬正气，推动三者相互促进、协同发力，实现政府治理同社会调节、居民自治良性互动，夯实社会和谐稳定的基础。</w:t>
      </w:r>
    </w:p>
    <w:p w14:paraId="5BFA36F0">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坚持共建共治共享，激发社会活力</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完善公众参与机制，拓宽社会组织、市场主体、新社会阶层等多元主体参与渠道，畅通和规范社会工作者、志愿者等参与途径，建设人人有责、人人尽责、人人享有的社会治理共同体。</w:t>
      </w:r>
    </w:p>
    <w:p w14:paraId="387F0C1F">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坚持首善标准，彰显副中心特色</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立足服务首都发展大局，</w:t>
      </w:r>
      <w:r>
        <w:rPr>
          <w:rFonts w:hint="eastAsia" w:ascii="仿宋_GB2312" w:hAnsi="仿宋_GB2312" w:eastAsia="仿宋_GB2312" w:cs="仿宋_GB2312"/>
          <w:sz w:val="32"/>
          <w:szCs w:val="32"/>
          <w:highlight w:val="none"/>
          <w:lang w:eastAsia="zh-CN"/>
        </w:rPr>
        <w:t>在服务首都“四个中心”建设的要求中找准自身定位</w:t>
      </w:r>
      <w:r>
        <w:rPr>
          <w:rFonts w:hint="eastAsia" w:ascii="仿宋_GB2312" w:hAnsi="仿宋_GB2312" w:eastAsia="仿宋_GB2312" w:cs="仿宋_GB2312"/>
          <w:sz w:val="32"/>
          <w:szCs w:val="32"/>
          <w:highlight w:val="none"/>
        </w:rPr>
        <w:t>，勇于先行先试，在治理理念、体制机制、模式方法上大胆创新，探索形成具有</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特色、体现时代特征的社会治理新路径。</w:t>
      </w:r>
    </w:p>
    <w:bookmarkEnd w:id="12"/>
    <w:bookmarkEnd w:id="13"/>
    <w:p w14:paraId="1A41C075">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14" w:name="_Toc1259470804"/>
      <w:bookmarkStart w:id="15" w:name="OLE_LINK21"/>
      <w:bookmarkStart w:id="16" w:name="OLE_LINK20"/>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主要目标</w:t>
      </w:r>
      <w:bookmarkEnd w:id="14"/>
    </w:p>
    <w:p w14:paraId="11B21ED6">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党建引领更坚强有力</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党的政治引领、组织引领、机制引领作用得到系统性增强。党建引领“热线+网格”机制更加成熟定型。区-</w:t>
      </w:r>
      <w:r>
        <w:rPr>
          <w:rFonts w:hint="eastAsia" w:ascii="仿宋_GB2312" w:hAnsi="仿宋_GB2312" w:eastAsia="仿宋_GB2312" w:cs="仿宋_GB2312"/>
          <w:sz w:val="32"/>
          <w:szCs w:val="32"/>
          <w:highlight w:val="none"/>
          <w:lang w:val="en-US" w:eastAsia="zh-CN"/>
        </w:rPr>
        <w:t>街乡镇</w:t>
      </w:r>
      <w:r>
        <w:rPr>
          <w:rFonts w:hint="eastAsia" w:ascii="仿宋_GB2312" w:hAnsi="仿宋_GB2312" w:eastAsia="仿宋_GB2312" w:cs="仿宋_GB2312"/>
          <w:sz w:val="32"/>
          <w:szCs w:val="32"/>
          <w:highlight w:val="none"/>
        </w:rPr>
        <w:t>-社区（村）-网格组织体系更加严密，新兴领域党的组织覆盖和工作覆盖质量显著提升，新就业群体党的工作有效拓展深化，区域化党建平台整合资源、服务群众的能力显著提升。全面从严治党政治责任层层压实，持续巩固风清气正的政治生态。</w:t>
      </w:r>
    </w:p>
    <w:p w14:paraId="6F1D4C2E">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基层自治活力充分激发</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副中心有我”社会动员体系效能全面显现，基层民主协商多层次、制度化、规范化水平显著提高，形成一批具有影响力的议事协商品牌。社区建设与服务模式更加完善，撤村建居工作稳妥推进，社区（村）“两委”班子和社会工作人才队伍战斗力不断增强。多元主体参与渠道畅通高效，居民自我管理、自我服务、自我教育、自我监督的意识和能力全面提升，共建共治共享的治理共同体成效明显。</w:t>
      </w:r>
    </w:p>
    <w:p w14:paraId="6EEACB97">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法治保障体系更加完善</w:t>
      </w:r>
      <w:bookmarkEnd w:id="15"/>
      <w:bookmarkEnd w:id="16"/>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依法行政水平全面提高，基层综合执法更加规范。矛盾纠纷预防调处化解综合机制高效运行，新时代“枫桥经验”在</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形成生动实践。覆盖城乡、便捷高效的公共法律服务体系全面建成，“法律明白人”和普法志愿者队伍在基层治理中的作用充分发挥。全社会法治观念明显增强，办事依法、遇事找法、解决问题用法、化解矛盾靠法的法治环境更加优化。</w:t>
      </w:r>
    </w:p>
    <w:p w14:paraId="1006A45B">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德治教化作用更加彰显</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家庭家教家风建设深入推进，成为社会治理的坚实基础。村规民约、居民公约的实效性和公信力显著增强，移风易俗和社会公德培育取得新成效。“通州榜样”品牌引领作用持续深化，选树、赋能、礼遇机制更加健全。志愿服务在道德实践中不断深化，奉献互助精神广泛弘扬，崇德向善、见贤思齐的社会风尚更加浓厚。</w:t>
      </w:r>
    </w:p>
    <w:p w14:paraId="42082769">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bookmarkStart w:id="17" w:name="OLE_LINK7"/>
      <w:bookmarkStart w:id="18" w:name="OLE_LINK8"/>
      <w:bookmarkStart w:id="19" w:name="OLE_LINK9"/>
      <w:r>
        <w:rPr>
          <w:rFonts w:hint="eastAsia" w:ascii="楷体_GB2312" w:hAnsi="楷体_GB2312" w:eastAsia="楷体_GB2312" w:cs="楷体_GB2312"/>
          <w:sz w:val="32"/>
          <w:szCs w:val="32"/>
          <w:highlight w:val="none"/>
        </w:rPr>
        <w:t>治理效能实现整体跃升</w:t>
      </w:r>
      <w:bookmarkEnd w:id="17"/>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“党建引领 三治融合 多元共治”模式高效运行</w:t>
      </w:r>
      <w:bookmarkEnd w:id="18"/>
      <w:bookmarkEnd w:id="19"/>
      <w:r>
        <w:rPr>
          <w:rFonts w:hint="eastAsia" w:ascii="仿宋_GB2312" w:hAnsi="仿宋_GB2312" w:eastAsia="仿宋_GB2312" w:cs="仿宋_GB2312"/>
          <w:sz w:val="32"/>
          <w:szCs w:val="32"/>
          <w:highlight w:val="none"/>
        </w:rPr>
        <w:t>。社会治理的体制机制壁垒有效破除，跨层级、跨领域、跨部门的协同治理常态化运行，实现政策协同、力量联动、行动配合。“热线+网格”与“接诉即办”机制深度融合，主动治理、未诉先办能力显著增强。基层权责匹配更加科学，减负增效成果持续巩固，治理体系的系统性、整体性、协同性和精细化、智慧化水平达到新高度，形成</w:t>
      </w:r>
      <w:r>
        <w:rPr>
          <w:rFonts w:hint="eastAsia" w:ascii="仿宋_GB2312" w:hAnsi="仿宋_GB2312" w:eastAsia="仿宋_GB2312" w:cs="仿宋_GB2312"/>
          <w:color w:val="auto"/>
          <w:sz w:val="32"/>
          <w:szCs w:val="32"/>
          <w:highlight w:val="none"/>
        </w:rPr>
        <w:t>活力与</w:t>
      </w:r>
      <w:r>
        <w:rPr>
          <w:rFonts w:hint="eastAsia" w:ascii="仿宋_GB2312" w:hAnsi="仿宋_GB2312" w:eastAsia="仿宋_GB2312" w:cs="仿宋_GB2312"/>
          <w:color w:val="auto"/>
          <w:sz w:val="32"/>
          <w:szCs w:val="32"/>
          <w:highlight w:val="none"/>
          <w:lang w:val="en-US" w:eastAsia="zh-CN"/>
        </w:rPr>
        <w:t>效率</w:t>
      </w:r>
      <w:r>
        <w:rPr>
          <w:rFonts w:hint="eastAsia" w:ascii="仿宋_GB2312" w:hAnsi="仿宋_GB2312" w:eastAsia="仿宋_GB2312" w:cs="仿宋_GB2312"/>
          <w:color w:val="auto"/>
          <w:sz w:val="32"/>
          <w:szCs w:val="32"/>
          <w:highlight w:val="none"/>
        </w:rPr>
        <w:t>有机统一</w:t>
      </w:r>
      <w:r>
        <w:rPr>
          <w:rFonts w:hint="eastAsia" w:ascii="仿宋_GB2312" w:hAnsi="仿宋_GB2312" w:eastAsia="仿宋_GB2312" w:cs="仿宋_GB2312"/>
          <w:sz w:val="32"/>
          <w:szCs w:val="32"/>
          <w:highlight w:val="none"/>
        </w:rPr>
        <w:t>的现代化治理新格局。</w:t>
      </w:r>
    </w:p>
    <w:p w14:paraId="5A575A45">
      <w:pPr>
        <w:pStyle w:val="24"/>
        <w:keepNext w:val="0"/>
        <w:keepLines w:val="0"/>
        <w:pageBreakBefore w:val="0"/>
        <w:widowControl w:val="0"/>
        <w:kinsoku/>
        <w:wordWrap/>
        <w:overflowPunct w:val="0"/>
        <w:topLinePunct w:val="0"/>
        <w:autoSpaceDE/>
        <w:autoSpaceDN/>
        <w:bidi w:val="0"/>
        <w:adjustRightInd/>
        <w:snapToGrid/>
        <w:spacing w:before="313" w:beforeLines="100" w:after="313" w:afterLines="100" w:line="560" w:lineRule="exact"/>
        <w:ind w:firstLine="0" w:firstLineChars="0"/>
        <w:jc w:val="center"/>
        <w:textAlignment w:val="auto"/>
        <w:outlineLvl w:val="0"/>
        <w:rPr>
          <w:rFonts w:ascii="黑体" w:hAnsi="黑体" w:eastAsia="黑体"/>
          <w:sz w:val="32"/>
          <w:szCs w:val="32"/>
          <w:highlight w:val="none"/>
        </w:rPr>
      </w:pPr>
      <w:bookmarkStart w:id="20" w:name="_Toc179494349"/>
      <w:r>
        <w:rPr>
          <w:rFonts w:hint="eastAsia" w:ascii="黑体" w:hAnsi="黑体" w:eastAsia="黑体"/>
          <w:sz w:val="32"/>
          <w:szCs w:val="32"/>
          <w:highlight w:val="none"/>
        </w:rPr>
        <w:t>第三章  以高质量党建引领高效能社会治理</w:t>
      </w:r>
      <w:bookmarkEnd w:id="20"/>
    </w:p>
    <w:p w14:paraId="6F032904">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ascii="仿宋" w:hAnsi="仿宋" w:eastAsia="仿宋" w:cs="楷体_GB2312"/>
          <w:sz w:val="32"/>
          <w:szCs w:val="32"/>
          <w:highlight w:val="none"/>
        </w:rPr>
      </w:pPr>
      <w:r>
        <w:rPr>
          <w:rFonts w:hint="eastAsia" w:ascii="仿宋_GB2312" w:hAnsi="仿宋_GB2312" w:eastAsia="仿宋_GB2312" w:cs="仿宋_GB2312"/>
          <w:sz w:val="32"/>
          <w:szCs w:val="32"/>
          <w:highlight w:val="none"/>
        </w:rPr>
        <w:t>高质量党建是高效能社会治理的根基。“十五五”时期，</w:t>
      </w:r>
      <w:r>
        <w:rPr>
          <w:rFonts w:hint="eastAsia" w:ascii="仿宋_GB2312" w:hAnsi="仿宋_GB2312" w:eastAsia="仿宋_GB2312" w:cs="仿宋_GB2312"/>
          <w:sz w:val="32"/>
          <w:szCs w:val="32"/>
          <w:highlight w:val="none"/>
          <w:lang w:eastAsia="zh-CN"/>
        </w:rPr>
        <w:t>城市副中心推动</w:t>
      </w:r>
      <w:r>
        <w:rPr>
          <w:rFonts w:hint="eastAsia" w:ascii="仿宋_GB2312" w:hAnsi="仿宋_GB2312" w:eastAsia="仿宋_GB2312" w:cs="仿宋_GB2312"/>
          <w:sz w:val="32"/>
          <w:szCs w:val="32"/>
          <w:highlight w:val="none"/>
        </w:rPr>
        <w:t>“党建引领 三治融合 多元共治”模式</w:t>
      </w:r>
      <w:r>
        <w:rPr>
          <w:rFonts w:hint="eastAsia" w:ascii="仿宋_GB2312" w:hAnsi="仿宋_GB2312" w:eastAsia="仿宋_GB2312" w:cs="仿宋_GB2312"/>
          <w:sz w:val="32"/>
          <w:szCs w:val="32"/>
          <w:highlight w:val="none"/>
          <w:lang w:eastAsia="zh-CN"/>
        </w:rPr>
        <w:t>不断</w:t>
      </w:r>
      <w:r>
        <w:rPr>
          <w:rFonts w:hint="eastAsia" w:ascii="仿宋_GB2312" w:hAnsi="仿宋_GB2312" w:eastAsia="仿宋_GB2312" w:cs="仿宋_GB2312"/>
          <w:sz w:val="32"/>
          <w:szCs w:val="32"/>
          <w:highlight w:val="none"/>
        </w:rPr>
        <w:t>深化，高质量党建与高效能社会治理的融合将更加紧密，为</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高质量发展提供更加强劲的治理动能。</w:t>
      </w:r>
    </w:p>
    <w:p w14:paraId="586191EE">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hint="default" w:ascii="黑体" w:hAnsi="黑体" w:eastAsia="黑体" w:cs="黑体"/>
          <w:sz w:val="32"/>
          <w:szCs w:val="32"/>
          <w:highlight w:val="none"/>
          <w:lang w:val="en-US"/>
        </w:rPr>
      </w:pPr>
      <w:r>
        <w:rPr>
          <w:rFonts w:hint="eastAsia" w:ascii="黑体" w:hAnsi="黑体" w:eastAsia="黑体" w:cs="黑体"/>
          <w:sz w:val="32"/>
          <w:szCs w:val="32"/>
          <w:highlight w:val="none"/>
          <w:lang w:val="en-US" w:eastAsia="zh-CN"/>
        </w:rPr>
        <w:t>一、把准政治引领方向</w:t>
      </w:r>
    </w:p>
    <w:p w14:paraId="268B1DE3">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bookmarkStart w:id="21" w:name="OLE_LINK3"/>
      <w:r>
        <w:rPr>
          <w:rFonts w:hint="eastAsia" w:ascii="楷体_GB2312" w:hAnsi="楷体_GB2312" w:eastAsia="楷体_GB2312" w:cs="楷体_GB2312"/>
          <w:sz w:val="32"/>
          <w:szCs w:val="32"/>
          <w:highlight w:val="none"/>
        </w:rPr>
        <w:t>深化思想引领</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坚持以习近平新时代中国特色社会主义思想为指导，深入贯彻习近平总书记关于社会治理的重要论述，持续深化思想理论武装，牢牢把握社会治理正确政治方向。健全党的全面领导制度，强化党总揽全局、协调各方的领导核心作用，以思想政治引领凝聚社会共识。树牢大抓基层的鲜明导向，推动党建工作与接诉即办、网格治理深度融合，延伸组织触角，将党的政治优势、组织优势转化为治理效能。</w:t>
      </w:r>
    </w:p>
    <w:bookmarkEnd w:id="21"/>
    <w:p w14:paraId="04630053">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压实政治责任</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健全主体明确、要求清晰的责任体系，合理确定区、街乡</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社区（村）、小区、楼院等在社会治理中的层级关系，明确各层级社会治理的重点。完善责任传导体系，形成权责明确、上下贯通、层层推进的社会治理架构，有效提升社会治理合力。以社会治理职责为依据，配置社会治理资源，健全督查问责机制。</w:t>
      </w:r>
    </w:p>
    <w:p w14:paraId="7901BA1A">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严守政治纪律</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加强政治纪律建设，确保党的领导贯穿到社会治理工作的各环节、全过程。深化清廉治理实践，</w:t>
      </w:r>
      <w:r>
        <w:rPr>
          <w:rFonts w:hint="eastAsia" w:ascii="仿宋_GB2312" w:hAnsi="仿宋_GB2312" w:eastAsia="仿宋_GB2312" w:cs="仿宋_GB2312"/>
          <w:sz w:val="32"/>
          <w:szCs w:val="32"/>
          <w:highlight w:val="none"/>
          <w:lang w:eastAsia="zh-CN"/>
        </w:rPr>
        <w:t>完善</w:t>
      </w:r>
      <w:r>
        <w:rPr>
          <w:rFonts w:hint="eastAsia" w:ascii="仿宋_GB2312" w:hAnsi="仿宋_GB2312" w:eastAsia="仿宋_GB2312" w:cs="仿宋_GB2312"/>
          <w:sz w:val="32"/>
          <w:szCs w:val="32"/>
          <w:highlight w:val="none"/>
        </w:rPr>
        <w:t>居务公开、民主评议等制度，创新互联网监督模式。加强廉洁文化建设，讲好清廉故事，打造清廉文化阵地，推动廉洁建设融入社会治理全链条。</w:t>
      </w:r>
    </w:p>
    <w:p w14:paraId="1848924A">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lang w:val="en-US" w:eastAsia="zh-CN"/>
        </w:rPr>
        <w:t>建强</w:t>
      </w:r>
      <w:r>
        <w:rPr>
          <w:rFonts w:hint="eastAsia" w:ascii="黑体" w:hAnsi="黑体" w:eastAsia="黑体" w:cs="黑体"/>
          <w:sz w:val="32"/>
          <w:szCs w:val="32"/>
          <w:highlight w:val="none"/>
        </w:rPr>
        <w:t>组织引领</w:t>
      </w:r>
      <w:r>
        <w:rPr>
          <w:rFonts w:hint="eastAsia" w:ascii="黑体" w:hAnsi="黑体" w:eastAsia="黑体" w:cs="黑体"/>
          <w:sz w:val="32"/>
          <w:szCs w:val="32"/>
          <w:highlight w:val="none"/>
          <w:lang w:val="en-US" w:eastAsia="zh-CN"/>
        </w:rPr>
        <w:t>堡垒</w:t>
      </w:r>
    </w:p>
    <w:p w14:paraId="357AB567">
      <w:pPr>
        <w:pStyle w:val="10"/>
        <w:keepNext w:val="0"/>
        <w:keepLines w:val="0"/>
        <w:pageBreakBefore w:val="0"/>
        <w:widowControl w:val="0"/>
        <w:kinsoku/>
        <w:wordWrap/>
        <w:overflowPunct w:val="0"/>
        <w:topLinePunct w:val="0"/>
        <w:autoSpaceDE/>
        <w:autoSpaceDN/>
        <w:bidi w:val="0"/>
        <w:adjustRightInd/>
        <w:snapToGrid/>
        <w:spacing w:after="0" w:line="560" w:lineRule="exact"/>
        <w:ind w:left="0" w:leftChars="0" w:firstLine="640" w:firstLineChars="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kern w:val="2"/>
          <w:sz w:val="32"/>
          <w:szCs w:val="32"/>
          <w:highlight w:val="none"/>
          <w:lang w:val="en-US" w:eastAsia="zh-CN" w:bidi="ar-SA"/>
        </w:rPr>
        <w:t>加强党的全面领导。</w:t>
      </w:r>
      <w:r>
        <w:rPr>
          <w:rFonts w:hint="eastAsia" w:ascii="仿宋_GB2312" w:hAnsi="仿宋_GB2312" w:eastAsia="仿宋_GB2312" w:cs="仿宋_GB2312"/>
          <w:sz w:val="32"/>
          <w:szCs w:val="32"/>
          <w:highlight w:val="none"/>
        </w:rPr>
        <w:t>健全党对社会治理全面领导的体制机制，完善党委领导、政府负责、民主协商、社会协同、公众参与、法治保障、科技支撑的社会治理体系。将全区社会治理纳入区委重要议事日程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充分发挥区委社会工作领导小组牵头抓总作用和街乡镇党（工）委在基层社会治理中的统筹协调作用。</w:t>
      </w:r>
      <w:r>
        <w:rPr>
          <w:rFonts w:hint="eastAsia" w:ascii="仿宋_GB2312" w:hAnsi="仿宋_GB2312" w:eastAsia="仿宋_GB2312" w:cs="仿宋_GB2312"/>
          <w:sz w:val="32"/>
          <w:szCs w:val="32"/>
          <w:highlight w:val="none"/>
        </w:rPr>
        <w:t>深化党建引领“热线+网格+吹哨报到”改革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2"/>
          <w:sz w:val="32"/>
          <w:szCs w:val="32"/>
          <w:highlight w:val="none"/>
          <w:lang w:val="en-US" w:eastAsia="zh-CN" w:bidi="ar-SA"/>
        </w:rPr>
        <w:t>配强网格治理力量，强化“热线+网格+吹哨报到”一体化平台建设，及时收集高频问题、解决网格问题、化解矛盾纠纷，拓展大模型应用场景，专项研判高频诉求，引导网格员由常规巡查向靶向巡查转变，推动问题处置关口前移，实现接诉即办向主动治理、未诉先办延展升级。推进“每月一题”重难点问题攻坚，实施一批小微项目惠民生工程，深化治理类街乡镇工作成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highlight w:val="none"/>
          <w:lang w:val="en-US" w:eastAsia="zh-CN" w:bidi="ar-SA"/>
        </w:rPr>
        <w:t>深化党的组织和工作向治理单元延伸，统筹整合党群服务中心、新时代文明实践站、社区服务站等阵地资源，构建“15分钟党群服务圈”。</w:t>
      </w:r>
    </w:p>
    <w:p w14:paraId="3BF7AFB7">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优化区域化党建工作体系</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健全党委统一领导、驻区单位多方协同参与的领导体系与运行机制，统筹推进区、街乡</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、社区（村）的区域化党建工作。做实党建工作协调委员会，推动驻区单位深度融入基层治理。优化区域化党建组织体系，立足</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功能布局，科学划分区域，完善商务楼宇、产业园区等功能区块党组织设置，实现区域内机关单位、企业商户、社会组织等各类组织党的工作全覆盖。</w:t>
      </w:r>
    </w:p>
    <w:p w14:paraId="536FC698">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完善社会领域党建工作体系</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明确党建工作机构、业务主管单位、行业组织的职责关系，形成党委统一领导、齐抓共管的工作格局。健全“两新”组织党建工作体系，创新工作机制和活动载体，加大组织覆盖和工作覆盖力度，重点聚焦互联网平台、产业园区、商务楼宇等特色领域，强化对规模以上“两新”组织、前沿新兴企业的支持力度，提升“两个覆盖”质量。深化社会组织党建，推动党组织建设与社会组织规范化发展深度融合，引导社会组织主动融入基层治理。</w:t>
      </w:r>
    </w:p>
    <w:p w14:paraId="7EAA0285">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bookmarkStart w:id="22" w:name="OLE_LINK13"/>
      <w:r>
        <w:rPr>
          <w:rFonts w:hint="eastAsia" w:ascii="楷体_GB2312" w:hAnsi="楷体_GB2312" w:eastAsia="楷体_GB2312" w:cs="楷体_GB2312"/>
          <w:sz w:val="32"/>
          <w:szCs w:val="32"/>
          <w:highlight w:val="none"/>
        </w:rPr>
        <w:t>加强社区党组织引领与建设</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充分发挥社区党组织政治核心作用与领导功能，把握社区党组织在社区重要事项决定、资金使用中的主导权，强化社区党组织对辖区各类组织和各项工作的全面领导。实施社区党建品牌建设，选树先进典型，打造党建引领社区治理创新</w:t>
      </w:r>
      <w:r>
        <w:rPr>
          <w:rFonts w:hint="eastAsia" w:ascii="仿宋_GB2312" w:hAnsi="仿宋_GB2312" w:eastAsia="仿宋_GB2312" w:cs="仿宋_GB2312"/>
          <w:sz w:val="32"/>
          <w:szCs w:val="32"/>
          <w:highlight w:val="none"/>
          <w:lang w:eastAsia="zh-CN"/>
        </w:rPr>
        <w:t>先进典型</w:t>
      </w:r>
      <w:r>
        <w:rPr>
          <w:rFonts w:hint="eastAsia" w:ascii="仿宋_GB2312" w:hAnsi="仿宋_GB2312" w:eastAsia="仿宋_GB2312" w:cs="仿宋_GB2312"/>
          <w:sz w:val="32"/>
          <w:szCs w:val="32"/>
          <w:highlight w:val="none"/>
        </w:rPr>
        <w:t>，提升基层党建影响力。实施社区党组织能力提升行动，建强社区“领头雁”队伍，分级分类开展专业化培训，开展党建业务大练兵，建设书记工作室示范点，全面提升履职能力。完善“双报到”制度化、常态化机制，动态更新社区服务需求清单、资源清单、项目清单，精准促进服务供需对接</w:t>
      </w:r>
      <w:bookmarkEnd w:id="22"/>
      <w:r>
        <w:rPr>
          <w:rFonts w:hint="eastAsia" w:ascii="仿宋_GB2312" w:hAnsi="仿宋_GB2312" w:eastAsia="仿宋_GB2312" w:cs="仿宋_GB2312"/>
          <w:sz w:val="32"/>
          <w:szCs w:val="32"/>
          <w:highlight w:val="none"/>
        </w:rPr>
        <w:t>，提升服务效能。</w:t>
      </w:r>
    </w:p>
    <w:p w14:paraId="0C76AD60">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hint="eastAsia" w:ascii="黑体" w:hAnsi="黑体" w:eastAsia="黑体" w:cs="黑体"/>
          <w:sz w:val="32"/>
          <w:szCs w:val="32"/>
          <w:highlight w:val="none"/>
          <w:lang w:val="en-US" w:eastAsia="zh-CN"/>
        </w:rPr>
      </w:pPr>
      <w:bookmarkStart w:id="23" w:name="_Toc876887882"/>
      <w:r>
        <w:rPr>
          <w:rFonts w:hint="eastAsia" w:ascii="黑体" w:hAnsi="黑体" w:eastAsia="黑体" w:cs="黑体"/>
          <w:sz w:val="32"/>
          <w:szCs w:val="32"/>
          <w:highlight w:val="none"/>
          <w:lang w:eastAsia="zh-CN"/>
        </w:rPr>
        <w:t>三</w:t>
      </w:r>
      <w:bookmarkEnd w:id="23"/>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完善</w:t>
      </w:r>
      <w:r>
        <w:rPr>
          <w:rFonts w:hint="eastAsia" w:ascii="黑体" w:hAnsi="黑体" w:eastAsia="黑体" w:cs="黑体"/>
          <w:sz w:val="32"/>
          <w:szCs w:val="32"/>
          <w:highlight w:val="none"/>
        </w:rPr>
        <w:t>机制引领</w:t>
      </w:r>
      <w:r>
        <w:rPr>
          <w:rFonts w:hint="eastAsia" w:ascii="黑体" w:hAnsi="黑体" w:eastAsia="黑体" w:cs="黑体"/>
          <w:sz w:val="32"/>
          <w:szCs w:val="32"/>
          <w:highlight w:val="none"/>
          <w:lang w:val="en-US" w:eastAsia="zh-CN"/>
        </w:rPr>
        <w:t>体系</w:t>
      </w:r>
      <w:bookmarkStart w:id="54" w:name="_GoBack"/>
      <w:bookmarkEnd w:id="54"/>
    </w:p>
    <w:p w14:paraId="4BAFBA85">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推进社会治理扁平化</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健全党委统筹、部门协同、上下贯通的简约高效治理组织体系，充分发挥</w:t>
      </w:r>
      <w:r>
        <w:rPr>
          <w:rFonts w:hint="eastAsia" w:ascii="仿宋_GB2312" w:hAnsi="仿宋_GB2312" w:eastAsia="仿宋_GB2312" w:cs="仿宋_GB2312"/>
          <w:sz w:val="32"/>
          <w:szCs w:val="32"/>
          <w:highlight w:val="none"/>
          <w:lang w:val="en-US" w:eastAsia="zh-CN"/>
        </w:rPr>
        <w:t>区委</w:t>
      </w:r>
      <w:r>
        <w:rPr>
          <w:rFonts w:hint="eastAsia" w:ascii="仿宋_GB2312" w:hAnsi="仿宋_GB2312" w:eastAsia="仿宋_GB2312" w:cs="仿宋_GB2312"/>
          <w:sz w:val="32"/>
          <w:szCs w:val="32"/>
          <w:highlight w:val="none"/>
        </w:rPr>
        <w:t>社会工作领导小组顶层设计、综合协调、督查</w:t>
      </w:r>
      <w:r>
        <w:rPr>
          <w:rFonts w:hint="eastAsia" w:ascii="仿宋_GB2312" w:hAnsi="仿宋_GB2312" w:eastAsia="仿宋_GB2312" w:cs="仿宋_GB2312"/>
          <w:sz w:val="32"/>
          <w:szCs w:val="32"/>
          <w:highlight w:val="none"/>
          <w:lang w:eastAsia="zh-CN"/>
        </w:rPr>
        <w:t>评估</w:t>
      </w:r>
      <w:r>
        <w:rPr>
          <w:rFonts w:hint="eastAsia" w:ascii="仿宋_GB2312" w:hAnsi="仿宋_GB2312" w:eastAsia="仿宋_GB2312" w:cs="仿宋_GB2312"/>
          <w:sz w:val="32"/>
          <w:szCs w:val="32"/>
          <w:highlight w:val="none"/>
        </w:rPr>
        <w:t>职能，聚焦社会治理全局性问题系统部署。完善领导小组办公室日常运行、跨部门协调、全过程监督机制，强化成员单位联动协作，构建全区一体化治理协调格局。深化街道体制机制改革，</w:t>
      </w:r>
      <w:r>
        <w:rPr>
          <w:rFonts w:hint="eastAsia" w:ascii="仿宋_GB2312" w:hAnsi="仿宋_GB2312" w:eastAsia="仿宋_GB2312" w:cs="仿宋_GB2312"/>
          <w:sz w:val="32"/>
          <w:szCs w:val="32"/>
          <w:highlight w:val="none"/>
          <w:lang w:val="en-US" w:eastAsia="zh-CN"/>
        </w:rPr>
        <w:t>进一步推动“六权”下沉，确保辖区设施规划编制，建设和验收参与权；全市性，全区性涉及本街道辖区范围内重大事项和重大决策的建议权；职能部门综合执法指挥调度权；职能部门派出机构工作情况考核评价和人事任免建议权；多部门协同解决的综合性事项统筹协调和考核督办权；下沉资金，人员的统筹管理和自主支配权等均落实到位</w:t>
      </w:r>
      <w:r>
        <w:rPr>
          <w:rFonts w:hint="eastAsia" w:ascii="仿宋_GB2312" w:hAnsi="仿宋_GB2312" w:eastAsia="仿宋_GB2312" w:cs="仿宋_GB2312"/>
          <w:sz w:val="32"/>
          <w:szCs w:val="32"/>
          <w:highlight w:val="none"/>
        </w:rPr>
        <w:t>。理顺区、街乡</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、社区</w:t>
      </w:r>
      <w:r>
        <w:rPr>
          <w:rFonts w:hint="eastAsia" w:ascii="仿宋_GB2312" w:hAnsi="仿宋_GB2312" w:eastAsia="仿宋_GB2312" w:cs="仿宋_GB2312"/>
          <w:sz w:val="32"/>
          <w:szCs w:val="32"/>
          <w:highlight w:val="none"/>
          <w:lang w:eastAsia="zh-CN"/>
        </w:rPr>
        <w:t>（村）</w:t>
      </w:r>
      <w:r>
        <w:rPr>
          <w:rFonts w:hint="eastAsia" w:ascii="仿宋_GB2312" w:hAnsi="仿宋_GB2312" w:eastAsia="仿宋_GB2312" w:cs="仿宋_GB2312"/>
          <w:sz w:val="32"/>
          <w:szCs w:val="32"/>
          <w:highlight w:val="none"/>
        </w:rPr>
        <w:t>三级权责关系，完善社区准入负面清单，厘清职责边界，压实层级治理责任，扎实推进基层减负。</w:t>
      </w:r>
    </w:p>
    <w:p w14:paraId="31778420">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推动社会治理</w:t>
      </w:r>
      <w:bookmarkStart w:id="24" w:name="OLE_LINK14"/>
      <w:r>
        <w:rPr>
          <w:rFonts w:hint="eastAsia" w:ascii="楷体_GB2312" w:hAnsi="楷体_GB2312" w:eastAsia="楷体_GB2312" w:cs="楷体_GB2312"/>
          <w:sz w:val="32"/>
          <w:szCs w:val="32"/>
          <w:highlight w:val="none"/>
        </w:rPr>
        <w:t>精细化</w:t>
      </w:r>
      <w:bookmarkEnd w:id="24"/>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构建多元精准的公共服务供给体系，完善政府直接供给、市场化服务补充、志愿服务协同的互补格局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政府直接服务与购买服务覆盖全体居民，重点保障特殊群体、困难群众基本需求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市场化服务精准对接个性化需求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志愿服务聚焦区域重大事项和社区公共事务。推进社区治理现代化，健全社区党</w:t>
      </w:r>
      <w:r>
        <w:rPr>
          <w:rFonts w:hint="eastAsia" w:ascii="仿宋_GB2312" w:hAnsi="仿宋_GB2312" w:eastAsia="仿宋_GB2312" w:cs="仿宋_GB2312"/>
          <w:sz w:val="32"/>
          <w:szCs w:val="32"/>
          <w:highlight w:val="none"/>
          <w:lang w:val="en-US" w:eastAsia="zh-CN"/>
        </w:rPr>
        <w:t>组织</w:t>
      </w:r>
      <w:r>
        <w:rPr>
          <w:rFonts w:hint="eastAsia" w:ascii="仿宋_GB2312" w:hAnsi="仿宋_GB2312" w:eastAsia="仿宋_GB2312" w:cs="仿宋_GB2312"/>
          <w:sz w:val="32"/>
          <w:szCs w:val="32"/>
          <w:highlight w:val="none"/>
        </w:rPr>
        <w:t>、居民委员会、社区服务站三位一体架构，加强社区群团组织建设，提升社区综合服务能力。</w:t>
      </w:r>
      <w:r>
        <w:rPr>
          <w:rFonts w:hint="eastAsia" w:ascii="仿宋_GB2312" w:hAnsi="仿宋_GB2312" w:eastAsia="仿宋_GB2312" w:cs="仿宋_GB2312"/>
          <w:sz w:val="32"/>
          <w:szCs w:val="32"/>
          <w:highlight w:val="none"/>
          <w:lang w:val="en-US" w:eastAsia="zh-CN"/>
        </w:rPr>
        <w:t>探索</w:t>
      </w:r>
      <w:r>
        <w:rPr>
          <w:rFonts w:hint="eastAsia" w:ascii="仿宋_GB2312" w:hAnsi="仿宋_GB2312" w:eastAsia="仿宋_GB2312" w:cs="仿宋_GB2312"/>
          <w:sz w:val="32"/>
          <w:szCs w:val="32"/>
          <w:highlight w:val="none"/>
        </w:rPr>
        <w:t>延时服务、预约办理、综合受理等便民举措，优化群众办事体验。鼓励开展小切口、大成效的微改革微创新，总结可复制推广的治理成果，围绕公共服务改革、社会组织培育等重点领域深化系统性改革。</w:t>
      </w:r>
    </w:p>
    <w:p w14:paraId="4C355415">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推进社会治理智慧化</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依托大数据、云计算技术汇聚治理数据，实现网格数据要素全量覆盖、动态更新，为</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社会治理决策提供支撑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进智慧社区应用场景落地，支持社区开展公共设施智能化改造，推广移动储充机器人、洗车机器人、智慧巡逻机器人等智能设备。完善社会治理信息化支撑体系，畅通线上线下诉求表达渠道，提升问题受理、分流、处置、反馈的智能化水平。整合机关单位、高校、企业、社会组织智力资源，构建社会治理民生智库，通过数据分析研判群众需求趋势与治理痛点，推动治理决策科学化、精准化。</w:t>
      </w:r>
    </w:p>
    <w:p w14:paraId="03FED37B">
      <w:pPr>
        <w:pStyle w:val="24"/>
        <w:keepNext w:val="0"/>
        <w:keepLines w:val="0"/>
        <w:pageBreakBefore w:val="0"/>
        <w:widowControl w:val="0"/>
        <w:kinsoku/>
        <w:wordWrap/>
        <w:overflowPunct w:val="0"/>
        <w:topLinePunct w:val="0"/>
        <w:autoSpaceDE/>
        <w:autoSpaceDN/>
        <w:bidi w:val="0"/>
        <w:adjustRightInd/>
        <w:snapToGrid/>
        <w:spacing w:before="313" w:beforeLines="100" w:after="313" w:afterLines="100" w:line="560" w:lineRule="exact"/>
        <w:ind w:firstLine="0" w:firstLineChars="0"/>
        <w:jc w:val="center"/>
        <w:textAlignment w:val="auto"/>
        <w:outlineLvl w:val="0"/>
        <w:rPr>
          <w:rFonts w:ascii="黑体" w:hAnsi="黑体" w:eastAsia="黑体"/>
          <w:sz w:val="32"/>
          <w:szCs w:val="32"/>
          <w:highlight w:val="none"/>
        </w:rPr>
      </w:pPr>
      <w:bookmarkStart w:id="25" w:name="_Toc1821847060"/>
      <w:r>
        <w:rPr>
          <w:rFonts w:hint="eastAsia" w:ascii="黑体" w:hAnsi="黑体" w:eastAsia="黑体"/>
          <w:sz w:val="32"/>
          <w:szCs w:val="32"/>
          <w:highlight w:val="none"/>
        </w:rPr>
        <w:t>第四章  激发社会治理自治活力</w:t>
      </w:r>
      <w:bookmarkEnd w:id="25"/>
    </w:p>
    <w:p w14:paraId="79483E59">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ascii="仿宋" w:hAnsi="仿宋" w:eastAsia="仿宋"/>
          <w:spacing w:val="-6"/>
          <w:sz w:val="32"/>
          <w:szCs w:val="32"/>
          <w:highlight w:val="none"/>
        </w:rPr>
      </w:pPr>
      <w:r>
        <w:rPr>
          <w:rFonts w:hint="eastAsia" w:ascii="仿宋_GB2312" w:hAnsi="仿宋_GB2312" w:eastAsia="仿宋_GB2312" w:cs="仿宋_GB2312"/>
          <w:sz w:val="32"/>
          <w:szCs w:val="32"/>
          <w:highlight w:val="none"/>
        </w:rPr>
        <w:t>自治是高效能社会治理的内生动力，更是</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构建共建共治共享治理格局的关键支撑。“十五五”时期，</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pacing w:val="-6"/>
          <w:sz w:val="32"/>
          <w:szCs w:val="32"/>
          <w:highlight w:val="none"/>
        </w:rPr>
        <w:t>积极推动自治有力、有序、有效，加快实现活力与</w:t>
      </w:r>
      <w:r>
        <w:rPr>
          <w:rFonts w:hint="eastAsia" w:ascii="仿宋_GB2312" w:hAnsi="仿宋_GB2312" w:eastAsia="仿宋_GB2312" w:cs="仿宋_GB2312"/>
          <w:spacing w:val="-6"/>
          <w:sz w:val="32"/>
          <w:szCs w:val="32"/>
          <w:highlight w:val="none"/>
          <w:lang w:eastAsia="zh-CN"/>
        </w:rPr>
        <w:t>效率</w:t>
      </w:r>
      <w:r>
        <w:rPr>
          <w:rFonts w:hint="eastAsia" w:ascii="仿宋_GB2312" w:hAnsi="仿宋_GB2312" w:eastAsia="仿宋_GB2312" w:cs="仿宋_GB2312"/>
          <w:spacing w:val="-6"/>
          <w:sz w:val="32"/>
          <w:szCs w:val="32"/>
          <w:highlight w:val="none"/>
        </w:rPr>
        <w:t>的有机统一。</w:t>
      </w:r>
    </w:p>
    <w:p w14:paraId="6D924768">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26" w:name="_Toc961698494"/>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规范基层自治组织建设</w:t>
      </w:r>
      <w:bookmarkEnd w:id="26"/>
    </w:p>
    <w:p w14:paraId="19522483">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bookmarkStart w:id="27" w:name="OLE_LINK4"/>
      <w:r>
        <w:rPr>
          <w:rFonts w:hint="eastAsia" w:ascii="楷体_GB2312" w:hAnsi="楷体_GB2312" w:eastAsia="楷体_GB2312" w:cs="楷体_GB2312"/>
          <w:sz w:val="32"/>
          <w:szCs w:val="32"/>
          <w:highlight w:val="none"/>
        </w:rPr>
        <w:t>加强社区（村）两委班子和</w:t>
      </w:r>
      <w:r>
        <w:rPr>
          <w:rFonts w:hint="eastAsia" w:ascii="楷体_GB2312" w:hAnsi="楷体_GB2312" w:eastAsia="楷体_GB2312" w:cs="楷体_GB2312"/>
          <w:sz w:val="32"/>
          <w:szCs w:val="32"/>
          <w:highlight w:val="none"/>
          <w:lang w:eastAsia="zh-CN"/>
        </w:rPr>
        <w:t>社区</w:t>
      </w:r>
      <w:r>
        <w:rPr>
          <w:rFonts w:hint="eastAsia" w:ascii="楷体_GB2312" w:hAnsi="楷体_GB2312" w:eastAsia="楷体_GB2312" w:cs="楷体_GB2312"/>
          <w:sz w:val="32"/>
          <w:szCs w:val="32"/>
          <w:highlight w:val="none"/>
        </w:rPr>
        <w:t>工作者队伍建设</w:t>
      </w:r>
      <w:bookmarkEnd w:id="27"/>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实施基层治理头雁领航工程，打造基层党组织负责人阶梯培养体系，充分发挥优秀社区书记引领示范作用，建强社区书记队伍。以社区（村）“两委”换届工作为契机，优化社工队伍常态化选育、教育、管理、激励机制，配强基层治理生力军。</w:t>
      </w:r>
    </w:p>
    <w:p w14:paraId="389C9864">
      <w:pPr>
        <w:pStyle w:val="5"/>
        <w:keepNext w:val="0"/>
        <w:keepLines w:val="0"/>
        <w:pageBreakBefore w:val="0"/>
        <w:widowControl w:val="0"/>
        <w:kinsoku/>
        <w:wordWrap/>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kern w:val="2"/>
          <w:sz w:val="32"/>
          <w:szCs w:val="32"/>
          <w:highlight w:val="none"/>
          <w:lang w:val="en-US" w:eastAsia="zh-CN" w:bidi="ar-SA"/>
        </w:rPr>
        <w:t>高水平建设社会工作专业人员队伍。</w:t>
      </w:r>
      <w:r>
        <w:rPr>
          <w:rFonts w:hint="eastAsia" w:ascii="仿宋_GB2312" w:hAnsi="仿宋_GB2312" w:eastAsia="仿宋_GB2312" w:cs="仿宋_GB2312"/>
          <w:sz w:val="32"/>
          <w:szCs w:val="32"/>
          <w:highlight w:val="none"/>
          <w:u w:val="none"/>
        </w:rPr>
        <w:t>积极推动社区、医务、学校、司法等重点领域社会工作发展。</w:t>
      </w:r>
      <w:r>
        <w:rPr>
          <w:rFonts w:hint="eastAsia" w:ascii="仿宋_GB2312" w:hAnsi="仿宋_GB2312" w:eastAsia="仿宋_GB2312" w:cs="仿宋_GB2312"/>
          <w:sz w:val="32"/>
          <w:szCs w:val="32"/>
          <w:highlight w:val="none"/>
        </w:rPr>
        <w:t>加大人才培养力度，优化社会工作专业</w:t>
      </w:r>
      <w:r>
        <w:rPr>
          <w:rFonts w:hint="eastAsia" w:ascii="仿宋_GB2312" w:hAnsi="仿宋_GB2312" w:eastAsia="仿宋_GB2312" w:cs="仿宋_GB2312"/>
          <w:sz w:val="32"/>
          <w:szCs w:val="32"/>
          <w:highlight w:val="none"/>
          <w:lang w:eastAsia="zh-CN"/>
        </w:rPr>
        <w:t>人员</w:t>
      </w:r>
      <w:r>
        <w:rPr>
          <w:rFonts w:hint="eastAsia" w:ascii="仿宋_GB2312" w:hAnsi="仿宋_GB2312" w:eastAsia="仿宋_GB2312" w:cs="仿宋_GB2312"/>
          <w:sz w:val="32"/>
          <w:szCs w:val="32"/>
          <w:highlight w:val="none"/>
        </w:rPr>
        <w:t>队伍结构，完善社区工作者职业体系建设，提高社区工作者本土化比例。</w:t>
      </w:r>
    </w:p>
    <w:p w14:paraId="45877E40">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bookmarkStart w:id="28" w:name="OLE_LINK15"/>
      <w:r>
        <w:rPr>
          <w:rFonts w:hint="eastAsia" w:ascii="楷体_GB2312" w:hAnsi="楷体_GB2312" w:eastAsia="楷体_GB2312" w:cs="楷体_GB2312"/>
          <w:sz w:val="32"/>
          <w:szCs w:val="32"/>
          <w:highlight w:val="none"/>
        </w:rPr>
        <w:t>稳妥推进撤村建居</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持续推动社区居委会规范化建设，新建小区依法设立社区居委会，根据需要优化调整社区规模，创新无村居小区管理模式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深化街道涉村区域管理，稳步推进撤村建居。围绕人员转非、土地征占、村集体产权制度改革等</w:t>
      </w:r>
      <w:r>
        <w:rPr>
          <w:rFonts w:hint="eastAsia" w:ascii="仿宋_GB2312" w:hAnsi="仿宋_GB2312" w:eastAsia="仿宋_GB2312" w:cs="仿宋_GB2312"/>
          <w:sz w:val="32"/>
          <w:szCs w:val="32"/>
          <w:highlight w:val="none"/>
          <w:lang w:val="en-US" w:eastAsia="zh-CN"/>
        </w:rPr>
        <w:t>方面</w:t>
      </w:r>
      <w:r>
        <w:rPr>
          <w:rFonts w:hint="eastAsia" w:ascii="仿宋_GB2312" w:hAnsi="仿宋_GB2312" w:eastAsia="仿宋_GB2312" w:cs="仿宋_GB2312"/>
          <w:sz w:val="32"/>
          <w:szCs w:val="32"/>
          <w:highlight w:val="none"/>
        </w:rPr>
        <w:t>，坚持“成熟一个、推动一个”原则，平稳有序推进。强化区级统筹、街乡</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主责、村级落实的协同推进机制，分类破解村居并行、治理衔接、服务配套等突出难题，规范社区居委会筹备组、服务站运行管理，推动符合条件的农村区域有序实现城市社区转型，促进城乡治理体系一体衔接、公共服务均衡覆盖。妥善解决村民反映强烈的历史遗留问题，切实维护群众合法权益。健全风险预判、矛盾调处、应急处置全流程防控机制，为</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城乡融合高质量发展提供坚实保障。</w:t>
      </w:r>
    </w:p>
    <w:bookmarkEnd w:id="28"/>
    <w:p w14:paraId="5F934F1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楷体_GB2312" w:hAnsi="楷体_GB2312" w:eastAsia="仿宋_GB2312" w:cs="楷体_GB2312"/>
          <w:sz w:val="32"/>
          <w:szCs w:val="32"/>
          <w:highlight w:val="none"/>
          <w:lang w:eastAsia="zh-CN"/>
        </w:rPr>
      </w:pPr>
      <w:r>
        <w:rPr>
          <w:rFonts w:hint="eastAsia" w:ascii="楷体_GB2312" w:hAnsi="楷体_GB2312" w:eastAsia="楷体_GB2312" w:cs="楷体_GB2312"/>
          <w:sz w:val="32"/>
          <w:szCs w:val="32"/>
          <w:highlight w:val="none"/>
        </w:rPr>
        <w:t>实施“幸福家园计划”</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lang w:eastAsia="zh-CN"/>
        </w:rPr>
        <w:t>加强统筹谋划，将社区治理“幸福家园计划”与治理类街乡镇、完整社区建设、城市社区嵌入式服务设施建设等工作有机结合，加强资源共享。</w:t>
      </w:r>
      <w:r>
        <w:rPr>
          <w:rFonts w:hint="eastAsia" w:ascii="仿宋_GB2312" w:hAnsi="仿宋_GB2312" w:eastAsia="仿宋_GB2312" w:cs="仿宋_GB2312"/>
          <w:sz w:val="32"/>
          <w:szCs w:val="32"/>
          <w:highlight w:val="none"/>
        </w:rPr>
        <w:t>全面开展社区体检，建立问题、需求、提升“三清单”，重点</w:t>
      </w:r>
      <w:r>
        <w:rPr>
          <w:rFonts w:hint="eastAsia" w:ascii="仿宋_GB2312" w:hAnsi="仿宋_GB2312" w:eastAsia="仿宋_GB2312" w:cs="仿宋_GB2312"/>
          <w:sz w:val="32"/>
          <w:szCs w:val="32"/>
          <w:highlight w:val="none"/>
          <w:lang w:eastAsia="zh-CN"/>
        </w:rPr>
        <w:t>实施队伍能力</w:t>
      </w:r>
      <w:r>
        <w:rPr>
          <w:rFonts w:hint="eastAsia" w:ascii="仿宋_GB2312" w:hAnsi="仿宋_GB2312" w:eastAsia="仿宋_GB2312" w:cs="仿宋_GB2312"/>
          <w:sz w:val="32"/>
          <w:szCs w:val="32"/>
          <w:highlight w:val="none"/>
        </w:rPr>
        <w:t>、暖心服务、多元友好、文化</w:t>
      </w:r>
      <w:r>
        <w:rPr>
          <w:rFonts w:hint="eastAsia" w:ascii="仿宋_GB2312" w:hAnsi="仿宋_GB2312" w:eastAsia="仿宋_GB2312" w:cs="仿宋_GB2312"/>
          <w:sz w:val="32"/>
          <w:szCs w:val="32"/>
          <w:highlight w:val="none"/>
          <w:lang w:eastAsia="zh-CN"/>
        </w:rPr>
        <w:t>润家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环境美化</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基础</w:t>
      </w:r>
      <w:r>
        <w:rPr>
          <w:rFonts w:hint="eastAsia" w:ascii="仿宋_GB2312" w:hAnsi="仿宋_GB2312" w:eastAsia="仿宋_GB2312" w:cs="仿宋_GB2312"/>
          <w:sz w:val="32"/>
          <w:szCs w:val="32"/>
          <w:highlight w:val="none"/>
        </w:rPr>
        <w:t>设施等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六大</w:t>
      </w:r>
      <w:r>
        <w:rPr>
          <w:rFonts w:hint="eastAsia" w:ascii="仿宋_GB2312" w:hAnsi="仿宋_GB2312" w:eastAsia="仿宋_GB2312" w:cs="仿宋_GB2312"/>
          <w:sz w:val="32"/>
          <w:szCs w:val="32"/>
          <w:highlight w:val="none"/>
          <w:lang w:eastAsia="zh-CN"/>
        </w:rPr>
        <w:t>提升</w:t>
      </w:r>
      <w:r>
        <w:rPr>
          <w:rFonts w:hint="eastAsia" w:ascii="仿宋_GB2312" w:hAnsi="仿宋_GB2312" w:eastAsia="仿宋_GB2312" w:cs="仿宋_GB2312"/>
          <w:sz w:val="32"/>
          <w:szCs w:val="32"/>
          <w:highlight w:val="none"/>
        </w:rPr>
        <w:t>行动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，补齐公共服务短板，完善社区治理体系。</w:t>
      </w:r>
    </w:p>
    <w:p w14:paraId="6CD6B18E">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29" w:name="_Toc1304661336"/>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完善基层协商议事机制</w:t>
      </w:r>
      <w:bookmarkEnd w:id="29"/>
    </w:p>
    <w:p w14:paraId="1DD299DA">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构建多层级协商议事体系</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立足北京城市副中心组团式发展、城乡融合治理特色，构建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街</w:t>
      </w:r>
      <w:r>
        <w:rPr>
          <w:rFonts w:hint="eastAsia" w:ascii="仿宋_GB2312" w:hAnsi="仿宋_GB2312" w:eastAsia="仿宋_GB2312" w:cs="仿宋_GB2312"/>
          <w:sz w:val="32"/>
          <w:szCs w:val="32"/>
          <w:highlight w:val="none"/>
          <w:lang w:eastAsia="zh-CN"/>
        </w:rPr>
        <w:t>乡镇</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社区村</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单元</w:t>
      </w:r>
      <w:r>
        <w:rPr>
          <w:rFonts w:hint="eastAsia" w:ascii="仿宋_GB2312" w:hAnsi="仿宋_GB2312" w:eastAsia="仿宋_GB2312" w:cs="仿宋_GB2312"/>
          <w:sz w:val="32"/>
          <w:szCs w:val="32"/>
          <w:highlight w:val="none"/>
        </w:rPr>
        <w:t>网格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四级协商议事体系，将协商机制融入基层治理全领域、全过程。强化街</w:t>
      </w:r>
      <w:r>
        <w:rPr>
          <w:rFonts w:hint="eastAsia" w:ascii="仿宋_GB2312" w:hAnsi="仿宋_GB2312" w:eastAsia="仿宋_GB2312" w:cs="仿宋_GB2312"/>
          <w:sz w:val="32"/>
          <w:szCs w:val="32"/>
          <w:highlight w:val="none"/>
          <w:lang w:eastAsia="zh-CN"/>
        </w:rPr>
        <w:t>乡镇</w:t>
      </w:r>
      <w:r>
        <w:rPr>
          <w:rFonts w:hint="eastAsia" w:ascii="仿宋_GB2312" w:hAnsi="仿宋_GB2312" w:eastAsia="仿宋_GB2312" w:cs="仿宋_GB2312"/>
          <w:sz w:val="32"/>
          <w:szCs w:val="32"/>
          <w:highlight w:val="none"/>
        </w:rPr>
        <w:t>党（工）委统筹引领，健全驻区单位、人大代表、政协委员、新就业群体、村（居）民代表共同参与的联席协商机制，聚焦基层公共事务和公益事业开展常态化、制度化协商。</w:t>
      </w:r>
    </w:p>
    <w:p w14:paraId="3C1FFA34">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推进协商议事规范化标准化</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健全基层协商议事全流程制度规范，明确议题征集、组织实施、民主表决、结果公示、跟踪问效等核心环节标准，推动协商议事规范化运行。创新协商议事形式，形成一批贴合</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治理实际的基层协商示范点位。严格落实城乡社区协商议事操作规范，加强对撤村建居社区、新建组团社区协商工作的指导，推动城乡协商标准统一、流程同质、效能同步。</w:t>
      </w:r>
    </w:p>
    <w:p w14:paraId="0B8C5B58">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强化协商成果落地转化</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建立健全协商事项台账管理、销号落实、群众评议机制，对居民议定的民生事项、治理难点实行全程跟踪、限时办结、动态公示，主动接受群众监督评价。紧扣北京城市副中心基层治理重点，创新协商成果运用场景，打造协商成果展示与实践平台，推动协商成效深度融入基层治理</w:t>
      </w:r>
      <w:r>
        <w:rPr>
          <w:rFonts w:hint="eastAsia" w:ascii="仿宋_GB2312" w:hAnsi="仿宋_GB2312" w:eastAsia="仿宋_GB2312" w:cs="仿宋_GB2312"/>
          <w:sz w:val="32"/>
          <w:szCs w:val="32"/>
          <w:highlight w:val="none"/>
          <w:lang w:eastAsia="zh-CN"/>
        </w:rPr>
        <w:t>重要</w:t>
      </w:r>
      <w:r>
        <w:rPr>
          <w:rFonts w:hint="eastAsia" w:ascii="仿宋_GB2312" w:hAnsi="仿宋_GB2312" w:eastAsia="仿宋_GB2312" w:cs="仿宋_GB2312"/>
          <w:sz w:val="32"/>
          <w:szCs w:val="32"/>
          <w:highlight w:val="none"/>
        </w:rPr>
        <w:t>环节。</w:t>
      </w:r>
    </w:p>
    <w:p w14:paraId="14CA929C">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30" w:name="_Toc1635038282"/>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拓宽群众参与治理渠道</w:t>
      </w:r>
      <w:bookmarkEnd w:id="30"/>
    </w:p>
    <w:p w14:paraId="6A000015">
      <w:pPr>
        <w:pStyle w:val="24"/>
        <w:keepNext w:val="0"/>
        <w:keepLines w:val="0"/>
        <w:pageBreakBefore w:val="0"/>
        <w:widowControl w:val="0"/>
        <w:kinsoku/>
        <w:wordWrap/>
        <w:overflowPunct w:val="0"/>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highlight w:val="none"/>
        </w:rPr>
      </w:pPr>
      <w:bookmarkStart w:id="31" w:name="OLE_LINK17"/>
      <w:r>
        <w:rPr>
          <w:rFonts w:hint="eastAsia" w:ascii="楷体_GB2312" w:hAnsi="楷体_GB2312" w:eastAsia="楷体_GB2312" w:cs="楷体_GB2312"/>
          <w:sz w:val="32"/>
          <w:szCs w:val="32"/>
          <w:highlight w:val="none"/>
        </w:rPr>
        <w:t>健全“副中心有我”社会动员体系</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擦亮“副中心有我”社会治理品牌，健全统筹协调、多方联动社会动员机制。推进自治动员，打造居民会客厅等社区服务空间，以议事积分兑换服务、银发议事会、社区小主人等创新模式拓展不同群体参与路径。进一步健全街乡镇、职能部门、企事业单位等联动机制，力争形成一批基层融合共治的示范案例。推动“双报到”制度化、常态化，以党内动员引领社会动员。加强“副中心有我”社会动员平台数字化建设，依托区级社会治理大脑数据支撑，搭建需求归集、资源对接、服务派单、积分激励一体化线上场景，全面提升社会动员精细化、智能化水平。推动社会动员与基层治理深度融合，引导动员力量</w:t>
      </w:r>
      <w:r>
        <w:rPr>
          <w:rFonts w:hint="eastAsia" w:ascii="仿宋_GB2312" w:hAnsi="仿宋_GB2312" w:eastAsia="仿宋_GB2312" w:cs="仿宋_GB2312"/>
          <w:sz w:val="32"/>
          <w:szCs w:val="32"/>
          <w:highlight w:val="none"/>
          <w:lang w:eastAsia="zh-CN"/>
        </w:rPr>
        <w:t>持续下沉，</w:t>
      </w:r>
      <w:r>
        <w:rPr>
          <w:rFonts w:hint="eastAsia" w:ascii="仿宋_GB2312" w:hAnsi="仿宋_GB2312" w:eastAsia="仿宋_GB2312" w:cs="仿宋_GB2312"/>
          <w:sz w:val="32"/>
          <w:szCs w:val="32"/>
          <w:highlight w:val="none"/>
        </w:rPr>
        <w:t>实现社会动员全域覆盖和精准对接。</w:t>
      </w:r>
    </w:p>
    <w:bookmarkEnd w:id="31"/>
    <w:p w14:paraId="09F0337A">
      <w:pPr>
        <w:pStyle w:val="24"/>
        <w:keepNext w:val="0"/>
        <w:keepLines w:val="0"/>
        <w:pageBreakBefore w:val="0"/>
        <w:widowControl w:val="0"/>
        <w:kinsoku/>
        <w:wordWrap/>
        <w:overflowPunct w:val="0"/>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深化社区治理多元参与机制</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坚持党建引领，构建党组织统一领导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社区居委会、社区服务站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业委会（物管会）、物业服务企业、社会组织、社会工作者和志愿者广泛参与的多元协同治理格局。探索民生民意立项机制，聚焦群众急难愁盼，拓宽群众议事协商、监督评价的制度化渠道。健全驻区单位共建共享、双向服务机制，推动场地资源、服务资源、治理资源向基层下沉，引导市场主体、新业态新就业群体等主动融入社区公共事务。优化社区服务设施空间综合利用，推动社区服务多元参与。</w:t>
      </w:r>
    </w:p>
    <w:p w14:paraId="3FA0F216">
      <w:pPr>
        <w:pStyle w:val="24"/>
        <w:keepNext w:val="0"/>
        <w:keepLines w:val="0"/>
        <w:pageBreakBefore w:val="0"/>
        <w:widowControl w:val="0"/>
        <w:kinsoku/>
        <w:wordWrap/>
        <w:overflowPunct w:val="0"/>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完善社会组织培育与参与路径</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lang w:eastAsia="zh-CN"/>
        </w:rPr>
        <w:t>支持社会组织发展，充分发挥社会组织在参与社区治理、开展社区服务、繁荣社区文化、促进社区和谐等方面的作用。</w:t>
      </w:r>
      <w:r>
        <w:rPr>
          <w:rFonts w:hint="eastAsia" w:ascii="仿宋_GB2312" w:hAnsi="仿宋_GB2312" w:eastAsia="仿宋_GB2312" w:cs="仿宋_GB2312"/>
          <w:sz w:val="32"/>
          <w:szCs w:val="32"/>
          <w:highlight w:val="none"/>
        </w:rPr>
        <w:t>健全社会组织全生命周期管理体系，强化登记管理、业务主管、行业监管协同联动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聚焦</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民生服务、基层治理、公益慈善等领域培育优质社会组织，形成政社分开、权责明确、依法自治的现代社会组织体制。完善政府购买社会服务机制，引导社会组织入驻家园中心、服务撤村建居区域，承接公共服务、矛盾调解、文体活动等社会治理事项。</w:t>
      </w:r>
    </w:p>
    <w:p w14:paraId="50B0FEBF">
      <w:pPr>
        <w:pStyle w:val="24"/>
        <w:keepNext w:val="0"/>
        <w:keepLines w:val="0"/>
        <w:pageBreakBefore w:val="0"/>
        <w:widowControl w:val="0"/>
        <w:kinsoku/>
        <w:wordWrap/>
        <w:overflowPunct w:val="0"/>
        <w:topLinePunct w:val="0"/>
        <w:autoSpaceDE/>
        <w:autoSpaceDN/>
        <w:bidi w:val="0"/>
        <w:adjustRightInd/>
        <w:snapToGrid/>
        <w:spacing w:before="313" w:beforeLines="100" w:after="313" w:afterLines="100" w:line="560" w:lineRule="exact"/>
        <w:ind w:firstLine="0" w:firstLineChars="0"/>
        <w:jc w:val="center"/>
        <w:textAlignment w:val="auto"/>
        <w:outlineLvl w:val="0"/>
        <w:rPr>
          <w:rFonts w:hint="eastAsia" w:ascii="黑体" w:hAnsi="黑体" w:eastAsia="黑体"/>
          <w:sz w:val="32"/>
          <w:szCs w:val="32"/>
          <w:highlight w:val="none"/>
        </w:rPr>
      </w:pPr>
      <w:bookmarkStart w:id="32" w:name="_Toc887658562"/>
      <w:r>
        <w:rPr>
          <w:rFonts w:hint="eastAsia" w:ascii="黑体" w:hAnsi="黑体" w:eastAsia="黑体"/>
          <w:sz w:val="32"/>
          <w:szCs w:val="32"/>
          <w:highlight w:val="none"/>
        </w:rPr>
        <w:t>第五章  夯实社会治理法治根基</w:t>
      </w:r>
      <w:bookmarkEnd w:id="32"/>
    </w:p>
    <w:p w14:paraId="321C9D1B">
      <w:pPr>
        <w:pStyle w:val="24"/>
        <w:keepNext w:val="0"/>
        <w:keepLines w:val="0"/>
        <w:pageBreakBefore w:val="0"/>
        <w:widowControl w:val="0"/>
        <w:kinsoku/>
        <w:wordWrap/>
        <w:overflowPunct w:val="0"/>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法治是高效能社会治理的制度基石，为高效能社会治理提供稳定、公正、可预期的运行框架。“十五五”时期，</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法治贯穿社会治理全过程、各领域，为</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高效能社会治理筑牢法治屏障。</w:t>
      </w:r>
    </w:p>
    <w:p w14:paraId="41A312A3">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33" w:name="_Toc308555825"/>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深化依法治理体系</w:t>
      </w:r>
      <w:bookmarkEnd w:id="33"/>
    </w:p>
    <w:p w14:paraId="45952C9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ascii="仿宋" w:hAnsi="仿宋" w:eastAsia="仿宋"/>
          <w:sz w:val="32"/>
          <w:szCs w:val="32"/>
          <w:highlight w:val="none"/>
        </w:rPr>
      </w:pPr>
      <w:r>
        <w:rPr>
          <w:rFonts w:hint="eastAsia" w:ascii="楷体_GB2312" w:hAnsi="楷体_GB2312" w:eastAsia="楷体_GB2312" w:cs="楷体_GB2312"/>
          <w:sz w:val="32"/>
          <w:szCs w:val="32"/>
          <w:highlight w:val="none"/>
        </w:rPr>
        <w:t>提升依法行政水平</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lang w:eastAsia="zh-CN"/>
        </w:rPr>
        <w:t>持续</w:t>
      </w:r>
      <w:r>
        <w:rPr>
          <w:rFonts w:hint="eastAsia" w:ascii="仿宋_GB2312" w:hAnsi="仿宋_GB2312" w:eastAsia="仿宋_GB2312" w:cs="仿宋_GB2312"/>
          <w:sz w:val="32"/>
          <w:szCs w:val="32"/>
          <w:highlight w:val="none"/>
        </w:rPr>
        <w:t>推进社会治理法治化，</w:t>
      </w:r>
      <w:r>
        <w:rPr>
          <w:rFonts w:hint="eastAsia" w:ascii="仿宋_GB2312" w:hAnsi="仿宋_GB2312" w:eastAsia="仿宋_GB2312" w:cs="仿宋_GB2312"/>
          <w:sz w:val="32"/>
          <w:szCs w:val="32"/>
          <w:highlight w:val="none"/>
          <w:lang w:eastAsia="zh-CN"/>
        </w:rPr>
        <w:t>坚持</w:t>
      </w:r>
      <w:r>
        <w:rPr>
          <w:rFonts w:hint="eastAsia" w:ascii="仿宋_GB2312" w:hAnsi="仿宋_GB2312" w:eastAsia="仿宋_GB2312" w:cs="仿宋_GB2312"/>
          <w:sz w:val="32"/>
          <w:szCs w:val="32"/>
          <w:highlight w:val="none"/>
        </w:rPr>
        <w:t>依法办事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以法律法规和政策为尺度处理问题、化解矛盾，推动形成遇事找法、解决问题用法、化解矛盾靠法的良好环境。</w:t>
      </w:r>
      <w:r>
        <w:rPr>
          <w:rFonts w:hint="eastAsia" w:ascii="仿宋_GB2312" w:hAnsi="仿宋_GB2312" w:eastAsia="仿宋_GB2312" w:cs="仿宋_GB2312"/>
          <w:sz w:val="32"/>
          <w:szCs w:val="32"/>
          <w:highlight w:val="none"/>
          <w:lang w:eastAsia="zh-CN"/>
        </w:rPr>
        <w:t>定期</w:t>
      </w:r>
      <w:r>
        <w:rPr>
          <w:rFonts w:hint="eastAsia" w:ascii="仿宋_GB2312" w:hAnsi="仿宋_GB2312" w:eastAsia="仿宋_GB2312" w:cs="仿宋_GB2312"/>
          <w:sz w:val="32"/>
          <w:szCs w:val="32"/>
          <w:highlight w:val="none"/>
        </w:rPr>
        <w:t>开展规范性文件清理，动态优化政策供给。实施</w:t>
      </w:r>
      <w:r>
        <w:rPr>
          <w:rFonts w:hint="eastAsia" w:ascii="仿宋_GB2312" w:hAnsi="仿宋_GB2312" w:eastAsia="仿宋_GB2312" w:cs="仿宋_GB2312"/>
          <w:color w:val="auto"/>
          <w:sz w:val="32"/>
          <w:szCs w:val="32"/>
          <w:highlight w:val="none"/>
        </w:rPr>
        <w:t>领导干部法治能力提升工程</w:t>
      </w:r>
      <w:r>
        <w:rPr>
          <w:rFonts w:hint="eastAsia" w:ascii="仿宋_GB2312" w:hAnsi="仿宋_GB2312" w:eastAsia="仿宋_GB2312" w:cs="仿宋_GB2312"/>
          <w:sz w:val="32"/>
          <w:szCs w:val="32"/>
          <w:highlight w:val="none"/>
        </w:rPr>
        <w:t>，分层分类开展法治思维与执法实务培训。</w:t>
      </w:r>
      <w:r>
        <w:rPr>
          <w:rFonts w:hint="eastAsia" w:ascii="仿宋_GB2312" w:hAnsi="仿宋_GB2312" w:eastAsia="仿宋_GB2312" w:cs="仿宋_GB2312"/>
          <w:sz w:val="32"/>
          <w:szCs w:val="32"/>
          <w:highlight w:val="none"/>
          <w:lang w:eastAsia="zh-CN"/>
        </w:rPr>
        <w:t>深化</w:t>
      </w:r>
      <w:r>
        <w:rPr>
          <w:rFonts w:hint="eastAsia" w:ascii="仿宋_GB2312" w:hAnsi="仿宋_GB2312" w:eastAsia="仿宋_GB2312" w:cs="仿宋_GB2312"/>
          <w:sz w:val="32"/>
          <w:szCs w:val="32"/>
          <w:highlight w:val="none"/>
        </w:rPr>
        <w:t>政务信息公开</w:t>
      </w:r>
      <w:r>
        <w:rPr>
          <w:rFonts w:hint="eastAsia" w:ascii="仿宋_GB2312" w:hAnsi="仿宋_GB2312" w:eastAsia="仿宋_GB2312" w:cs="仿宋_GB2312"/>
          <w:sz w:val="32"/>
          <w:szCs w:val="32"/>
          <w:highlight w:val="none"/>
          <w:lang w:eastAsia="zh-CN"/>
        </w:rPr>
        <w:t>制度</w:t>
      </w:r>
      <w:r>
        <w:rPr>
          <w:rFonts w:hint="eastAsia" w:ascii="仿宋_GB2312" w:hAnsi="仿宋_GB2312" w:eastAsia="仿宋_GB2312" w:cs="仿宋_GB2312"/>
          <w:sz w:val="32"/>
          <w:szCs w:val="32"/>
          <w:highlight w:val="none"/>
        </w:rPr>
        <w:t>，主动接受社会监督，全面提升依法行政规范化水平。</w:t>
      </w:r>
    </w:p>
    <w:p w14:paraId="2F44825A">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加强基层综合执法规范化建设</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精准衔接职权下放与街乡镇治理需求，</w:t>
      </w:r>
      <w:r>
        <w:rPr>
          <w:rFonts w:hint="eastAsia" w:ascii="仿宋_GB2312" w:hAnsi="仿宋_GB2312" w:eastAsia="仿宋_GB2312" w:cs="仿宋_GB2312"/>
          <w:color w:val="auto"/>
          <w:sz w:val="32"/>
          <w:szCs w:val="32"/>
          <w:highlight w:val="none"/>
        </w:rPr>
        <w:t>推动</w:t>
      </w:r>
      <w:r>
        <w:rPr>
          <w:rFonts w:hint="eastAsia" w:ascii="仿宋_GB2312" w:hAnsi="仿宋_GB2312" w:eastAsia="仿宋_GB2312" w:cs="仿宋_GB2312"/>
          <w:color w:val="auto"/>
          <w:sz w:val="32"/>
          <w:szCs w:val="32"/>
          <w:highlight w:val="none"/>
          <w:lang w:eastAsia="zh-CN"/>
        </w:rPr>
        <w:t>城市管理</w:t>
      </w:r>
      <w:r>
        <w:rPr>
          <w:rFonts w:hint="eastAsia" w:ascii="仿宋_GB2312" w:hAnsi="仿宋_GB2312" w:eastAsia="仿宋_GB2312" w:cs="仿宋_GB2312"/>
          <w:color w:val="auto"/>
          <w:sz w:val="32"/>
          <w:szCs w:val="32"/>
          <w:highlight w:val="none"/>
        </w:rPr>
        <w:t>、生态环境、卫生健康等执法力量融入城乡治理</w:t>
      </w:r>
      <w:r>
        <w:rPr>
          <w:rFonts w:hint="eastAsia" w:ascii="仿宋_GB2312" w:hAnsi="仿宋_GB2312" w:eastAsia="仿宋_GB2312" w:cs="仿宋_GB2312"/>
          <w:sz w:val="32"/>
          <w:szCs w:val="32"/>
          <w:highlight w:val="none"/>
        </w:rPr>
        <w:t>。压实街乡镇综合执法主体责任，建立民生领域高频问题快速响应机制。配齐配强基层执法队伍，规范案件移送、联合执</w:t>
      </w:r>
      <w:r>
        <w:rPr>
          <w:rFonts w:hint="eastAsia" w:ascii="仿宋_GB2312" w:hAnsi="仿宋_GB2312" w:eastAsia="仿宋_GB2312" w:cs="仿宋_GB2312"/>
          <w:color w:val="auto"/>
          <w:sz w:val="32"/>
          <w:szCs w:val="32"/>
          <w:highlight w:val="none"/>
        </w:rPr>
        <w:t>法流程，构建权责清晰、运转高效的基层综合执法体系</w:t>
      </w:r>
      <w:r>
        <w:rPr>
          <w:rFonts w:hint="eastAsia" w:ascii="仿宋_GB2312" w:hAnsi="仿宋_GB2312" w:eastAsia="仿宋_GB2312" w:cs="仿宋_GB2312"/>
          <w:sz w:val="32"/>
          <w:szCs w:val="32"/>
          <w:highlight w:val="none"/>
        </w:rPr>
        <w:t>。</w:t>
      </w:r>
    </w:p>
    <w:p w14:paraId="244942EE">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34" w:name="_Toc1872226917"/>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完善公共法律服务</w:t>
      </w:r>
      <w:bookmarkEnd w:id="34"/>
    </w:p>
    <w:p w14:paraId="6653DF8A">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健全全域公共法律服务网络</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统筹推进公共法律服务实体、</w:t>
      </w:r>
      <w:r>
        <w:rPr>
          <w:rFonts w:hint="eastAsia" w:ascii="仿宋_GB2312" w:hAnsi="仿宋_GB2312" w:eastAsia="仿宋_GB2312" w:cs="仿宋_GB2312"/>
          <w:sz w:val="32"/>
          <w:szCs w:val="32"/>
          <w:highlight w:val="none"/>
          <w:lang w:eastAsia="zh-CN"/>
        </w:rPr>
        <w:t>网络、</w:t>
      </w:r>
      <w:r>
        <w:rPr>
          <w:rFonts w:hint="eastAsia" w:ascii="仿宋_GB2312" w:hAnsi="仿宋_GB2312" w:eastAsia="仿宋_GB2312" w:cs="仿宋_GB2312"/>
          <w:sz w:val="32"/>
          <w:szCs w:val="32"/>
          <w:highlight w:val="none"/>
        </w:rPr>
        <w:t>热线三大平台建设，实现城乡服务全覆盖。</w:t>
      </w:r>
      <w:r>
        <w:rPr>
          <w:rFonts w:hint="eastAsia" w:ascii="仿宋_GB2312" w:hAnsi="仿宋_GB2312" w:eastAsia="仿宋_GB2312" w:cs="仿宋_GB2312"/>
          <w:sz w:val="32"/>
          <w:szCs w:val="32"/>
          <w:highlight w:val="none"/>
          <w:lang w:eastAsia="zh-CN"/>
        </w:rPr>
        <w:t>定期开展</w:t>
      </w:r>
      <w:r>
        <w:rPr>
          <w:rFonts w:hint="eastAsia" w:ascii="仿宋_GB2312" w:hAnsi="仿宋_GB2312" w:eastAsia="仿宋_GB2312" w:cs="仿宋_GB2312"/>
          <w:sz w:val="32"/>
          <w:szCs w:val="32"/>
          <w:highlight w:val="none"/>
        </w:rPr>
        <w:t>公共法律服务专项维权活动，</w:t>
      </w:r>
      <w:r>
        <w:rPr>
          <w:rFonts w:hint="eastAsia" w:ascii="仿宋_GB2312" w:hAnsi="仿宋_GB2312" w:eastAsia="仿宋_GB2312" w:cs="仿宋_GB2312"/>
          <w:sz w:val="32"/>
          <w:szCs w:val="32"/>
          <w:highlight w:val="none"/>
          <w:lang w:eastAsia="zh-CN"/>
        </w:rPr>
        <w:t>通过</w:t>
      </w:r>
      <w:r>
        <w:rPr>
          <w:rFonts w:hint="eastAsia" w:ascii="仿宋_GB2312" w:hAnsi="仿宋_GB2312" w:eastAsia="仿宋_GB2312" w:cs="仿宋_GB2312"/>
          <w:sz w:val="32"/>
          <w:szCs w:val="32"/>
          <w:highlight w:val="none"/>
        </w:rPr>
        <w:t>座谈访谈、以案释法等线上线下法治宣传活动</w:t>
      </w:r>
      <w:r>
        <w:rPr>
          <w:rFonts w:hint="eastAsia" w:ascii="仿宋_GB2312" w:hAnsi="仿宋_GB2312" w:eastAsia="仿宋_GB2312" w:cs="仿宋_GB2312"/>
          <w:sz w:val="32"/>
          <w:szCs w:val="32"/>
          <w:highlight w:val="none"/>
          <w:lang w:eastAsia="zh-CN"/>
        </w:rPr>
        <w:t>，为企业、群众</w:t>
      </w:r>
      <w:r>
        <w:rPr>
          <w:rFonts w:hint="eastAsia" w:ascii="仿宋_GB2312" w:hAnsi="仿宋_GB2312" w:eastAsia="仿宋_GB2312" w:cs="仿宋_GB2312"/>
          <w:sz w:val="32"/>
          <w:szCs w:val="32"/>
          <w:highlight w:val="none"/>
          <w:lang w:val="en-US" w:eastAsia="zh-CN"/>
        </w:rPr>
        <w:t>提供公证、法律咨询、法律援助等精准服务</w:t>
      </w:r>
      <w:r>
        <w:rPr>
          <w:rFonts w:hint="eastAsia" w:ascii="仿宋_GB2312" w:hAnsi="仿宋_GB2312" w:eastAsia="仿宋_GB2312" w:cs="仿宋_GB2312"/>
          <w:sz w:val="32"/>
          <w:szCs w:val="32"/>
          <w:highlight w:val="none"/>
        </w:rPr>
        <w:t>，不断提升</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百姓的获得感、幸福感、满意度。</w:t>
      </w:r>
    </w:p>
    <w:p w14:paraId="7F0E965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rPr>
        <w:t>构建社会心理服务体系</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健全社会心态监测、风险研判、预警干预机制，聚焦特殊群体、矛盾高发人群开展心理疏导与帮扶，强化法律援助与心理关怀协同。引导社会力量参与社会心理服务，培育自尊自信、理性平和的社会心态</w:t>
      </w:r>
      <w:r>
        <w:rPr>
          <w:rFonts w:hint="eastAsia" w:ascii="仿宋_GB2312" w:hAnsi="仿宋_GB2312" w:eastAsia="仿宋_GB2312" w:cs="仿宋_GB2312"/>
          <w:sz w:val="32"/>
          <w:szCs w:val="32"/>
          <w:highlight w:val="none"/>
          <w:lang w:eastAsia="zh-CN"/>
        </w:rPr>
        <w:t>。</w:t>
      </w:r>
    </w:p>
    <w:p w14:paraId="465814BF">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深化法治人才队伍培育</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color w:val="auto"/>
          <w:sz w:val="32"/>
          <w:szCs w:val="32"/>
          <w:highlight w:val="none"/>
        </w:rPr>
        <w:t>推动社区、村居、企事业单位、商务园区、</w:t>
      </w:r>
      <w:r>
        <w:rPr>
          <w:rFonts w:hint="eastAsia" w:ascii="仿宋_GB2312" w:hAnsi="仿宋_GB2312" w:eastAsia="仿宋_GB2312" w:cs="仿宋_GB2312"/>
          <w:color w:val="auto"/>
          <w:sz w:val="32"/>
          <w:szCs w:val="32"/>
          <w:highlight w:val="none"/>
          <w:lang w:val="en-US" w:eastAsia="zh-CN"/>
        </w:rPr>
        <w:t>新就业</w:t>
      </w:r>
      <w:r>
        <w:rPr>
          <w:rFonts w:hint="eastAsia" w:ascii="仿宋_GB2312" w:hAnsi="仿宋_GB2312" w:eastAsia="仿宋_GB2312" w:cs="仿宋_GB2312"/>
          <w:color w:val="auto"/>
          <w:sz w:val="32"/>
          <w:szCs w:val="32"/>
          <w:highlight w:val="none"/>
        </w:rPr>
        <w:t>群体领域“法律明白人”培养管理，持续壮大法治带头人队伍</w:t>
      </w:r>
      <w:r>
        <w:rPr>
          <w:rFonts w:hint="eastAsia" w:ascii="仿宋_GB2312" w:hAnsi="仿宋_GB2312" w:eastAsia="仿宋_GB2312" w:cs="仿宋_GB2312"/>
          <w:sz w:val="32"/>
          <w:szCs w:val="32"/>
          <w:highlight w:val="none"/>
        </w:rPr>
        <w:t>。统筹公安、检察、法院、律师等专业力量与群防群治资源，组建普法志愿服务队，依托“副中心有我”品牌打造</w:t>
      </w:r>
      <w:r>
        <w:rPr>
          <w:rFonts w:hint="eastAsia" w:ascii="仿宋_GB2312" w:hAnsi="仿宋_GB2312" w:eastAsia="仿宋_GB2312" w:cs="仿宋_GB2312"/>
          <w:color w:val="auto"/>
          <w:sz w:val="32"/>
          <w:szCs w:val="32"/>
          <w:highlight w:val="none"/>
        </w:rPr>
        <w:t>法治护航特色项目</w:t>
      </w:r>
      <w:r>
        <w:rPr>
          <w:rFonts w:hint="eastAsia" w:ascii="仿宋_GB2312" w:hAnsi="仿宋_GB2312" w:eastAsia="仿宋_GB2312" w:cs="仿宋_GB2312"/>
          <w:sz w:val="32"/>
          <w:szCs w:val="32"/>
          <w:highlight w:val="none"/>
        </w:rPr>
        <w:t>，健全部门协同普法机制。</w:t>
      </w:r>
    </w:p>
    <w:p w14:paraId="6067AC4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35" w:name="_Toc1587398175"/>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健全法治宣传体系</w:t>
      </w:r>
      <w:bookmarkEnd w:id="35"/>
    </w:p>
    <w:p w14:paraId="2944823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ascii="仿宋" w:hAnsi="仿宋" w:eastAsia="仿宋"/>
          <w:sz w:val="32"/>
          <w:szCs w:val="32"/>
          <w:highlight w:val="none"/>
        </w:rPr>
      </w:pPr>
      <w:r>
        <w:rPr>
          <w:rFonts w:hint="eastAsia" w:ascii="楷体_GB2312" w:hAnsi="楷体_GB2312" w:eastAsia="楷体_GB2312" w:cs="楷体_GB2312"/>
          <w:sz w:val="32"/>
          <w:szCs w:val="32"/>
          <w:highlight w:val="none"/>
        </w:rPr>
        <w:t>开展精准普法宣传。</w:t>
      </w:r>
      <w:r>
        <w:rPr>
          <w:rFonts w:hint="eastAsia" w:ascii="仿宋_GB2312" w:hAnsi="仿宋_GB2312" w:eastAsia="仿宋_GB2312" w:cs="仿宋_GB2312"/>
          <w:sz w:val="32"/>
          <w:szCs w:val="32"/>
          <w:highlight w:val="none"/>
        </w:rPr>
        <w:t>紧扣城市发展定位，深入开展宪法、民法典、国家安全法等主题普法宣传。聚焦重点行业、在校师生、城乡居民等群体精准宣教，将普法融入矛盾纠纷预防化解全过程。推动法治理念融入村规民约、居民公约，增强全民法治观念。</w:t>
      </w:r>
    </w:p>
    <w:p w14:paraId="02CEB849">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打造法治文化宣传阵地。</w:t>
      </w:r>
      <w:r>
        <w:rPr>
          <w:rFonts w:hint="eastAsia" w:ascii="仿宋_GB2312" w:hAnsi="仿宋_GB2312" w:eastAsia="仿宋_GB2312" w:cs="仿宋_GB2312"/>
          <w:sz w:val="32"/>
          <w:szCs w:val="32"/>
          <w:highlight w:val="none"/>
        </w:rPr>
        <w:t>深化</w:t>
      </w:r>
      <w:r>
        <w:rPr>
          <w:rFonts w:hint="eastAsia" w:ascii="仿宋_GB2312" w:hAnsi="仿宋_GB2312" w:eastAsia="仿宋_GB2312" w:cs="仿宋_GB2312"/>
          <w:sz w:val="32"/>
          <w:szCs w:val="32"/>
          <w:highlight w:val="none"/>
          <w:lang w:val="en-US" w:eastAsia="zh-CN"/>
        </w:rPr>
        <w:t>民主法治示范村(社区)</w:t>
      </w:r>
      <w:r>
        <w:rPr>
          <w:rFonts w:hint="eastAsia" w:ascii="仿宋_GB2312" w:hAnsi="仿宋_GB2312" w:eastAsia="仿宋_GB2312" w:cs="仿宋_GB2312"/>
          <w:sz w:val="32"/>
          <w:szCs w:val="32"/>
          <w:highlight w:val="none"/>
        </w:rPr>
        <w:t>创建，将法治元素嵌入15分钟社区生活圈。布局商圈、行业协会普法驿站，搭建政法单位、行业、社会协同普法渠道。加强未成年人法治教育，运用新媒体平台提升普法传播力、覆盖面，构建全方位法治宣传矩阵。</w:t>
      </w:r>
    </w:p>
    <w:p w14:paraId="06798FDA">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outlineLvl w:val="1"/>
        <w:rPr>
          <w:rFonts w:ascii="黑体" w:hAnsi="黑体" w:eastAsia="黑体" w:cs="黑体"/>
          <w:sz w:val="32"/>
          <w:szCs w:val="32"/>
          <w:highlight w:val="none"/>
        </w:rPr>
      </w:pPr>
      <w:bookmarkStart w:id="36" w:name="_Toc1211780544"/>
      <w:r>
        <w:rPr>
          <w:rFonts w:hint="eastAsia" w:ascii="黑体" w:hAnsi="黑体" w:eastAsia="黑体" w:cs="黑体"/>
          <w:sz w:val="32"/>
          <w:szCs w:val="32"/>
          <w:highlight w:val="none"/>
        </w:rPr>
        <w:t>四、健全一站式矛盾纠纷化解体系</w:t>
      </w:r>
      <w:bookmarkEnd w:id="36"/>
    </w:p>
    <w:p w14:paraId="399482AF">
      <w:pPr>
        <w:pStyle w:val="10"/>
        <w:keepNext w:val="0"/>
        <w:keepLines w:val="0"/>
        <w:pageBreakBefore w:val="0"/>
        <w:widowControl w:val="0"/>
        <w:kinsoku/>
        <w:wordWrap/>
        <w:overflowPunct w:val="0"/>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14:ligatures w14:val="standardContextual"/>
        </w:rPr>
      </w:pPr>
      <w:r>
        <w:rPr>
          <w:rFonts w:hint="eastAsia" w:ascii="楷体_GB2312" w:hAnsi="楷体_GB2312" w:eastAsia="楷体_GB2312" w:cs="楷体_GB2312"/>
          <w:sz w:val="32"/>
          <w:szCs w:val="32"/>
          <w:highlight w:val="none"/>
        </w:rPr>
        <w:t>加强一核多元综治中心建设。</w:t>
      </w:r>
      <w:r>
        <w:rPr>
          <w:rFonts w:hint="eastAsia" w:ascii="仿宋_GB2312" w:hAnsi="仿宋_GB2312" w:eastAsia="仿宋_GB2312" w:cs="仿宋_GB2312"/>
          <w:sz w:val="32"/>
          <w:szCs w:val="32"/>
          <w:highlight w:val="none"/>
          <w14:ligatures w14:val="standardContextual"/>
        </w:rPr>
        <w:t>加强综治中心规范化建设。整合信访、人社、住建、市场监管等职能部门及政法单位资源，规范化建设区、乡镇（街道）、村（社区）三级综治中心，努力实现群众矛盾纠纷“只跑一地”。持续构建“综治中心负责程序性推进、办理部门负责实质性解决”的工作体系。</w:t>
      </w:r>
    </w:p>
    <w:p w14:paraId="6C849989">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ascii="仿宋" w:hAnsi="仿宋" w:eastAsia="仿宋"/>
          <w:sz w:val="32"/>
          <w:szCs w:val="32"/>
          <w:highlight w:val="none"/>
        </w:rPr>
      </w:pPr>
      <w:r>
        <w:rPr>
          <w:rFonts w:hint="eastAsia" w:ascii="楷体_GB2312" w:hAnsi="楷体_GB2312" w:eastAsia="楷体_GB2312" w:cs="楷体_GB2312"/>
          <w:sz w:val="32"/>
          <w:szCs w:val="32"/>
          <w:highlight w:val="none"/>
        </w:rPr>
        <w:t>深化矛盾纠纷排查化解体系建设。</w:t>
      </w:r>
      <w:r>
        <w:rPr>
          <w:rFonts w:hint="eastAsia" w:ascii="仿宋_GB2312" w:hAnsi="仿宋_GB2312" w:eastAsia="仿宋_GB2312" w:cs="仿宋_GB2312"/>
          <w:sz w:val="32"/>
          <w:szCs w:val="32"/>
          <w:highlight w:val="none"/>
        </w:rPr>
        <w:t>坚持和发展新时代“枫桥经验”，完善人民调解、行政调解、司法调解联动工作体系，加强预防、调解、稳控的联动。培育行业性专业性调解组织，建强专兼职调解员队伍。推进信访工作法治化，建立健全调解和解机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强化“接诉即办”与信访工作联动，优化信访受理、督办、闭环处置机制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全面提升矛盾纠纷排查调处效能。</w:t>
      </w:r>
    </w:p>
    <w:p w14:paraId="4352183E">
      <w:pPr>
        <w:pStyle w:val="24"/>
        <w:keepNext w:val="0"/>
        <w:keepLines w:val="0"/>
        <w:pageBreakBefore w:val="0"/>
        <w:widowControl w:val="0"/>
        <w:kinsoku/>
        <w:wordWrap/>
        <w:overflowPunct w:val="0"/>
        <w:topLinePunct w:val="0"/>
        <w:autoSpaceDE/>
        <w:autoSpaceDN/>
        <w:bidi w:val="0"/>
        <w:adjustRightInd/>
        <w:snapToGrid/>
        <w:spacing w:before="313" w:beforeLines="100" w:after="313" w:afterLines="100" w:line="560" w:lineRule="exact"/>
        <w:ind w:firstLine="0" w:firstLineChars="0"/>
        <w:jc w:val="center"/>
        <w:textAlignment w:val="auto"/>
        <w:outlineLvl w:val="0"/>
        <w:rPr>
          <w:rFonts w:ascii="黑体" w:hAnsi="黑体" w:eastAsia="黑体"/>
          <w:sz w:val="32"/>
          <w:szCs w:val="32"/>
          <w:highlight w:val="none"/>
        </w:rPr>
      </w:pPr>
      <w:bookmarkStart w:id="37" w:name="_Toc1808178507"/>
      <w:r>
        <w:rPr>
          <w:rFonts w:hint="eastAsia" w:ascii="黑体" w:hAnsi="黑体" w:eastAsia="黑体"/>
          <w:sz w:val="32"/>
          <w:szCs w:val="32"/>
          <w:highlight w:val="none"/>
        </w:rPr>
        <w:t>第六章  涵养社会治理德治风尚</w:t>
      </w:r>
      <w:bookmarkEnd w:id="37"/>
    </w:p>
    <w:p w14:paraId="6471BCFF">
      <w:pPr>
        <w:pStyle w:val="24"/>
        <w:keepNext w:val="0"/>
        <w:keepLines w:val="0"/>
        <w:pageBreakBefore w:val="0"/>
        <w:widowControl w:val="0"/>
        <w:kinsoku/>
        <w:wordWrap/>
        <w:overflowPunct w:val="0"/>
        <w:topLinePunct w:val="0"/>
        <w:autoSpaceDE/>
        <w:autoSpaceDN/>
        <w:bidi w:val="0"/>
        <w:adjustRightInd/>
        <w:snapToGrid/>
        <w:spacing w:after="0" w:line="560" w:lineRule="exact"/>
        <w:ind w:firstLine="640"/>
        <w:textAlignment w:val="auto"/>
        <w:rPr>
          <w:rFonts w:ascii="仿宋" w:hAnsi="仿宋" w:eastAsia="仿宋"/>
          <w:sz w:val="32"/>
          <w:szCs w:val="32"/>
          <w:highlight w:val="none"/>
        </w:rPr>
      </w:pPr>
      <w:r>
        <w:rPr>
          <w:rFonts w:hint="eastAsia" w:ascii="仿宋_GB2312" w:hAnsi="仿宋_GB2312" w:eastAsia="仿宋_GB2312" w:cs="仿宋_GB2312"/>
          <w:sz w:val="32"/>
          <w:szCs w:val="32"/>
          <w:highlight w:val="none"/>
        </w:rPr>
        <w:t>德治是高效能社会治理的</w:t>
      </w:r>
      <w:r>
        <w:rPr>
          <w:rFonts w:hint="eastAsia" w:ascii="仿宋_GB2312" w:hAnsi="仿宋_GB2312" w:eastAsia="仿宋_GB2312" w:cs="仿宋_GB2312"/>
          <w:sz w:val="32"/>
          <w:szCs w:val="32"/>
          <w:highlight w:val="none"/>
          <w:lang w:eastAsia="zh-CN"/>
        </w:rPr>
        <w:t>内核</w:t>
      </w:r>
      <w:r>
        <w:rPr>
          <w:rFonts w:hint="eastAsia" w:ascii="仿宋_GB2312" w:hAnsi="仿宋_GB2312" w:eastAsia="仿宋_GB2312" w:cs="仿宋_GB2312"/>
          <w:sz w:val="32"/>
          <w:szCs w:val="32"/>
          <w:highlight w:val="none"/>
        </w:rPr>
        <w:t>与价值引领，为高效能社会治理提供人文温度和精神动力。“十五五”时期，</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德治深度融入社会治理，以社会主义核心价值观为引领，激活传统美德与时代新风的治理效能，为</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高效能社会治理筑牢精神支撑。</w:t>
      </w:r>
    </w:p>
    <w:p w14:paraId="3AA5C118">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38" w:name="_Toc1015078452"/>
      <w:bookmarkStart w:id="39" w:name="OLE_LINK23"/>
      <w:bookmarkStart w:id="40" w:name="OLE_LINK22"/>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厚植家庭家风建设根基</w:t>
      </w:r>
      <w:bookmarkEnd w:id="38"/>
    </w:p>
    <w:p w14:paraId="1E9421E9">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夯实家庭根基。</w:t>
      </w:r>
      <w:r>
        <w:rPr>
          <w:rFonts w:hint="eastAsia" w:ascii="仿宋_GB2312" w:hAnsi="仿宋_GB2312" w:eastAsia="仿宋_GB2312" w:cs="仿宋_GB2312"/>
          <w:sz w:val="32"/>
          <w:szCs w:val="32"/>
          <w:highlight w:val="none"/>
        </w:rPr>
        <w:t>推广“美在西集”“好漷伴”等经验做法，整合在地优质资源，动员“五老”人员、模范党员、模范家庭等扎根社区骨干力量，联合智库专家与学校专业资源，为家庭提供常态化支持。组建榜样家庭社区志愿团队，将家庭参与融入基层社会治理体系，形成“家庭互助、社区共治”良好生态。</w:t>
      </w:r>
      <w:r>
        <w:rPr>
          <w:rFonts w:hint="eastAsia" w:ascii="仿宋_GB2312" w:hAnsi="仿宋_GB2312" w:eastAsia="仿宋_GB2312" w:cs="仿宋_GB2312"/>
          <w:sz w:val="32"/>
          <w:szCs w:val="32"/>
          <w:highlight w:val="none"/>
          <w:lang w:eastAsia="zh-CN"/>
        </w:rPr>
        <w:t>探索</w:t>
      </w:r>
      <w:r>
        <w:rPr>
          <w:rFonts w:hint="eastAsia" w:ascii="仿宋_GB2312" w:hAnsi="仿宋_GB2312" w:eastAsia="仿宋_GB2312" w:cs="仿宋_GB2312"/>
          <w:sz w:val="32"/>
          <w:szCs w:val="32"/>
          <w:highlight w:val="none"/>
        </w:rPr>
        <w:t>建立激励保障机制，</w:t>
      </w:r>
      <w:r>
        <w:rPr>
          <w:rFonts w:hint="eastAsia" w:ascii="仿宋_GB2312" w:hAnsi="仿宋_GB2312" w:eastAsia="仿宋_GB2312" w:cs="仿宋_GB2312"/>
          <w:sz w:val="32"/>
          <w:szCs w:val="32"/>
          <w:highlight w:val="none"/>
          <w:lang w:eastAsia="zh-CN"/>
        </w:rPr>
        <w:t>与</w:t>
      </w:r>
      <w:r>
        <w:rPr>
          <w:rFonts w:hint="eastAsia" w:ascii="仿宋_GB2312" w:hAnsi="仿宋_GB2312" w:eastAsia="仿宋_GB2312" w:cs="仿宋_GB2312"/>
          <w:color w:val="auto"/>
          <w:sz w:val="32"/>
          <w:szCs w:val="32"/>
          <w:highlight w:val="none"/>
        </w:rPr>
        <w:t>“副中心有我”</w:t>
      </w:r>
      <w:r>
        <w:rPr>
          <w:rFonts w:hint="eastAsia" w:ascii="仿宋_GB2312" w:hAnsi="仿宋_GB2312" w:eastAsia="仿宋_GB2312" w:cs="仿宋_GB2312"/>
          <w:color w:val="auto"/>
          <w:sz w:val="32"/>
          <w:szCs w:val="32"/>
          <w:highlight w:val="none"/>
          <w:lang w:eastAsia="zh-CN"/>
        </w:rPr>
        <w:t>社会动员体系相结合</w:t>
      </w:r>
      <w:r>
        <w:rPr>
          <w:rFonts w:hint="eastAsia" w:ascii="仿宋_GB2312" w:hAnsi="仿宋_GB2312" w:eastAsia="仿宋_GB2312" w:cs="仿宋_GB2312"/>
          <w:sz w:val="32"/>
          <w:szCs w:val="32"/>
          <w:highlight w:val="none"/>
        </w:rPr>
        <w:t>，激发家庭参与的主动性与创造性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增强家庭参与获得感。发挥婚姻家庭调解</w:t>
      </w:r>
      <w:r>
        <w:rPr>
          <w:rFonts w:hint="eastAsia" w:ascii="仿宋_GB2312" w:hAnsi="仿宋_GB2312" w:eastAsia="仿宋_GB2312" w:cs="仿宋_GB2312"/>
          <w:sz w:val="32"/>
          <w:szCs w:val="32"/>
          <w:highlight w:val="none"/>
          <w:lang w:eastAsia="zh-CN"/>
        </w:rPr>
        <w:t>工作站（室）</w:t>
      </w:r>
      <w:r>
        <w:rPr>
          <w:rFonts w:hint="eastAsia" w:ascii="仿宋_GB2312" w:hAnsi="仿宋_GB2312" w:eastAsia="仿宋_GB2312" w:cs="仿宋_GB2312"/>
          <w:sz w:val="32"/>
          <w:szCs w:val="32"/>
          <w:highlight w:val="none"/>
        </w:rPr>
        <w:t>作用，化解婚姻家庭矛盾，维护妇女儿童合法权益。</w:t>
      </w:r>
    </w:p>
    <w:p w14:paraId="053B514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强化家教路径。</w:t>
      </w:r>
      <w:r>
        <w:rPr>
          <w:rFonts w:hint="eastAsia" w:ascii="仿宋_GB2312" w:hAnsi="仿宋_GB2312" w:eastAsia="仿宋_GB2312" w:cs="仿宋_GB2312"/>
          <w:sz w:val="32"/>
          <w:szCs w:val="32"/>
          <w:highlight w:val="none"/>
        </w:rPr>
        <w:t>构建“纵向贯通、横向联动”的家教服务体系，完善区、街乡</w:t>
      </w:r>
      <w:r>
        <w:rPr>
          <w:rFonts w:hint="eastAsia" w:ascii="仿宋_GB2312" w:hAnsi="仿宋_GB2312" w:eastAsia="仿宋_GB2312" w:cs="仿宋_GB2312"/>
          <w:sz w:val="32"/>
          <w:szCs w:val="32"/>
          <w:highlight w:val="none"/>
          <w:lang w:eastAsia="zh-CN"/>
        </w:rPr>
        <w:t>镇</w:t>
      </w:r>
      <w:r>
        <w:rPr>
          <w:rFonts w:hint="eastAsia" w:ascii="仿宋_GB2312" w:hAnsi="仿宋_GB2312" w:eastAsia="仿宋_GB2312" w:cs="仿宋_GB2312"/>
          <w:sz w:val="32"/>
          <w:szCs w:val="32"/>
          <w:highlight w:val="none"/>
        </w:rPr>
        <w:t>、社区（村）三级指导架构，强化家庭、学校、社会协同联动，形成育人合力。发挥学校与</w:t>
      </w:r>
      <w:r>
        <w:rPr>
          <w:rFonts w:hint="eastAsia" w:ascii="仿宋_GB2312" w:hAnsi="仿宋_GB2312" w:eastAsia="仿宋_GB2312" w:cs="仿宋_GB2312"/>
          <w:color w:val="auto"/>
          <w:sz w:val="32"/>
          <w:szCs w:val="32"/>
          <w:highlight w:val="none"/>
        </w:rPr>
        <w:t>专家智库</w:t>
      </w:r>
      <w:r>
        <w:rPr>
          <w:rFonts w:hint="eastAsia" w:ascii="仿宋_GB2312" w:hAnsi="仿宋_GB2312" w:eastAsia="仿宋_GB2312" w:cs="仿宋_GB2312"/>
          <w:sz w:val="32"/>
          <w:szCs w:val="32"/>
          <w:highlight w:val="none"/>
        </w:rPr>
        <w:t>引领作用，优化家长教育、教师家风培训常态化机制。结合通州地域文化，开发家风教育读本与课程资源，为家教实践提供内容支撑。</w:t>
      </w:r>
    </w:p>
    <w:p w14:paraId="0D26E4F5">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升华家风内涵。</w:t>
      </w:r>
      <w:r>
        <w:rPr>
          <w:rFonts w:hint="eastAsia" w:ascii="仿宋_GB2312" w:hAnsi="仿宋_GB2312" w:eastAsia="仿宋_GB2312" w:cs="仿宋_GB2312"/>
          <w:sz w:val="32"/>
          <w:szCs w:val="32"/>
          <w:highlight w:val="none"/>
        </w:rPr>
        <w:t>健全社会化传播机制，打造家风教育文化实践基地与特色品牌项目。创新宣传教育形式，挖掘编排通州文脉优秀家庭故事，开展主题家风活动。运用数字平台拓宽传播渠道，以年轻化、多元化呈现吸引年轻家庭参与，让优良家风在代际传承中丰富内涵。</w:t>
      </w:r>
    </w:p>
    <w:p w14:paraId="4B075B7C">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41" w:name="_Toc813450996"/>
      <w:bookmarkStart w:id="42" w:name="OLE_LINK24"/>
      <w:bookmarkStart w:id="43" w:name="OLE_LINK25"/>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深化完善村规民约与居民公约建设</w:t>
      </w:r>
      <w:bookmarkEnd w:id="41"/>
    </w:p>
    <w:p w14:paraId="6D34541C">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抓实村规民约。</w:t>
      </w:r>
      <w:r>
        <w:rPr>
          <w:rFonts w:hint="eastAsia" w:ascii="仿宋_GB2312" w:hAnsi="仿宋_GB2312" w:eastAsia="仿宋_GB2312" w:cs="仿宋_GB2312"/>
          <w:sz w:val="32"/>
          <w:szCs w:val="32"/>
          <w:highlight w:val="none"/>
        </w:rPr>
        <w:t>统合法治教育与家风教育，提升村规民约学习效能。</w:t>
      </w:r>
      <w:r>
        <w:rPr>
          <w:rFonts w:hint="eastAsia" w:ascii="仿宋_GB2312" w:hAnsi="仿宋_GB2312" w:eastAsia="仿宋_GB2312" w:cs="仿宋_GB2312"/>
          <w:color w:val="auto"/>
          <w:sz w:val="32"/>
          <w:szCs w:val="32"/>
          <w:highlight w:val="none"/>
        </w:rPr>
        <w:t>结合村庄特色</w:t>
      </w:r>
      <w:r>
        <w:rPr>
          <w:rFonts w:hint="eastAsia" w:ascii="仿宋_GB2312" w:hAnsi="仿宋_GB2312" w:eastAsia="仿宋_GB2312" w:cs="仿宋_GB2312"/>
          <w:color w:val="auto"/>
          <w:sz w:val="32"/>
          <w:szCs w:val="32"/>
          <w:highlight w:val="none"/>
          <w:lang w:eastAsia="zh-CN"/>
        </w:rPr>
        <w:t>修订</w:t>
      </w:r>
      <w:r>
        <w:rPr>
          <w:rFonts w:hint="eastAsia" w:ascii="仿宋_GB2312" w:hAnsi="仿宋_GB2312" w:eastAsia="仿宋_GB2312" w:cs="仿宋_GB2312"/>
          <w:color w:val="auto"/>
          <w:sz w:val="32"/>
          <w:szCs w:val="32"/>
          <w:highlight w:val="none"/>
        </w:rPr>
        <w:t>村规民约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制定定期修改计划，确保内容精炼实用、可读可传。保障制定民主参与，提升居民参与率，发挥民主协商作用。完善监督执行机制，强化社会监督，推动履约与村民福利、分红挂钩。</w:t>
      </w:r>
    </w:p>
    <w:p w14:paraId="20A5D5C6">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增效居民公约。</w:t>
      </w:r>
      <w:r>
        <w:rPr>
          <w:rFonts w:hint="eastAsia" w:ascii="仿宋_GB2312" w:hAnsi="仿宋_GB2312" w:eastAsia="仿宋_GB2312" w:cs="仿宋_GB2312"/>
          <w:sz w:val="32"/>
          <w:szCs w:val="32"/>
          <w:highlight w:val="none"/>
        </w:rPr>
        <w:t>提升居民公约制定修订的专业性与民主性，引导法律顾问、法律明白人、具有法律专长的社区居民参与。将民主协商融入修订，广泛汇集诉求，开展走访座谈。强化宣传教育线上线下融合，用好社区文化墙、公众号等资源，扩大推广范围。发挥楼门长作用，推动居民公约融入社区教育与公益活动。</w:t>
      </w:r>
    </w:p>
    <w:p w14:paraId="1D2C8C0A">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推动移风易俗。</w:t>
      </w:r>
      <w:r>
        <w:rPr>
          <w:rFonts w:hint="eastAsia" w:ascii="仿宋_GB2312" w:hAnsi="仿宋_GB2312" w:eastAsia="仿宋_GB2312" w:cs="仿宋_GB2312"/>
          <w:sz w:val="32"/>
          <w:szCs w:val="32"/>
          <w:highlight w:val="none"/>
        </w:rPr>
        <w:t>发挥村规民约在移风易俗中的重要作用，明确村民自我管理自我约束的核心定位。以问题为导向完善村规民约内容，整合社区（村）党员、艺术家等力量，用好红白理事会等</w:t>
      </w:r>
      <w:r>
        <w:rPr>
          <w:rFonts w:hint="eastAsia" w:ascii="仿宋_GB2312" w:hAnsi="仿宋_GB2312" w:eastAsia="仿宋_GB2312" w:cs="仿宋_GB2312"/>
          <w:sz w:val="32"/>
          <w:szCs w:val="32"/>
          <w:highlight w:val="none"/>
          <w:lang w:eastAsia="zh-CN"/>
        </w:rPr>
        <w:t>自治</w:t>
      </w:r>
      <w:r>
        <w:rPr>
          <w:rFonts w:hint="eastAsia" w:ascii="仿宋_GB2312" w:hAnsi="仿宋_GB2312" w:eastAsia="仿宋_GB2312" w:cs="仿宋_GB2312"/>
          <w:sz w:val="32"/>
          <w:szCs w:val="32"/>
          <w:highlight w:val="none"/>
        </w:rPr>
        <w:t>组织，构建长效保障</w:t>
      </w:r>
      <w:r>
        <w:rPr>
          <w:rFonts w:hint="eastAsia" w:ascii="仿宋_GB2312" w:hAnsi="仿宋_GB2312" w:eastAsia="仿宋_GB2312" w:cs="仿宋_GB2312"/>
          <w:sz w:val="32"/>
          <w:szCs w:val="32"/>
          <w:highlight w:val="none"/>
          <w:lang w:eastAsia="zh-CN"/>
        </w:rPr>
        <w:t>机制</w:t>
      </w:r>
      <w:r>
        <w:rPr>
          <w:rFonts w:hint="eastAsia" w:ascii="仿宋_GB2312" w:hAnsi="仿宋_GB2312" w:eastAsia="仿宋_GB2312" w:cs="仿宋_GB2312"/>
          <w:sz w:val="32"/>
          <w:szCs w:val="32"/>
          <w:highlight w:val="none"/>
        </w:rPr>
        <w:t>。</w:t>
      </w:r>
    </w:p>
    <w:p w14:paraId="7CCC9AD5">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筑牢社区文化服务与传承阵地。</w:t>
      </w:r>
      <w:r>
        <w:rPr>
          <w:rFonts w:hint="eastAsia" w:ascii="仿宋_GB2312" w:hAnsi="仿宋_GB2312" w:eastAsia="仿宋_GB2312" w:cs="仿宋_GB2312"/>
          <w:sz w:val="32"/>
          <w:szCs w:val="32"/>
          <w:highlight w:val="none"/>
          <w:lang w:eastAsia="zh-CN"/>
        </w:rPr>
        <w:t>深化“博物馆之城”建设，统筹推进社区文化活动中心、运河文化驿站、农家书屋等基层文化设施提质升级，推动文化阵地与家园中心、新时代文明实践所（站）深度融合、一体运营。</w:t>
      </w:r>
      <w:r>
        <w:rPr>
          <w:rFonts w:hint="eastAsia" w:ascii="仿宋_GB2312" w:hAnsi="仿宋_GB2312" w:eastAsia="仿宋_GB2312" w:cs="仿宋_GB2312"/>
          <w:sz w:val="32"/>
          <w:szCs w:val="32"/>
          <w:highlight w:val="none"/>
        </w:rPr>
        <w:t>深度挖掘大运河文化、本土民俗及非遗资源，推动优秀传统文化、家风家训、公序良俗有机融入村规民约与居民公约，以文化浸润强化规约认同。常态化开展非遗传承、民俗体验、“我们的节日”等特色文化活动，培育壮大社区文化骨干与志愿服务队伍。依托数字化平台搭建社区文化服务矩阵，实现文化资源精准配送、供需高效对接，持续涵养文明乡风、良好家风、淳朴民风，为</w:t>
      </w:r>
      <w:r>
        <w:rPr>
          <w:rFonts w:hint="eastAsia" w:ascii="仿宋_GB2312" w:hAnsi="仿宋_GB2312" w:eastAsia="仿宋_GB2312" w:cs="仿宋_GB2312"/>
          <w:sz w:val="32"/>
          <w:szCs w:val="32"/>
          <w:highlight w:val="none"/>
          <w:lang w:val="en-US" w:eastAsia="zh-CN"/>
        </w:rPr>
        <w:t>社会</w:t>
      </w:r>
      <w:r>
        <w:rPr>
          <w:rFonts w:hint="eastAsia" w:ascii="仿宋_GB2312" w:hAnsi="仿宋_GB2312" w:eastAsia="仿宋_GB2312" w:cs="仿宋_GB2312"/>
          <w:sz w:val="32"/>
          <w:szCs w:val="32"/>
          <w:highlight w:val="none"/>
        </w:rPr>
        <w:t>治理现代化提供坚实文化支撑。</w:t>
      </w:r>
    </w:p>
    <w:bookmarkEnd w:id="42"/>
    <w:bookmarkEnd w:id="43"/>
    <w:p w14:paraId="454F326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44" w:name="_Toc789992970"/>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推进社会文明风尚培育</w:t>
      </w:r>
      <w:bookmarkEnd w:id="44"/>
    </w:p>
    <w:p w14:paraId="18FF98CA">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outlineLvl w:val="9"/>
        <w:rPr>
          <w:rFonts w:hint="eastAsia" w:ascii="仿宋_GB2312" w:hAnsi="仿宋_GB2312" w:eastAsia="仿宋_GB2312" w:cs="仿宋_GB2312"/>
          <w:sz w:val="32"/>
          <w:szCs w:val="32"/>
          <w:highlight w:val="none"/>
        </w:rPr>
      </w:pPr>
      <w:bookmarkStart w:id="45" w:name="_Toc1667941036"/>
      <w:r>
        <w:rPr>
          <w:rFonts w:hint="eastAsia" w:ascii="楷体_GB2312" w:hAnsi="楷体_GB2312" w:eastAsia="楷体_GB2312" w:cs="楷体_GB2312"/>
          <w:sz w:val="32"/>
          <w:szCs w:val="32"/>
          <w:highlight w:val="none"/>
        </w:rPr>
        <w:t>深化文明培育行动。</w:t>
      </w:r>
      <w:r>
        <w:rPr>
          <w:rFonts w:hint="eastAsia" w:ascii="仿宋_GB2312" w:hAnsi="仿宋_GB2312" w:eastAsia="仿宋_GB2312" w:cs="仿宋_GB2312"/>
          <w:sz w:val="32"/>
          <w:szCs w:val="32"/>
          <w:highlight w:val="none"/>
        </w:rPr>
        <w:t>持续深化“副中心有我”社会文明风尚培育行动，大力弘扬崇德向善、守望相助的社会风尚，加强文明行为教育引导，推动形成适应新时代要求的思想观念、精神面貌、文明风尚和行为规范，营造全民践行文明、共建共享文明的浓厚氛围。</w:t>
      </w:r>
    </w:p>
    <w:p w14:paraId="6F10076F">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强化典型示范引领。</w:t>
      </w:r>
      <w:r>
        <w:rPr>
          <w:rFonts w:hint="eastAsia" w:ascii="仿宋_GB2312" w:hAnsi="仿宋_GB2312" w:eastAsia="仿宋_GB2312" w:cs="仿宋_GB2312"/>
          <w:sz w:val="32"/>
          <w:szCs w:val="32"/>
          <w:highlight w:val="none"/>
        </w:rPr>
        <w:t>构建线上线下联动、全方位覆盖的道德典型举荐网络，拓宽举荐渠道，健全发现、孵化、选树、表彰机制，形成全民参与、全域覆盖的工作格局。做大做强“通州榜样”品牌，组建先进事迹报告团开展基层巡讲，融入新时代文明实践活动；拓展数字化传播渠道，打造立体化传播矩阵，推动“通州好人”向“通州人好”转变。丰富榜样参与基层治理途径，建立常态化联动机制，引导榜样在矛盾化解、议事协商中发挥示范作用，拓展“讲、传、带、做”体系，完善示范效能释放路径。</w:t>
      </w:r>
    </w:p>
    <w:p w14:paraId="307F17A1">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完善激励关怀举措。</w:t>
      </w:r>
      <w:r>
        <w:rPr>
          <w:rFonts w:hint="eastAsia" w:ascii="仿宋_GB2312" w:hAnsi="仿宋_GB2312" w:eastAsia="仿宋_GB2312" w:cs="仿宋_GB2312"/>
          <w:sz w:val="32"/>
          <w:szCs w:val="32"/>
          <w:highlight w:val="none"/>
        </w:rPr>
        <w:t>健全精神激励与物质保障相结合的关爱礼遇体系，完善先进典型全周期激励关怀机制，建立榜样动态管理与常态化关怀机制，跟踪解决实际困难。在基层党建、志愿服务、营商环境建设等方面充分发挥榜样示范带动作用，形成榜样示范、全域联动的文明建设格局。</w:t>
      </w:r>
    </w:p>
    <w:p w14:paraId="409A328E">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健全志愿服务体系建设</w:t>
      </w:r>
      <w:bookmarkEnd w:id="45"/>
    </w:p>
    <w:p w14:paraId="6393194C">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ascii="仿宋" w:hAnsi="仿宋" w:eastAsia="仿宋"/>
          <w:sz w:val="32"/>
          <w:szCs w:val="32"/>
          <w:highlight w:val="none"/>
        </w:rPr>
      </w:pPr>
      <w:r>
        <w:rPr>
          <w:rFonts w:hint="eastAsia" w:ascii="楷体_GB2312" w:hAnsi="楷体_GB2312" w:eastAsia="楷体_GB2312" w:cs="楷体_GB2312"/>
          <w:sz w:val="32"/>
          <w:szCs w:val="32"/>
          <w:highlight w:val="none"/>
        </w:rPr>
        <w:t>健全志愿服务制度化长效机制。</w:t>
      </w:r>
      <w:r>
        <w:rPr>
          <w:rFonts w:hint="eastAsia" w:ascii="仿宋_GB2312" w:hAnsi="仿宋_GB2312" w:eastAsia="仿宋_GB2312" w:cs="仿宋_GB2312"/>
          <w:sz w:val="32"/>
          <w:szCs w:val="32"/>
          <w:highlight w:val="none"/>
        </w:rPr>
        <w:t>完善志愿服务体系，按照供需精准匹配原则，优化志愿服务队伍结构，逐步建立志愿服务与有效激励相融合的政策机制，保障志愿服务长效运行。完善志愿服务组织、注册、服务、记录、激励与保障全流程制度，推进志愿服务标准化、规范化建设。聚焦城乡融合治理、新就业群体服务等重点领域，打造一批示范队伍、示范项目、示范站点，形成可复制、可推广的</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志愿服务模式。健全政府购买志愿服务机制，完善供需对接机制，建立以群众需求为导向的服务供给体系，推动志愿服务与基层治理、公共服务、应急响应、文明实践深度融合。</w:t>
      </w:r>
    </w:p>
    <w:p w14:paraId="7D7ED7FF">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培育志愿服务人才与专业化能力。</w:t>
      </w:r>
      <w:r>
        <w:rPr>
          <w:rFonts w:hint="eastAsia" w:ascii="仿宋_GB2312" w:hAnsi="仿宋_GB2312" w:eastAsia="仿宋_GB2312" w:cs="仿宋_GB2312"/>
          <w:sz w:val="32"/>
          <w:szCs w:val="32"/>
          <w:highlight w:val="none"/>
        </w:rPr>
        <w:t>加强骨干志愿者、项目负责人、组织管理者能力培训，提升志愿服务专业化、项目化、品牌化水平。依托“副中心有我”平台完善志愿服务积分激励</w:t>
      </w:r>
      <w:r>
        <w:rPr>
          <w:rFonts w:hint="eastAsia" w:ascii="仿宋_GB2312" w:hAnsi="仿宋_GB2312" w:eastAsia="仿宋_GB2312" w:cs="仿宋_GB2312"/>
          <w:color w:val="auto"/>
          <w:sz w:val="32"/>
          <w:szCs w:val="32"/>
          <w:highlight w:val="none"/>
        </w:rPr>
        <w:t>与回馈机制</w:t>
      </w:r>
      <w:r>
        <w:rPr>
          <w:rFonts w:hint="eastAsia" w:ascii="仿宋_GB2312" w:hAnsi="仿宋_GB2312" w:eastAsia="仿宋_GB2312" w:cs="仿宋_GB2312"/>
          <w:sz w:val="32"/>
          <w:szCs w:val="32"/>
          <w:highlight w:val="none"/>
        </w:rPr>
        <w:t>，引导更多社会力量持续参与，广泛开展志愿服务关爱行动，推动志愿服务高质量发展。</w:t>
      </w:r>
    </w:p>
    <w:bookmarkEnd w:id="39"/>
    <w:bookmarkEnd w:id="40"/>
    <w:p w14:paraId="283B9A7E">
      <w:pPr>
        <w:pStyle w:val="24"/>
        <w:keepNext w:val="0"/>
        <w:keepLines w:val="0"/>
        <w:pageBreakBefore w:val="0"/>
        <w:widowControl w:val="0"/>
        <w:kinsoku/>
        <w:wordWrap/>
        <w:overflowPunct w:val="0"/>
        <w:topLinePunct w:val="0"/>
        <w:autoSpaceDE/>
        <w:autoSpaceDN/>
        <w:bidi w:val="0"/>
        <w:adjustRightInd/>
        <w:snapToGrid/>
        <w:spacing w:before="313" w:beforeLines="100" w:after="313" w:afterLines="100" w:line="560" w:lineRule="exact"/>
        <w:ind w:firstLine="0" w:firstLineChars="0"/>
        <w:jc w:val="center"/>
        <w:textAlignment w:val="auto"/>
        <w:outlineLvl w:val="0"/>
        <w:rPr>
          <w:rFonts w:ascii="黑体" w:hAnsi="黑体" w:eastAsia="黑体"/>
          <w:sz w:val="32"/>
          <w:szCs w:val="32"/>
          <w:highlight w:val="none"/>
        </w:rPr>
      </w:pPr>
      <w:bookmarkStart w:id="46" w:name="_Toc1980947761"/>
      <w:r>
        <w:rPr>
          <w:rFonts w:hint="eastAsia" w:ascii="黑体" w:hAnsi="黑体" w:eastAsia="黑体"/>
          <w:sz w:val="32"/>
          <w:szCs w:val="32"/>
          <w:highlight w:val="none"/>
        </w:rPr>
        <w:t>第七章  凝聚社会治理多元主体参与</w:t>
      </w:r>
      <w:bookmarkEnd w:id="46"/>
    </w:p>
    <w:p w14:paraId="1E7B3A25">
      <w:pPr>
        <w:pStyle w:val="24"/>
        <w:keepNext w:val="0"/>
        <w:keepLines w:val="0"/>
        <w:pageBreakBefore w:val="0"/>
        <w:widowControl w:val="0"/>
        <w:kinsoku/>
        <w:wordWrap/>
        <w:overflowPunct w:val="0"/>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多</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主体参与是高效能社会治理的核心特征，为高效能社会治理注入</w:t>
      </w:r>
      <w:r>
        <w:rPr>
          <w:rFonts w:hint="eastAsia" w:ascii="仿宋_GB2312" w:hAnsi="仿宋_GB2312" w:eastAsia="仿宋_GB2312" w:cs="仿宋_GB2312"/>
          <w:sz w:val="32"/>
          <w:szCs w:val="32"/>
          <w:highlight w:val="none"/>
          <w:lang w:eastAsia="zh-CN"/>
        </w:rPr>
        <w:t>强大</w:t>
      </w:r>
      <w:r>
        <w:rPr>
          <w:rFonts w:hint="eastAsia" w:ascii="仿宋_GB2312" w:hAnsi="仿宋_GB2312" w:eastAsia="仿宋_GB2312" w:cs="仿宋_GB2312"/>
          <w:sz w:val="32"/>
          <w:szCs w:val="32"/>
          <w:highlight w:val="none"/>
        </w:rPr>
        <w:t>动能。“十五五”时期，</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将持续推动多元主体协同参与治理实践，以共治聚合力、以协同提效能，为</w:t>
      </w:r>
      <w:r>
        <w:rPr>
          <w:rFonts w:hint="eastAsia" w:ascii="仿宋_GB2312" w:hAnsi="仿宋_GB2312" w:eastAsia="仿宋_GB2312" w:cs="仿宋_GB2312"/>
          <w:sz w:val="32"/>
          <w:szCs w:val="32"/>
          <w:highlight w:val="none"/>
          <w:lang w:eastAsia="zh-CN"/>
        </w:rPr>
        <w:t>城市副中心</w:t>
      </w:r>
      <w:r>
        <w:rPr>
          <w:rFonts w:hint="eastAsia" w:ascii="仿宋_GB2312" w:hAnsi="仿宋_GB2312" w:eastAsia="仿宋_GB2312" w:cs="仿宋_GB2312"/>
          <w:sz w:val="32"/>
          <w:szCs w:val="32"/>
          <w:highlight w:val="none"/>
        </w:rPr>
        <w:t>高效能社会治理</w:t>
      </w:r>
      <w:r>
        <w:rPr>
          <w:rFonts w:hint="eastAsia" w:ascii="仿宋_GB2312" w:hAnsi="仿宋_GB2312" w:eastAsia="仿宋_GB2312" w:cs="仿宋_GB2312"/>
          <w:sz w:val="32"/>
          <w:szCs w:val="32"/>
          <w:highlight w:val="none"/>
          <w:lang w:eastAsia="zh-CN"/>
        </w:rPr>
        <w:t>提供</w:t>
      </w:r>
      <w:r>
        <w:rPr>
          <w:rFonts w:hint="eastAsia" w:ascii="仿宋_GB2312" w:hAnsi="仿宋_GB2312" w:eastAsia="仿宋_GB2312" w:cs="仿宋_GB2312"/>
          <w:sz w:val="32"/>
          <w:szCs w:val="32"/>
          <w:highlight w:val="none"/>
        </w:rPr>
        <w:t>强劲动力。</w:t>
      </w:r>
    </w:p>
    <w:p w14:paraId="1772482C">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47" w:name="_Toc1350039686"/>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深化物业</w:t>
      </w:r>
      <w:r>
        <w:rPr>
          <w:rFonts w:hint="eastAsia" w:ascii="黑体" w:hAnsi="黑体" w:eastAsia="黑体" w:cs="黑体"/>
          <w:sz w:val="32"/>
          <w:szCs w:val="32"/>
          <w:highlight w:val="none"/>
          <w:lang w:eastAsia="zh-CN"/>
        </w:rPr>
        <w:t>管理</w:t>
      </w:r>
      <w:r>
        <w:rPr>
          <w:rFonts w:hint="eastAsia" w:ascii="黑体" w:hAnsi="黑体" w:eastAsia="黑体" w:cs="黑体"/>
          <w:sz w:val="32"/>
          <w:szCs w:val="32"/>
          <w:highlight w:val="none"/>
        </w:rPr>
        <w:t>改革创新</w:t>
      </w:r>
      <w:bookmarkEnd w:id="47"/>
    </w:p>
    <w:p w14:paraId="593B60CB">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u w:val="single"/>
          <w:lang w:eastAsia="zh-CN"/>
        </w:rPr>
      </w:pPr>
      <w:r>
        <w:rPr>
          <w:rFonts w:hint="eastAsia" w:ascii="楷体_GB2312" w:hAnsi="楷体_GB2312" w:eastAsia="楷体_GB2312" w:cs="楷体_GB2312"/>
          <w:sz w:val="32"/>
          <w:szCs w:val="32"/>
          <w:highlight w:val="none"/>
          <w:lang w:eastAsia="zh-CN"/>
        </w:rPr>
        <w:t>完善社区物业党建联建和协调共治机制</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lang w:eastAsia="zh-CN"/>
        </w:rPr>
        <w:t>建立健全社区党组织领导下的居民委员会、业主、物业服务企业等共同参与的治理架构。</w:t>
      </w:r>
      <w:r>
        <w:rPr>
          <w:rFonts w:hint="eastAsia" w:ascii="仿宋_GB2312" w:hAnsi="仿宋_GB2312" w:eastAsia="仿宋_GB2312" w:cs="仿宋_GB2312"/>
          <w:sz w:val="32"/>
          <w:szCs w:val="32"/>
          <w:highlight w:val="none"/>
        </w:rPr>
        <w:t>规范业委会</w:t>
      </w:r>
      <w:r>
        <w:rPr>
          <w:rFonts w:hint="eastAsia" w:ascii="仿宋_GB2312" w:hAnsi="仿宋_GB2312" w:eastAsia="仿宋_GB2312" w:cs="仿宋_GB2312"/>
          <w:sz w:val="32"/>
          <w:szCs w:val="32"/>
          <w:highlight w:val="none"/>
          <w:lang w:eastAsia="zh-CN"/>
        </w:rPr>
        <w:t>运行，</w:t>
      </w:r>
      <w:r>
        <w:rPr>
          <w:rFonts w:hint="eastAsia" w:ascii="仿宋_GB2312" w:hAnsi="仿宋_GB2312" w:eastAsia="仿宋_GB2312" w:cs="仿宋_GB2312"/>
          <w:sz w:val="32"/>
          <w:szCs w:val="32"/>
          <w:highlight w:val="none"/>
        </w:rPr>
        <w:t>赋能物管会发挥更大作用。</w:t>
      </w:r>
      <w:r>
        <w:rPr>
          <w:rFonts w:hint="eastAsia" w:ascii="仿宋_GB2312" w:hAnsi="仿宋_GB2312" w:eastAsia="仿宋_GB2312" w:cs="仿宋_GB2312"/>
          <w:sz w:val="32"/>
          <w:szCs w:val="32"/>
          <w:highlight w:val="none"/>
          <w:lang w:eastAsia="zh-CN"/>
        </w:rPr>
        <w:t>落实“管行业也要管党建”责任，扩大物业服务企业党组织覆盖。推广</w:t>
      </w:r>
      <w:r>
        <w:rPr>
          <w:rFonts w:hint="eastAsia" w:ascii="仿宋_GB2312" w:hAnsi="仿宋_GB2312" w:eastAsia="仿宋_GB2312" w:cs="仿宋_GB2312"/>
          <w:sz w:val="32"/>
          <w:szCs w:val="32"/>
          <w:highlight w:val="none"/>
        </w:rPr>
        <w:t>“红色物业联盟”</w:t>
      </w:r>
      <w:r>
        <w:rPr>
          <w:rFonts w:hint="eastAsia" w:ascii="仿宋_GB2312" w:hAnsi="仿宋_GB2312" w:eastAsia="仿宋_GB2312" w:cs="仿宋_GB2312"/>
          <w:sz w:val="32"/>
          <w:szCs w:val="32"/>
          <w:highlight w:val="none"/>
          <w:lang w:eastAsia="zh-CN"/>
        </w:rPr>
        <w:t>经验</w:t>
      </w:r>
      <w:r>
        <w:rPr>
          <w:rFonts w:hint="eastAsia" w:ascii="仿宋_GB2312" w:hAnsi="仿宋_GB2312" w:eastAsia="仿宋_GB2312" w:cs="仿宋_GB2312"/>
          <w:sz w:val="32"/>
          <w:szCs w:val="32"/>
          <w:highlight w:val="none"/>
        </w:rPr>
        <w:t>，搭建物业企业交流培训平台，促进资源互助合作。</w:t>
      </w:r>
      <w:r>
        <w:rPr>
          <w:rFonts w:hint="eastAsia" w:ascii="仿宋_GB2312" w:hAnsi="仿宋_GB2312" w:eastAsia="仿宋_GB2312" w:cs="仿宋_GB2312"/>
          <w:sz w:val="32"/>
          <w:szCs w:val="32"/>
          <w:highlight w:val="none"/>
          <w:lang w:eastAsia="zh-CN"/>
        </w:rPr>
        <w:t>实施物业服务质量提升行动，</w:t>
      </w:r>
      <w:r>
        <w:rPr>
          <w:rFonts w:hint="eastAsia" w:ascii="仿宋_GB2312" w:hAnsi="仿宋_GB2312" w:eastAsia="仿宋_GB2312" w:cs="仿宋_GB2312"/>
          <w:sz w:val="32"/>
          <w:szCs w:val="32"/>
          <w:highlight w:val="none"/>
        </w:rPr>
        <w:t>构建质价相符、优质优价的物业服务市场机制，推动物业服务向便民生活服务领域延伸。</w:t>
      </w:r>
      <w:r>
        <w:rPr>
          <w:rFonts w:hint="eastAsia" w:ascii="仿宋_GB2312" w:hAnsi="仿宋_GB2312" w:eastAsia="仿宋_GB2312" w:cs="仿宋_GB2312"/>
          <w:sz w:val="32"/>
          <w:szCs w:val="32"/>
          <w:highlight w:val="none"/>
          <w:u w:val="none"/>
          <w:lang w:eastAsia="zh-CN"/>
        </w:rPr>
        <w:t>完善物业矛盾纠纷调解机制，切实发挥人民调解及行业协会在物业矛盾纠纷调解中的作用，扎实做好物业纠纷化解工作。</w:t>
      </w:r>
    </w:p>
    <w:p w14:paraId="5C2D8DEA">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做好物业服务企业综合监管</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rPr>
        <w:t>组织开展好物业服务企业综合评价，做好企业信息归集、加减分。强化评价结果运用，实施差异化监管，优化监管资源配置，以评促管，以此为契机推动形成物业企业综合管理良性循环。</w:t>
      </w:r>
    </w:p>
    <w:p w14:paraId="6670D41F">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探索推进乡村物业化广覆盖。</w:t>
      </w:r>
      <w:r>
        <w:rPr>
          <w:rFonts w:hint="eastAsia" w:ascii="仿宋_GB2312" w:hAnsi="仿宋_GB2312" w:eastAsia="仿宋_GB2312" w:cs="仿宋_GB2312"/>
          <w:kern w:val="2"/>
          <w:sz w:val="32"/>
          <w:szCs w:val="32"/>
          <w:highlight w:val="none"/>
          <w:lang w:val="en-US" w:eastAsia="zh-CN" w:bidi="ar-SA"/>
        </w:rPr>
        <w:t>鼓励街乡镇试点探索以村集体经济组织为基础，为无物业区域组建专业化物业服务公司，健全街乡镇物业服务考核机制，规范乡村物业运营标准，推动城乡物业服务一体化发展。</w:t>
      </w:r>
    </w:p>
    <w:p w14:paraId="296C6E34">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48" w:name="_Toc1952272047"/>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推进产校社融合互促</w:t>
      </w:r>
      <w:bookmarkEnd w:id="48"/>
    </w:p>
    <w:p w14:paraId="40C94FFB">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楷体_GB2312" w:hAnsi="楷体_GB2312" w:eastAsia="楷体_GB2312" w:cs="楷体_GB2312"/>
          <w:sz w:val="32"/>
          <w:szCs w:val="32"/>
          <w:highlight w:val="none"/>
          <w:u w:val="none"/>
        </w:rPr>
        <w:t>深化产业与基层治理协同。</w:t>
      </w:r>
      <w:r>
        <w:rPr>
          <w:rFonts w:hint="eastAsia" w:ascii="仿宋_GB2312" w:hAnsi="仿宋_GB2312" w:eastAsia="仿宋_GB2312" w:cs="仿宋_GB2312"/>
          <w:sz w:val="32"/>
          <w:szCs w:val="32"/>
          <w:highlight w:val="none"/>
          <w:u w:val="none"/>
        </w:rPr>
        <w:t>统筹先进制造业、高端服务业规划与基层公共服务布局，聚焦群众继续教育、托育慰老、专业服务等需求，建立产业参与基层治理的激励机制，实现“以产兴社、以社促产”。健全新就业群体参与基层治理机制，培育“移动采集员”队伍，搭建诉求处理平台，完善量化激励与服务反哺闭环。</w:t>
      </w:r>
    </w:p>
    <w:p w14:paraId="77E8FFD1">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激活文商旅体融合治理场景。</w:t>
      </w:r>
      <w:r>
        <w:rPr>
          <w:rFonts w:hint="eastAsia" w:ascii="仿宋_GB2312" w:hAnsi="仿宋_GB2312" w:eastAsia="仿宋_GB2312" w:cs="仿宋_GB2312"/>
          <w:sz w:val="32"/>
          <w:szCs w:val="32"/>
          <w:highlight w:val="none"/>
        </w:rPr>
        <w:t>依托大运河5A级景区创建、环球度假区等资源，构建“文商旅体+治理”融合体系，合理布局文明驿站与志愿补给点。常态化开展运河夜航、剧本游等主题活动，推行政府、企业、社会组织共建共享共担机制，</w:t>
      </w:r>
      <w:r>
        <w:rPr>
          <w:rFonts w:hint="eastAsia" w:ascii="仿宋_GB2312" w:hAnsi="仿宋_GB2312" w:eastAsia="仿宋_GB2312" w:cs="仿宋_GB2312"/>
          <w:sz w:val="32"/>
          <w:szCs w:val="32"/>
          <w:highlight w:val="none"/>
          <w:lang w:eastAsia="zh-CN"/>
        </w:rPr>
        <w:t>探索</w:t>
      </w:r>
      <w:r>
        <w:rPr>
          <w:rFonts w:hint="eastAsia" w:ascii="仿宋_GB2312" w:hAnsi="仿宋_GB2312" w:eastAsia="仿宋_GB2312" w:cs="仿宋_GB2312"/>
          <w:sz w:val="32"/>
          <w:szCs w:val="32"/>
          <w:highlight w:val="none"/>
        </w:rPr>
        <w:t>活动收益按比例注入社区基金反哺治理。</w:t>
      </w:r>
    </w:p>
    <w:p w14:paraId="0804ECD7">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ascii="仿宋" w:hAnsi="仿宋" w:eastAsia="仿宋"/>
          <w:sz w:val="32"/>
          <w:szCs w:val="32"/>
          <w:highlight w:val="none"/>
        </w:rPr>
      </w:pPr>
      <w:r>
        <w:rPr>
          <w:rFonts w:hint="eastAsia" w:ascii="楷体_GB2312" w:hAnsi="楷体_GB2312" w:eastAsia="楷体_GB2312" w:cs="楷体_GB2312"/>
          <w:sz w:val="32"/>
          <w:szCs w:val="32"/>
          <w:highlight w:val="none"/>
        </w:rPr>
        <w:t>擦亮校社联动治理品牌。</w:t>
      </w:r>
      <w:r>
        <w:rPr>
          <w:rFonts w:hint="eastAsia" w:ascii="仿宋_GB2312" w:hAnsi="仿宋_GB2312" w:eastAsia="仿宋_GB2312" w:cs="仿宋_GB2312"/>
          <w:sz w:val="32"/>
          <w:szCs w:val="32"/>
          <w:highlight w:val="none"/>
        </w:rPr>
        <w:t>组建专家督导团队，搭建数字化资源共享平台与跨区域实践信息库，推广优秀联动项目。联动高等院校，推动社会工作专业实习实践基地建设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完善政府统筹、基层主导、学校支持、家庭参与的协同体系。</w:t>
      </w:r>
    </w:p>
    <w:p w14:paraId="6860E3A2">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49" w:name="_Toc433651416"/>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完善新就业群体友好体系</w:t>
      </w:r>
      <w:bookmarkEnd w:id="49"/>
    </w:p>
    <w:p w14:paraId="5E8D9C75">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强化党建引领与治理融入。</w:t>
      </w:r>
      <w:r>
        <w:rPr>
          <w:rFonts w:hint="eastAsia" w:ascii="仿宋_GB2312" w:hAnsi="仿宋_GB2312" w:eastAsia="仿宋_GB2312" w:cs="仿宋_GB2312"/>
          <w:sz w:val="32"/>
          <w:szCs w:val="32"/>
          <w:highlight w:val="none"/>
        </w:rPr>
        <w:t>在新就业群体网点与聚集区建立功能性党组织或流动党员联络站，实现党建与服务双覆盖。推荐优秀新就业群体代表参选党代表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人大代表、政协委员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吸纳新就业群体党员担任兼职网格员、楼门长助理，参与隐患排查、政策宣传、文明交通引导等治理工作。创新“小哥议事会”等新就业群体参与机制，通过线上常态化报名与线下主题招募相结合的模式，吸引新就业群体深度融入社会治理场景。</w:t>
      </w:r>
    </w:p>
    <w:p w14:paraId="6C8E8EAB">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深化数据赋能精准服务。</w:t>
      </w:r>
      <w:r>
        <w:rPr>
          <w:rFonts w:hint="eastAsia" w:ascii="仿宋_GB2312" w:hAnsi="仿宋_GB2312" w:eastAsia="仿宋_GB2312" w:cs="仿宋_GB2312"/>
          <w:sz w:val="32"/>
          <w:szCs w:val="32"/>
          <w:highlight w:val="none"/>
        </w:rPr>
        <w:t>在严守数据安全前提下，融合多源数据构建新就业群体动态数字画像，分析工作轨迹与服务需求，优化服务站点布局与政策推送。推进“</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驿站”标准化建设，结合家园中心试点</w:t>
      </w:r>
      <w:r>
        <w:rPr>
          <w:rFonts w:hint="eastAsia" w:ascii="仿宋_GB2312" w:hAnsi="仿宋_GB2312" w:eastAsia="仿宋_GB2312" w:cs="仿宋_GB2312"/>
          <w:sz w:val="32"/>
          <w:szCs w:val="32"/>
          <w:highlight w:val="none"/>
          <w:lang w:eastAsia="zh-CN"/>
        </w:rPr>
        <w:t>建设</w:t>
      </w:r>
      <w:r>
        <w:rPr>
          <w:rFonts w:hint="eastAsia" w:ascii="仿宋_GB2312" w:hAnsi="仿宋_GB2312" w:eastAsia="仿宋_GB2312" w:cs="仿宋_GB2312"/>
          <w:sz w:val="32"/>
          <w:szCs w:val="32"/>
          <w:highlight w:val="none"/>
        </w:rPr>
        <w:t>就业指导服务中心，整合职业规划、心理疏导、法律咨询、技能培训等服务资源，打通服务新就业群体最后一米。</w:t>
      </w:r>
    </w:p>
    <w:p w14:paraId="17037C07">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健全激励保障与社会融入体系。</w:t>
      </w:r>
      <w:r>
        <w:rPr>
          <w:rFonts w:hint="eastAsia" w:ascii="仿宋_GB2312" w:hAnsi="仿宋_GB2312" w:eastAsia="仿宋_GB2312" w:cs="仿宋_GB2312"/>
          <w:sz w:val="32"/>
          <w:szCs w:val="32"/>
          <w:highlight w:val="none"/>
        </w:rPr>
        <w:t>构建志愿服务与治理参与积分荣誉体系，将新就业群体志愿服务、应急响应、隐患上报等行为量化积分，积分可与公共服务挂钩。</w:t>
      </w:r>
    </w:p>
    <w:p w14:paraId="3F8C92BF">
      <w:pPr>
        <w:pStyle w:val="24"/>
        <w:keepNext w:val="0"/>
        <w:keepLines w:val="0"/>
        <w:pageBreakBefore w:val="0"/>
        <w:widowControl w:val="0"/>
        <w:kinsoku/>
        <w:wordWrap/>
        <w:overflowPunct w:val="0"/>
        <w:topLinePunct w:val="0"/>
        <w:autoSpaceDE/>
        <w:autoSpaceDN/>
        <w:bidi w:val="0"/>
        <w:adjustRightInd/>
        <w:snapToGrid/>
        <w:spacing w:before="313" w:beforeLines="100" w:after="313" w:afterLines="100" w:line="560" w:lineRule="exact"/>
        <w:ind w:firstLine="0" w:firstLineChars="0"/>
        <w:jc w:val="center"/>
        <w:textAlignment w:val="auto"/>
        <w:outlineLvl w:val="0"/>
        <w:rPr>
          <w:rFonts w:ascii="黑体" w:hAnsi="黑体" w:eastAsia="黑体"/>
          <w:sz w:val="32"/>
          <w:szCs w:val="32"/>
          <w:highlight w:val="none"/>
        </w:rPr>
      </w:pPr>
      <w:bookmarkStart w:id="50" w:name="_Toc1967334441"/>
      <w:r>
        <w:rPr>
          <w:rFonts w:hint="eastAsia" w:ascii="黑体" w:hAnsi="黑体" w:eastAsia="黑体"/>
          <w:sz w:val="32"/>
          <w:szCs w:val="32"/>
          <w:highlight w:val="none"/>
        </w:rPr>
        <w:t>第八章  保障措施</w:t>
      </w:r>
      <w:bookmarkEnd w:id="50"/>
    </w:p>
    <w:p w14:paraId="249FFB30">
      <w:pPr>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jc w:val="both"/>
        <w:textAlignment w:val="auto"/>
        <w:outlineLvl w:val="1"/>
        <w:rPr>
          <w:rFonts w:ascii="黑体" w:hAnsi="黑体" w:eastAsia="黑体" w:cs="黑体"/>
          <w:sz w:val="32"/>
          <w:szCs w:val="32"/>
          <w:highlight w:val="none"/>
        </w:rPr>
      </w:pPr>
      <w:bookmarkStart w:id="51" w:name="_Toc184237028"/>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lang w:val="en-US" w:eastAsia="zh-CN"/>
        </w:rPr>
        <w:t>强化组织领导</w:t>
      </w:r>
      <w:bookmarkEnd w:id="51"/>
    </w:p>
    <w:p w14:paraId="05AAA576">
      <w:pPr>
        <w:pStyle w:val="24"/>
        <w:keepNext w:val="0"/>
        <w:keepLines w:val="0"/>
        <w:pageBreakBefore w:val="0"/>
        <w:widowControl w:val="0"/>
        <w:kinsoku/>
        <w:wordWrap/>
        <w:overflowPunct w:val="0"/>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健全高位统筹的决策协调机制</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充分发挥区委社会工作领导小组的</w:t>
      </w:r>
      <w:r>
        <w:rPr>
          <w:rFonts w:hint="eastAsia" w:ascii="仿宋_GB2312" w:hAnsi="仿宋_GB2312" w:eastAsia="仿宋_GB2312" w:cs="仿宋_GB2312"/>
          <w:sz w:val="32"/>
          <w:szCs w:val="32"/>
          <w:highlight w:val="none"/>
          <w:lang w:val="en-US" w:eastAsia="zh-CN"/>
        </w:rPr>
        <w:t>统筹</w:t>
      </w:r>
      <w:r>
        <w:rPr>
          <w:rFonts w:hint="eastAsia" w:ascii="仿宋_GB2312" w:hAnsi="仿宋_GB2312" w:eastAsia="仿宋_GB2312" w:cs="仿宋_GB2312"/>
          <w:sz w:val="32"/>
          <w:szCs w:val="32"/>
          <w:highlight w:val="none"/>
        </w:rPr>
        <w:t>作用，领导小组负责审定重大事项、分解重点任务、协调跨部门难题、督导规划进度，确保社会治理工作系统推进。</w:t>
      </w:r>
    </w:p>
    <w:p w14:paraId="52D7943F">
      <w:pPr>
        <w:pStyle w:val="24"/>
        <w:keepNext w:val="0"/>
        <w:keepLines w:val="0"/>
        <w:pageBreakBefore w:val="0"/>
        <w:widowControl w:val="0"/>
        <w:kinsoku/>
        <w:wordWrap/>
        <w:overflowPunct w:val="0"/>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构建权责清晰的纵向执行链条</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各相关单位与街乡镇依据本规划制定详细的实施方案与任务清单，明确主责领导、责任部门、时间节点与关键成果。实行主要领导牵头、分管领导负责、具体科室落实的责任制，形成区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街</w:t>
      </w:r>
      <w:r>
        <w:rPr>
          <w:rFonts w:hint="eastAsia" w:ascii="仿宋_GB2312" w:hAnsi="仿宋_GB2312" w:eastAsia="仿宋_GB2312" w:cs="仿宋_GB2312"/>
          <w:sz w:val="32"/>
          <w:szCs w:val="32"/>
          <w:highlight w:val="none"/>
          <w:lang w:eastAsia="zh-CN"/>
        </w:rPr>
        <w:t>乡镇</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社区（村）三级联动工作格局，确保各项任务层层有人抓、事事有人管。</w:t>
      </w:r>
    </w:p>
    <w:p w14:paraId="4B00FE48">
      <w:pPr>
        <w:keepNext w:val="0"/>
        <w:keepLines w:val="0"/>
        <w:pageBreakBefore w:val="0"/>
        <w:widowControl w:val="0"/>
        <w:kinsoku/>
        <w:wordWrap/>
        <w:overflowPunct w:val="0"/>
        <w:topLinePunct w:val="0"/>
        <w:autoSpaceDE/>
        <w:autoSpaceDN/>
        <w:bidi w:val="0"/>
        <w:adjustRightInd/>
        <w:snapToGrid/>
        <w:spacing w:after="0" w:line="540" w:lineRule="exact"/>
        <w:ind w:firstLine="640" w:firstLineChars="200"/>
        <w:jc w:val="both"/>
        <w:textAlignment w:val="auto"/>
        <w:outlineLvl w:val="1"/>
        <w:rPr>
          <w:rFonts w:ascii="黑体" w:hAnsi="黑体" w:eastAsia="黑体" w:cs="黑体"/>
          <w:sz w:val="32"/>
          <w:szCs w:val="32"/>
          <w:highlight w:val="none"/>
        </w:rPr>
      </w:pPr>
      <w:bookmarkStart w:id="52" w:name="_Toc1947794269"/>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lang w:val="en-US" w:eastAsia="zh-CN"/>
        </w:rPr>
        <w:t>实施</w:t>
      </w:r>
      <w:r>
        <w:rPr>
          <w:rFonts w:hint="eastAsia" w:ascii="黑体" w:hAnsi="黑体" w:eastAsia="黑体" w:cs="黑体"/>
          <w:sz w:val="32"/>
          <w:szCs w:val="32"/>
          <w:highlight w:val="none"/>
        </w:rPr>
        <w:t>过程管控</w:t>
      </w:r>
      <w:bookmarkEnd w:id="52"/>
    </w:p>
    <w:p w14:paraId="5BCAAD3F">
      <w:pPr>
        <w:pStyle w:val="24"/>
        <w:keepNext w:val="0"/>
        <w:keepLines w:val="0"/>
        <w:pageBreakBefore w:val="0"/>
        <w:widowControl w:val="0"/>
        <w:kinsoku/>
        <w:wordWrap/>
        <w:overflowPunct w:val="0"/>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实施全周期的动态监测管理</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建立规划任务数字化管理台账，对重点任务的进展、资源投入、存在风险进行实时跟踪与可视化监测。建立健全信息报送与共享机制，实现各部门、各街乡</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rPr>
        <w:t>工作进展的动态更新管理。</w:t>
      </w:r>
    </w:p>
    <w:p w14:paraId="73E4A447">
      <w:pPr>
        <w:pStyle w:val="24"/>
        <w:keepNext w:val="0"/>
        <w:keepLines w:val="0"/>
        <w:pageBreakBefore w:val="0"/>
        <w:widowControl w:val="0"/>
        <w:kinsoku/>
        <w:wordWrap/>
        <w:overflowPunct w:val="0"/>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完善闭环评估体系</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建立科学的评估体系，引入高校、专业研究机构等第三方进行独立评估，通过数据分析、实地调研、居民访谈、问卷调查等多种方法，确保评估结果的客观性与公正性。</w:t>
      </w:r>
    </w:p>
    <w:p w14:paraId="615D3180">
      <w:pPr>
        <w:keepNext w:val="0"/>
        <w:keepLines w:val="0"/>
        <w:pageBreakBefore w:val="0"/>
        <w:widowControl w:val="0"/>
        <w:kinsoku/>
        <w:wordWrap/>
        <w:overflowPunct w:val="0"/>
        <w:topLinePunct w:val="0"/>
        <w:autoSpaceDE/>
        <w:autoSpaceDN/>
        <w:bidi w:val="0"/>
        <w:adjustRightInd/>
        <w:snapToGrid/>
        <w:spacing w:after="0" w:line="540" w:lineRule="exact"/>
        <w:ind w:firstLine="640" w:firstLineChars="200"/>
        <w:jc w:val="both"/>
        <w:textAlignment w:val="auto"/>
        <w:outlineLvl w:val="1"/>
        <w:rPr>
          <w:rFonts w:ascii="黑体" w:hAnsi="黑体" w:eastAsia="黑体" w:cs="黑体"/>
          <w:sz w:val="32"/>
          <w:szCs w:val="32"/>
          <w:highlight w:val="none"/>
        </w:rPr>
      </w:pPr>
      <w:bookmarkStart w:id="53" w:name="_Toc337564215"/>
      <w:r>
        <w:rPr>
          <w:rFonts w:hint="eastAsia" w:ascii="黑体" w:hAnsi="黑体" w:eastAsia="黑体" w:cs="黑体"/>
          <w:sz w:val="32"/>
          <w:szCs w:val="32"/>
          <w:highlight w:val="none"/>
          <w:lang w:eastAsia="zh-CN"/>
        </w:rPr>
        <w:t>三</w:t>
      </w:r>
      <w:bookmarkEnd w:id="53"/>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营造治理氛围</w:t>
      </w:r>
    </w:p>
    <w:p w14:paraId="2DDD9FCE">
      <w:pPr>
        <w:pStyle w:val="24"/>
        <w:keepNext w:val="0"/>
        <w:keepLines w:val="0"/>
        <w:pageBreakBefore w:val="0"/>
        <w:widowControl w:val="0"/>
        <w:kinsoku/>
        <w:wordWrap/>
        <w:overflowPunct w:val="0"/>
        <w:topLinePunct w:val="0"/>
        <w:autoSpaceDE/>
        <w:autoSpaceDN/>
        <w:bidi w:val="0"/>
        <w:adjustRightInd/>
        <w:snapToGrid/>
        <w:spacing w:after="0" w:line="540" w:lineRule="exact"/>
        <w:ind w:left="0" w:leftChars="0" w:firstLine="640" w:firstLineChars="200"/>
        <w:textAlignment w:val="auto"/>
        <w:rPr>
          <w:rFonts w:ascii="仿宋" w:hAnsi="仿宋" w:eastAsia="仿宋"/>
          <w:sz w:val="32"/>
          <w:szCs w:val="32"/>
          <w:highlight w:val="none"/>
        </w:rPr>
      </w:pPr>
      <w:r>
        <w:rPr>
          <w:rFonts w:hint="eastAsia" w:ascii="楷体_GB2312" w:hAnsi="楷体_GB2312" w:eastAsia="楷体_GB2312" w:cs="楷体_GB2312"/>
          <w:sz w:val="32"/>
          <w:szCs w:val="32"/>
          <w:highlight w:val="none"/>
        </w:rPr>
        <w:t>开展精准深入的政策解读</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加强政策解读，将政策解读过程转化为凝聚共识、引导预期的过程，把宣传引导工作贯穿</w:t>
      </w:r>
      <w:r>
        <w:rPr>
          <w:rFonts w:hint="eastAsia" w:ascii="仿宋_GB2312" w:hAnsi="仿宋_GB2312" w:eastAsia="仿宋_GB2312" w:cs="仿宋_GB2312"/>
          <w:sz w:val="32"/>
          <w:szCs w:val="32"/>
          <w:highlight w:val="none"/>
          <w:lang w:eastAsia="zh-CN"/>
        </w:rPr>
        <w:t>社会</w:t>
      </w:r>
      <w:r>
        <w:rPr>
          <w:rFonts w:hint="eastAsia" w:ascii="仿宋_GB2312" w:hAnsi="仿宋_GB2312" w:eastAsia="仿宋_GB2312" w:cs="仿宋_GB2312"/>
          <w:sz w:val="32"/>
          <w:szCs w:val="32"/>
          <w:highlight w:val="none"/>
        </w:rPr>
        <w:t>治理实践始终，主动听取群众的意见建议，及时回应社会关切，提高群众的知晓度、参与度和满意度。</w:t>
      </w:r>
    </w:p>
    <w:p w14:paraId="42465BF1">
      <w:pPr>
        <w:pStyle w:val="24"/>
        <w:keepNext w:val="0"/>
        <w:keepLines w:val="0"/>
        <w:pageBreakBefore w:val="0"/>
        <w:widowControl w:val="0"/>
        <w:kinsoku/>
        <w:wordWrap/>
        <w:overflowPunct w:val="0"/>
        <w:topLinePunct w:val="0"/>
        <w:autoSpaceDE/>
        <w:autoSpaceDN/>
        <w:bidi w:val="0"/>
        <w:adjustRightInd/>
        <w:snapToGrid/>
        <w:spacing w:after="0" w:line="540" w:lineRule="exact"/>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营造“副中心有我”的社会治理氛围</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加大宣传力度，持续挖掘和推广</w:t>
      </w:r>
      <w:r>
        <w:rPr>
          <w:rFonts w:hint="eastAsia" w:ascii="仿宋_GB2312" w:hAnsi="仿宋_GB2312" w:eastAsia="仿宋_GB2312" w:cs="仿宋_GB2312"/>
          <w:sz w:val="32"/>
          <w:szCs w:val="32"/>
          <w:highlight w:val="none"/>
          <w:lang w:eastAsia="zh-CN"/>
        </w:rPr>
        <w:t>社会</w:t>
      </w:r>
      <w:r>
        <w:rPr>
          <w:rFonts w:hint="eastAsia" w:ascii="仿宋_GB2312" w:hAnsi="仿宋_GB2312" w:eastAsia="仿宋_GB2312" w:cs="仿宋_GB2312"/>
          <w:sz w:val="32"/>
          <w:szCs w:val="32"/>
          <w:highlight w:val="none"/>
        </w:rPr>
        <w:t>治理的先进经验与典型案例。搭建线上线下相结合的居民互动平台，鼓励市民为</w:t>
      </w:r>
      <w:r>
        <w:rPr>
          <w:rFonts w:hint="eastAsia" w:ascii="仿宋_GB2312" w:hAnsi="仿宋_GB2312" w:eastAsia="仿宋_GB2312" w:cs="仿宋_GB2312"/>
          <w:sz w:val="32"/>
          <w:szCs w:val="32"/>
          <w:highlight w:val="none"/>
          <w:lang w:eastAsia="zh-CN"/>
        </w:rPr>
        <w:t>社会</w:t>
      </w:r>
      <w:r>
        <w:rPr>
          <w:rFonts w:hint="eastAsia" w:ascii="仿宋_GB2312" w:hAnsi="仿宋_GB2312" w:eastAsia="仿宋_GB2312" w:cs="仿宋_GB2312"/>
          <w:sz w:val="32"/>
          <w:szCs w:val="32"/>
          <w:highlight w:val="none"/>
        </w:rPr>
        <w:t>治理建言献策，使共建共治共享理念深入人心，形成人人关心、支持、参与社会治理的浓厚氛围。</w:t>
      </w:r>
    </w:p>
    <w:sectPr>
      <w:footerReference r:id="rId6" w:type="default"/>
      <w:pgSz w:w="11906" w:h="16838"/>
      <w:pgMar w:top="2098" w:right="1474"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Medium">
    <w:altName w:val="Noto Serif SC"/>
    <w:panose1 w:val="00000000000000000000"/>
    <w:charset w:val="80"/>
    <w:family w:val="auto"/>
    <w:pitch w:val="default"/>
    <w:sig w:usb0="00000000" w:usb1="00000000" w:usb2="00000000" w:usb3="00000000" w:csb0="203E0000" w:csb1="0000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4367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B7C69">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4B7C69">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8705">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9E7F2">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A19E7F2">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79114B"/>
    <w:rsid w:val="00007734"/>
    <w:rsid w:val="00011144"/>
    <w:rsid w:val="00021B78"/>
    <w:rsid w:val="000242BA"/>
    <w:rsid w:val="00025BD5"/>
    <w:rsid w:val="00031E45"/>
    <w:rsid w:val="00053DE7"/>
    <w:rsid w:val="000621CA"/>
    <w:rsid w:val="00066202"/>
    <w:rsid w:val="000B1F2D"/>
    <w:rsid w:val="000B2CD5"/>
    <w:rsid w:val="000B346A"/>
    <w:rsid w:val="000B5984"/>
    <w:rsid w:val="000C4A4E"/>
    <w:rsid w:val="000E4794"/>
    <w:rsid w:val="000E542F"/>
    <w:rsid w:val="000E5D27"/>
    <w:rsid w:val="000E7315"/>
    <w:rsid w:val="000E7737"/>
    <w:rsid w:val="000F24F0"/>
    <w:rsid w:val="00122D50"/>
    <w:rsid w:val="001323A3"/>
    <w:rsid w:val="00135573"/>
    <w:rsid w:val="00135C5B"/>
    <w:rsid w:val="00145836"/>
    <w:rsid w:val="00147F1B"/>
    <w:rsid w:val="00154E88"/>
    <w:rsid w:val="00161562"/>
    <w:rsid w:val="00162B33"/>
    <w:rsid w:val="0016487B"/>
    <w:rsid w:val="00176357"/>
    <w:rsid w:val="00180158"/>
    <w:rsid w:val="001A3AE2"/>
    <w:rsid w:val="001B02CC"/>
    <w:rsid w:val="001D36E4"/>
    <w:rsid w:val="001F1441"/>
    <w:rsid w:val="001F4096"/>
    <w:rsid w:val="001F565B"/>
    <w:rsid w:val="001F7277"/>
    <w:rsid w:val="00200403"/>
    <w:rsid w:val="00203B3F"/>
    <w:rsid w:val="002046FD"/>
    <w:rsid w:val="002079BA"/>
    <w:rsid w:val="00217BD2"/>
    <w:rsid w:val="002330B5"/>
    <w:rsid w:val="00255E11"/>
    <w:rsid w:val="00263CAD"/>
    <w:rsid w:val="00266D58"/>
    <w:rsid w:val="00276F15"/>
    <w:rsid w:val="00281E93"/>
    <w:rsid w:val="00292416"/>
    <w:rsid w:val="0029547C"/>
    <w:rsid w:val="002967D3"/>
    <w:rsid w:val="002A37B2"/>
    <w:rsid w:val="002A58A8"/>
    <w:rsid w:val="002A75F1"/>
    <w:rsid w:val="002B2F17"/>
    <w:rsid w:val="002C0B3A"/>
    <w:rsid w:val="002E507B"/>
    <w:rsid w:val="002E5496"/>
    <w:rsid w:val="002E68ED"/>
    <w:rsid w:val="00303183"/>
    <w:rsid w:val="00312B3B"/>
    <w:rsid w:val="00314597"/>
    <w:rsid w:val="00315A5C"/>
    <w:rsid w:val="00315C77"/>
    <w:rsid w:val="00317933"/>
    <w:rsid w:val="0032530B"/>
    <w:rsid w:val="00355706"/>
    <w:rsid w:val="00355C62"/>
    <w:rsid w:val="0035626E"/>
    <w:rsid w:val="00356D89"/>
    <w:rsid w:val="0036006D"/>
    <w:rsid w:val="003653C9"/>
    <w:rsid w:val="003729BB"/>
    <w:rsid w:val="00380373"/>
    <w:rsid w:val="003A1019"/>
    <w:rsid w:val="003A3509"/>
    <w:rsid w:val="003A3845"/>
    <w:rsid w:val="003A4F2F"/>
    <w:rsid w:val="003A5862"/>
    <w:rsid w:val="003B3CD0"/>
    <w:rsid w:val="003C3197"/>
    <w:rsid w:val="003D07F1"/>
    <w:rsid w:val="003E6B83"/>
    <w:rsid w:val="003F6D30"/>
    <w:rsid w:val="0042371D"/>
    <w:rsid w:val="00425D78"/>
    <w:rsid w:val="00426517"/>
    <w:rsid w:val="00430673"/>
    <w:rsid w:val="00454D0E"/>
    <w:rsid w:val="00464D30"/>
    <w:rsid w:val="00475763"/>
    <w:rsid w:val="00477133"/>
    <w:rsid w:val="00477E73"/>
    <w:rsid w:val="004834BA"/>
    <w:rsid w:val="004861C5"/>
    <w:rsid w:val="00491E82"/>
    <w:rsid w:val="004A4BAD"/>
    <w:rsid w:val="004B7038"/>
    <w:rsid w:val="004C1BA2"/>
    <w:rsid w:val="004C7FBE"/>
    <w:rsid w:val="004D6F1E"/>
    <w:rsid w:val="004E0218"/>
    <w:rsid w:val="004E2D59"/>
    <w:rsid w:val="004E46C1"/>
    <w:rsid w:val="004F1498"/>
    <w:rsid w:val="004F6027"/>
    <w:rsid w:val="005027BF"/>
    <w:rsid w:val="00516BD0"/>
    <w:rsid w:val="005300AA"/>
    <w:rsid w:val="00531984"/>
    <w:rsid w:val="0054030C"/>
    <w:rsid w:val="00542BEC"/>
    <w:rsid w:val="00544263"/>
    <w:rsid w:val="00546DFA"/>
    <w:rsid w:val="00551C8D"/>
    <w:rsid w:val="00584175"/>
    <w:rsid w:val="00587D9F"/>
    <w:rsid w:val="00592A10"/>
    <w:rsid w:val="0059722D"/>
    <w:rsid w:val="005A13EF"/>
    <w:rsid w:val="005A2D41"/>
    <w:rsid w:val="005B64B0"/>
    <w:rsid w:val="005B6E02"/>
    <w:rsid w:val="005C578E"/>
    <w:rsid w:val="005C648A"/>
    <w:rsid w:val="005E1DEA"/>
    <w:rsid w:val="00640EFF"/>
    <w:rsid w:val="00661534"/>
    <w:rsid w:val="006665D3"/>
    <w:rsid w:val="0068029D"/>
    <w:rsid w:val="0068266A"/>
    <w:rsid w:val="00692F58"/>
    <w:rsid w:val="006A7633"/>
    <w:rsid w:val="006B00B8"/>
    <w:rsid w:val="006B05FF"/>
    <w:rsid w:val="006E19A0"/>
    <w:rsid w:val="006E4841"/>
    <w:rsid w:val="007015CA"/>
    <w:rsid w:val="00713796"/>
    <w:rsid w:val="0071788D"/>
    <w:rsid w:val="0073429D"/>
    <w:rsid w:val="00737D3E"/>
    <w:rsid w:val="00744E19"/>
    <w:rsid w:val="00763392"/>
    <w:rsid w:val="00764E63"/>
    <w:rsid w:val="00765CC8"/>
    <w:rsid w:val="00767142"/>
    <w:rsid w:val="00772068"/>
    <w:rsid w:val="00772DE8"/>
    <w:rsid w:val="00775DE6"/>
    <w:rsid w:val="00782DB8"/>
    <w:rsid w:val="00795C24"/>
    <w:rsid w:val="007A75CC"/>
    <w:rsid w:val="007C4989"/>
    <w:rsid w:val="007D2F0A"/>
    <w:rsid w:val="007E7F37"/>
    <w:rsid w:val="007F213A"/>
    <w:rsid w:val="00810AA4"/>
    <w:rsid w:val="008152CF"/>
    <w:rsid w:val="008267D3"/>
    <w:rsid w:val="00853A60"/>
    <w:rsid w:val="00853AA8"/>
    <w:rsid w:val="0086564F"/>
    <w:rsid w:val="00886E9A"/>
    <w:rsid w:val="008905E5"/>
    <w:rsid w:val="008A6907"/>
    <w:rsid w:val="008C1D92"/>
    <w:rsid w:val="008D3847"/>
    <w:rsid w:val="008D7E7D"/>
    <w:rsid w:val="008E42F7"/>
    <w:rsid w:val="008E64C7"/>
    <w:rsid w:val="008F4830"/>
    <w:rsid w:val="0090088A"/>
    <w:rsid w:val="00902F71"/>
    <w:rsid w:val="00904318"/>
    <w:rsid w:val="00904347"/>
    <w:rsid w:val="009328AF"/>
    <w:rsid w:val="00941CEE"/>
    <w:rsid w:val="00972E4E"/>
    <w:rsid w:val="009779D9"/>
    <w:rsid w:val="00982C5C"/>
    <w:rsid w:val="009867B7"/>
    <w:rsid w:val="00990A0C"/>
    <w:rsid w:val="009967BE"/>
    <w:rsid w:val="00996BC5"/>
    <w:rsid w:val="009A0031"/>
    <w:rsid w:val="009A2556"/>
    <w:rsid w:val="009A336D"/>
    <w:rsid w:val="009C1C31"/>
    <w:rsid w:val="009D193A"/>
    <w:rsid w:val="009E4D49"/>
    <w:rsid w:val="00A03B0E"/>
    <w:rsid w:val="00A04170"/>
    <w:rsid w:val="00A13689"/>
    <w:rsid w:val="00A2038D"/>
    <w:rsid w:val="00A43E4A"/>
    <w:rsid w:val="00A43F83"/>
    <w:rsid w:val="00A51AC3"/>
    <w:rsid w:val="00A5292A"/>
    <w:rsid w:val="00A52D56"/>
    <w:rsid w:val="00A54B8A"/>
    <w:rsid w:val="00A56693"/>
    <w:rsid w:val="00A744BC"/>
    <w:rsid w:val="00A86C5B"/>
    <w:rsid w:val="00A90765"/>
    <w:rsid w:val="00A95B35"/>
    <w:rsid w:val="00AA0095"/>
    <w:rsid w:val="00AB04BE"/>
    <w:rsid w:val="00AB2426"/>
    <w:rsid w:val="00AB38B7"/>
    <w:rsid w:val="00AB60DE"/>
    <w:rsid w:val="00AC6F84"/>
    <w:rsid w:val="00AE32D7"/>
    <w:rsid w:val="00B00218"/>
    <w:rsid w:val="00B04E71"/>
    <w:rsid w:val="00B2386F"/>
    <w:rsid w:val="00B26A78"/>
    <w:rsid w:val="00B32307"/>
    <w:rsid w:val="00B335D3"/>
    <w:rsid w:val="00B40561"/>
    <w:rsid w:val="00B46306"/>
    <w:rsid w:val="00B52FE5"/>
    <w:rsid w:val="00B6566B"/>
    <w:rsid w:val="00B70317"/>
    <w:rsid w:val="00B93C9A"/>
    <w:rsid w:val="00B9484A"/>
    <w:rsid w:val="00BA6CB1"/>
    <w:rsid w:val="00BB60C1"/>
    <w:rsid w:val="00C11108"/>
    <w:rsid w:val="00C161A8"/>
    <w:rsid w:val="00C21D86"/>
    <w:rsid w:val="00C261B6"/>
    <w:rsid w:val="00C269BC"/>
    <w:rsid w:val="00C31306"/>
    <w:rsid w:val="00C31CA3"/>
    <w:rsid w:val="00C3421D"/>
    <w:rsid w:val="00C41CE1"/>
    <w:rsid w:val="00C4346B"/>
    <w:rsid w:val="00C52D9A"/>
    <w:rsid w:val="00C544C2"/>
    <w:rsid w:val="00C55C80"/>
    <w:rsid w:val="00C628C8"/>
    <w:rsid w:val="00C64B78"/>
    <w:rsid w:val="00C6571D"/>
    <w:rsid w:val="00C77A61"/>
    <w:rsid w:val="00C9316C"/>
    <w:rsid w:val="00CE7B08"/>
    <w:rsid w:val="00D06092"/>
    <w:rsid w:val="00D11D80"/>
    <w:rsid w:val="00D30A5A"/>
    <w:rsid w:val="00D3760C"/>
    <w:rsid w:val="00D47F01"/>
    <w:rsid w:val="00D5798A"/>
    <w:rsid w:val="00D6198C"/>
    <w:rsid w:val="00D6417F"/>
    <w:rsid w:val="00D645AC"/>
    <w:rsid w:val="00D7621E"/>
    <w:rsid w:val="00D76352"/>
    <w:rsid w:val="00DB160B"/>
    <w:rsid w:val="00DC6680"/>
    <w:rsid w:val="00DD49E9"/>
    <w:rsid w:val="00DD6227"/>
    <w:rsid w:val="00DD7AEB"/>
    <w:rsid w:val="00DE070F"/>
    <w:rsid w:val="00DE274D"/>
    <w:rsid w:val="00DE6C97"/>
    <w:rsid w:val="00DF1909"/>
    <w:rsid w:val="00DF45C6"/>
    <w:rsid w:val="00E026A9"/>
    <w:rsid w:val="00E1442B"/>
    <w:rsid w:val="00E24E95"/>
    <w:rsid w:val="00E310BE"/>
    <w:rsid w:val="00E5176D"/>
    <w:rsid w:val="00E617E3"/>
    <w:rsid w:val="00E7403A"/>
    <w:rsid w:val="00E8568F"/>
    <w:rsid w:val="00EA5F74"/>
    <w:rsid w:val="00EA789D"/>
    <w:rsid w:val="00EB53B8"/>
    <w:rsid w:val="00EC75E4"/>
    <w:rsid w:val="00EE0D56"/>
    <w:rsid w:val="00EE0D8C"/>
    <w:rsid w:val="00EE5351"/>
    <w:rsid w:val="00EF49ED"/>
    <w:rsid w:val="00EF58E9"/>
    <w:rsid w:val="00F01015"/>
    <w:rsid w:val="00F026F5"/>
    <w:rsid w:val="00F336F6"/>
    <w:rsid w:val="00F35D39"/>
    <w:rsid w:val="00F40F6E"/>
    <w:rsid w:val="00F53AF9"/>
    <w:rsid w:val="00F65653"/>
    <w:rsid w:val="00F76486"/>
    <w:rsid w:val="00F955DB"/>
    <w:rsid w:val="00FA4673"/>
    <w:rsid w:val="00FC7B16"/>
    <w:rsid w:val="00FD0CB8"/>
    <w:rsid w:val="00FD180B"/>
    <w:rsid w:val="00FD4AE4"/>
    <w:rsid w:val="00FD621D"/>
    <w:rsid w:val="00FE15F6"/>
    <w:rsid w:val="00FE4399"/>
    <w:rsid w:val="00FF5C05"/>
    <w:rsid w:val="05223642"/>
    <w:rsid w:val="078A534A"/>
    <w:rsid w:val="09E772A6"/>
    <w:rsid w:val="0BD51D0C"/>
    <w:rsid w:val="0EDE7803"/>
    <w:rsid w:val="0F938798"/>
    <w:rsid w:val="0FB947BA"/>
    <w:rsid w:val="11F75923"/>
    <w:rsid w:val="14E8498B"/>
    <w:rsid w:val="1614361E"/>
    <w:rsid w:val="16EF352C"/>
    <w:rsid w:val="1AF7F1C4"/>
    <w:rsid w:val="1BFFE635"/>
    <w:rsid w:val="1D6754B8"/>
    <w:rsid w:val="1DEE1EB6"/>
    <w:rsid w:val="1EEFAECD"/>
    <w:rsid w:val="1EFF0637"/>
    <w:rsid w:val="1EFF7BAB"/>
    <w:rsid w:val="23F7CFC7"/>
    <w:rsid w:val="26FBD044"/>
    <w:rsid w:val="26FEAEE5"/>
    <w:rsid w:val="27703991"/>
    <w:rsid w:val="27FDBB8D"/>
    <w:rsid w:val="2D8017AD"/>
    <w:rsid w:val="2DBDEF27"/>
    <w:rsid w:val="2E0917A2"/>
    <w:rsid w:val="2EBFE409"/>
    <w:rsid w:val="2FAF7CF7"/>
    <w:rsid w:val="2FB5C326"/>
    <w:rsid w:val="2FF710F8"/>
    <w:rsid w:val="2FFF0CD7"/>
    <w:rsid w:val="339E98EA"/>
    <w:rsid w:val="33B1596B"/>
    <w:rsid w:val="33DF646D"/>
    <w:rsid w:val="36BF97D4"/>
    <w:rsid w:val="377E79E6"/>
    <w:rsid w:val="383E2539"/>
    <w:rsid w:val="386DBE28"/>
    <w:rsid w:val="38F60C05"/>
    <w:rsid w:val="39FB5C66"/>
    <w:rsid w:val="3B1F5E14"/>
    <w:rsid w:val="3BBF6A24"/>
    <w:rsid w:val="3C65BF55"/>
    <w:rsid w:val="3DFCF159"/>
    <w:rsid w:val="3E5EF5D0"/>
    <w:rsid w:val="3E79114B"/>
    <w:rsid w:val="3E9934B0"/>
    <w:rsid w:val="3EC76F4D"/>
    <w:rsid w:val="3EFF53AB"/>
    <w:rsid w:val="3F35C114"/>
    <w:rsid w:val="3F364533"/>
    <w:rsid w:val="3F771A66"/>
    <w:rsid w:val="3FB2148D"/>
    <w:rsid w:val="3FB800C0"/>
    <w:rsid w:val="3FE705D2"/>
    <w:rsid w:val="3FF73689"/>
    <w:rsid w:val="3FF7CC33"/>
    <w:rsid w:val="3FFD73BC"/>
    <w:rsid w:val="3FFF1188"/>
    <w:rsid w:val="40196E75"/>
    <w:rsid w:val="472ECB17"/>
    <w:rsid w:val="47986B6E"/>
    <w:rsid w:val="4AFDE5EC"/>
    <w:rsid w:val="4BC9A2A9"/>
    <w:rsid w:val="4BE9BD84"/>
    <w:rsid w:val="4E7E543D"/>
    <w:rsid w:val="4EE78014"/>
    <w:rsid w:val="4F3F2F95"/>
    <w:rsid w:val="4FD7B310"/>
    <w:rsid w:val="4FFD57D2"/>
    <w:rsid w:val="55DD364E"/>
    <w:rsid w:val="56599468"/>
    <w:rsid w:val="56FF7150"/>
    <w:rsid w:val="572BDFCE"/>
    <w:rsid w:val="5739775C"/>
    <w:rsid w:val="574A05B2"/>
    <w:rsid w:val="57BDED3B"/>
    <w:rsid w:val="58F749A5"/>
    <w:rsid w:val="59DBDECF"/>
    <w:rsid w:val="59FF8B4C"/>
    <w:rsid w:val="5B3BE618"/>
    <w:rsid w:val="5C5DDB74"/>
    <w:rsid w:val="5CBF09C3"/>
    <w:rsid w:val="5D708954"/>
    <w:rsid w:val="5DFE330F"/>
    <w:rsid w:val="5EBF4594"/>
    <w:rsid w:val="5F0E75AB"/>
    <w:rsid w:val="5F7434A0"/>
    <w:rsid w:val="5FB6ABEE"/>
    <w:rsid w:val="5FD59390"/>
    <w:rsid w:val="5FE7CCAB"/>
    <w:rsid w:val="62FB3AF7"/>
    <w:rsid w:val="656F38EC"/>
    <w:rsid w:val="6576766E"/>
    <w:rsid w:val="65A4D635"/>
    <w:rsid w:val="664C5D83"/>
    <w:rsid w:val="669F49D9"/>
    <w:rsid w:val="67AFB8EB"/>
    <w:rsid w:val="67BFDF84"/>
    <w:rsid w:val="67DFBC70"/>
    <w:rsid w:val="67FE76CF"/>
    <w:rsid w:val="68FF240E"/>
    <w:rsid w:val="6A7771EC"/>
    <w:rsid w:val="6A9E4A45"/>
    <w:rsid w:val="6B3FBC7E"/>
    <w:rsid w:val="6BC20EB3"/>
    <w:rsid w:val="6DCF6ABE"/>
    <w:rsid w:val="6DFC1CB0"/>
    <w:rsid w:val="6E7E8C5E"/>
    <w:rsid w:val="6E874C12"/>
    <w:rsid w:val="6E9B4895"/>
    <w:rsid w:val="6EEFDAA0"/>
    <w:rsid w:val="6F4B8BBF"/>
    <w:rsid w:val="6FEF1E41"/>
    <w:rsid w:val="6FEF922E"/>
    <w:rsid w:val="6FF52396"/>
    <w:rsid w:val="6FF98924"/>
    <w:rsid w:val="6FFAB32F"/>
    <w:rsid w:val="717B525D"/>
    <w:rsid w:val="727F420D"/>
    <w:rsid w:val="73DF734B"/>
    <w:rsid w:val="73FCB622"/>
    <w:rsid w:val="75175B20"/>
    <w:rsid w:val="7577EF73"/>
    <w:rsid w:val="757EE0F4"/>
    <w:rsid w:val="75CCC12F"/>
    <w:rsid w:val="75DC2435"/>
    <w:rsid w:val="76FFF28D"/>
    <w:rsid w:val="775F16FE"/>
    <w:rsid w:val="77D5E6DE"/>
    <w:rsid w:val="77DF317B"/>
    <w:rsid w:val="77EFD88B"/>
    <w:rsid w:val="77FD9AB5"/>
    <w:rsid w:val="77FFA46F"/>
    <w:rsid w:val="795F088B"/>
    <w:rsid w:val="79B9E03E"/>
    <w:rsid w:val="79FAD8F7"/>
    <w:rsid w:val="79FB522F"/>
    <w:rsid w:val="79FB817C"/>
    <w:rsid w:val="7A7DDD60"/>
    <w:rsid w:val="7A9F7FB5"/>
    <w:rsid w:val="7B5EC28F"/>
    <w:rsid w:val="7B742BC9"/>
    <w:rsid w:val="7BBEB2D0"/>
    <w:rsid w:val="7BDCC973"/>
    <w:rsid w:val="7BE7D43D"/>
    <w:rsid w:val="7BFFC22D"/>
    <w:rsid w:val="7BFFFC26"/>
    <w:rsid w:val="7C9DBA88"/>
    <w:rsid w:val="7CAB08BA"/>
    <w:rsid w:val="7CB74E73"/>
    <w:rsid w:val="7CBE2D81"/>
    <w:rsid w:val="7CBF0336"/>
    <w:rsid w:val="7CBF598D"/>
    <w:rsid w:val="7CD797D9"/>
    <w:rsid w:val="7CDA6CE7"/>
    <w:rsid w:val="7CDBCD4B"/>
    <w:rsid w:val="7CE73447"/>
    <w:rsid w:val="7CFA1B43"/>
    <w:rsid w:val="7D3E1635"/>
    <w:rsid w:val="7D6B9A67"/>
    <w:rsid w:val="7D7EDDD4"/>
    <w:rsid w:val="7DAF39E2"/>
    <w:rsid w:val="7DBE7B23"/>
    <w:rsid w:val="7DCDC6C1"/>
    <w:rsid w:val="7DDFB8D3"/>
    <w:rsid w:val="7DEF7470"/>
    <w:rsid w:val="7DF83628"/>
    <w:rsid w:val="7DFC9D7A"/>
    <w:rsid w:val="7DFFDA3C"/>
    <w:rsid w:val="7E7733CA"/>
    <w:rsid w:val="7E8F03E3"/>
    <w:rsid w:val="7EB5A3BD"/>
    <w:rsid w:val="7EBF1DBC"/>
    <w:rsid w:val="7ED7474F"/>
    <w:rsid w:val="7EDDA899"/>
    <w:rsid w:val="7EEEE80E"/>
    <w:rsid w:val="7EEF636B"/>
    <w:rsid w:val="7EEFC1E9"/>
    <w:rsid w:val="7EF916BB"/>
    <w:rsid w:val="7EFF02E1"/>
    <w:rsid w:val="7EFFDCFE"/>
    <w:rsid w:val="7F36E62F"/>
    <w:rsid w:val="7F4FB3EE"/>
    <w:rsid w:val="7F5F81B8"/>
    <w:rsid w:val="7F7E1618"/>
    <w:rsid w:val="7F7F279E"/>
    <w:rsid w:val="7F7FB07E"/>
    <w:rsid w:val="7F942C06"/>
    <w:rsid w:val="7FA7D2EF"/>
    <w:rsid w:val="7FBE1946"/>
    <w:rsid w:val="7FC2DB14"/>
    <w:rsid w:val="7FC48FEA"/>
    <w:rsid w:val="7FCF38A9"/>
    <w:rsid w:val="7FD1660B"/>
    <w:rsid w:val="7FDF5B2C"/>
    <w:rsid w:val="7FE6EC1D"/>
    <w:rsid w:val="7FE70A36"/>
    <w:rsid w:val="7FEF651D"/>
    <w:rsid w:val="7FEF7921"/>
    <w:rsid w:val="7FF1DD5A"/>
    <w:rsid w:val="7FFD8C6F"/>
    <w:rsid w:val="7FFD9B8C"/>
    <w:rsid w:val="7FFF30F6"/>
    <w:rsid w:val="7FFF537E"/>
    <w:rsid w:val="7FFFAA65"/>
    <w:rsid w:val="7FFFCFD0"/>
    <w:rsid w:val="7FFFCFFB"/>
    <w:rsid w:val="84FE0073"/>
    <w:rsid w:val="889E9D9A"/>
    <w:rsid w:val="8BCDD49F"/>
    <w:rsid w:val="8DFF3356"/>
    <w:rsid w:val="8E7F580C"/>
    <w:rsid w:val="91936E76"/>
    <w:rsid w:val="955955AC"/>
    <w:rsid w:val="96F51B84"/>
    <w:rsid w:val="97C64531"/>
    <w:rsid w:val="97FFAA7F"/>
    <w:rsid w:val="995FB475"/>
    <w:rsid w:val="99FAECD4"/>
    <w:rsid w:val="9B9F034C"/>
    <w:rsid w:val="9BFE860C"/>
    <w:rsid w:val="9DFDF342"/>
    <w:rsid w:val="9DFFD3B3"/>
    <w:rsid w:val="9F7DA4B1"/>
    <w:rsid w:val="9FFF2209"/>
    <w:rsid w:val="A0BE92A0"/>
    <w:rsid w:val="A2F35E30"/>
    <w:rsid w:val="A3DB42D8"/>
    <w:rsid w:val="A5FC72D1"/>
    <w:rsid w:val="A72D5F2E"/>
    <w:rsid w:val="A7FF0CE5"/>
    <w:rsid w:val="AB5E87D8"/>
    <w:rsid w:val="AC3D8E80"/>
    <w:rsid w:val="ADD78B00"/>
    <w:rsid w:val="ADFD94FE"/>
    <w:rsid w:val="AFFF2E58"/>
    <w:rsid w:val="B1DF82D2"/>
    <w:rsid w:val="B2F95650"/>
    <w:rsid w:val="B39DE7ED"/>
    <w:rsid w:val="B3EEF9DF"/>
    <w:rsid w:val="B59B2BF8"/>
    <w:rsid w:val="B6F9ADB8"/>
    <w:rsid w:val="B757DB60"/>
    <w:rsid w:val="B7F315F5"/>
    <w:rsid w:val="BB9F8A8D"/>
    <w:rsid w:val="BC1D8BC7"/>
    <w:rsid w:val="BCF7030A"/>
    <w:rsid w:val="BDF75131"/>
    <w:rsid w:val="BECF7E96"/>
    <w:rsid w:val="BEE35DA3"/>
    <w:rsid w:val="BF961B81"/>
    <w:rsid w:val="BFABE7DD"/>
    <w:rsid w:val="BFBBC138"/>
    <w:rsid w:val="BFFB7310"/>
    <w:rsid w:val="BFFF107D"/>
    <w:rsid w:val="BFFF8D77"/>
    <w:rsid w:val="BFFFD75B"/>
    <w:rsid w:val="C3FFC6CB"/>
    <w:rsid w:val="C577AA48"/>
    <w:rsid w:val="C5EF5A9E"/>
    <w:rsid w:val="C77E1082"/>
    <w:rsid w:val="C7D76B18"/>
    <w:rsid w:val="CDDF7BD5"/>
    <w:rsid w:val="CFCC2F1A"/>
    <w:rsid w:val="CFFE0197"/>
    <w:rsid w:val="D4EF86DD"/>
    <w:rsid w:val="D5FFA60F"/>
    <w:rsid w:val="D99FA449"/>
    <w:rsid w:val="DA7E1711"/>
    <w:rsid w:val="DBBB3418"/>
    <w:rsid w:val="DC6B7EB2"/>
    <w:rsid w:val="DDFB5A37"/>
    <w:rsid w:val="DE954A5B"/>
    <w:rsid w:val="DEF3ED84"/>
    <w:rsid w:val="DEFE7219"/>
    <w:rsid w:val="DEFF0BF0"/>
    <w:rsid w:val="DF0F54DF"/>
    <w:rsid w:val="DF675DD1"/>
    <w:rsid w:val="DF7F9AD1"/>
    <w:rsid w:val="DF87D07C"/>
    <w:rsid w:val="DFBF192E"/>
    <w:rsid w:val="DFCED840"/>
    <w:rsid w:val="DFD662D1"/>
    <w:rsid w:val="DFDF7F02"/>
    <w:rsid w:val="DFDF9628"/>
    <w:rsid w:val="DFEF6EB8"/>
    <w:rsid w:val="DFFB1E28"/>
    <w:rsid w:val="DFFD19F3"/>
    <w:rsid w:val="DFFE678A"/>
    <w:rsid w:val="DFFFD4B5"/>
    <w:rsid w:val="E3DE2105"/>
    <w:rsid w:val="E3DEBD47"/>
    <w:rsid w:val="E5FF482B"/>
    <w:rsid w:val="E7EDDD6D"/>
    <w:rsid w:val="EAEF1EFE"/>
    <w:rsid w:val="EEBFD82E"/>
    <w:rsid w:val="EED3F7AA"/>
    <w:rsid w:val="EF545097"/>
    <w:rsid w:val="EF7354FD"/>
    <w:rsid w:val="EF7DB2D9"/>
    <w:rsid w:val="EFF792A3"/>
    <w:rsid w:val="EFFA4484"/>
    <w:rsid w:val="EFFD7D09"/>
    <w:rsid w:val="F1B31665"/>
    <w:rsid w:val="F2AF807A"/>
    <w:rsid w:val="F2DD7FF2"/>
    <w:rsid w:val="F37AC843"/>
    <w:rsid w:val="F4D326C2"/>
    <w:rsid w:val="F5BA0862"/>
    <w:rsid w:val="F5BDEF7F"/>
    <w:rsid w:val="F6D78C60"/>
    <w:rsid w:val="F6FF3C12"/>
    <w:rsid w:val="F787326F"/>
    <w:rsid w:val="F7B6848B"/>
    <w:rsid w:val="F7DF896E"/>
    <w:rsid w:val="F7E91E17"/>
    <w:rsid w:val="F7EBB9CE"/>
    <w:rsid w:val="F96E9669"/>
    <w:rsid w:val="F9BD5C91"/>
    <w:rsid w:val="F9CF1F54"/>
    <w:rsid w:val="FA5D7D3C"/>
    <w:rsid w:val="FACF6DA6"/>
    <w:rsid w:val="FAEF67A0"/>
    <w:rsid w:val="FAFE9C61"/>
    <w:rsid w:val="FB7393C1"/>
    <w:rsid w:val="FBAD98E9"/>
    <w:rsid w:val="FBB7517B"/>
    <w:rsid w:val="FBB99AE3"/>
    <w:rsid w:val="FBBAB969"/>
    <w:rsid w:val="FBDA3167"/>
    <w:rsid w:val="FBE66399"/>
    <w:rsid w:val="FBFAEF71"/>
    <w:rsid w:val="FBFC281E"/>
    <w:rsid w:val="FBFD8904"/>
    <w:rsid w:val="FBFFD242"/>
    <w:rsid w:val="FCEF0ECF"/>
    <w:rsid w:val="FD5188BB"/>
    <w:rsid w:val="FDA92945"/>
    <w:rsid w:val="FDBA4FA0"/>
    <w:rsid w:val="FDCE6A15"/>
    <w:rsid w:val="FDCF073A"/>
    <w:rsid w:val="FDEB30B2"/>
    <w:rsid w:val="FDF7784A"/>
    <w:rsid w:val="FE57EDDB"/>
    <w:rsid w:val="FE70B241"/>
    <w:rsid w:val="FEDD6298"/>
    <w:rsid w:val="FEDE387F"/>
    <w:rsid w:val="FEDF3494"/>
    <w:rsid w:val="FEEBC89B"/>
    <w:rsid w:val="FEEF3488"/>
    <w:rsid w:val="FEF7D267"/>
    <w:rsid w:val="FEFD7E68"/>
    <w:rsid w:val="FEFDD185"/>
    <w:rsid w:val="FEFFE967"/>
    <w:rsid w:val="FF3F05C8"/>
    <w:rsid w:val="FF4B2E32"/>
    <w:rsid w:val="FF5D889D"/>
    <w:rsid w:val="FF6452DA"/>
    <w:rsid w:val="FF73818C"/>
    <w:rsid w:val="FF7C4084"/>
    <w:rsid w:val="FF7CAD33"/>
    <w:rsid w:val="FF9F5FAA"/>
    <w:rsid w:val="FFB14180"/>
    <w:rsid w:val="FFB766BC"/>
    <w:rsid w:val="FFD4E5DE"/>
    <w:rsid w:val="FFDD2684"/>
    <w:rsid w:val="FFE5097F"/>
    <w:rsid w:val="FFEA54F2"/>
    <w:rsid w:val="FFEDCE27"/>
    <w:rsid w:val="FFEF4485"/>
    <w:rsid w:val="FFEF6874"/>
    <w:rsid w:val="FFEFD467"/>
    <w:rsid w:val="FFF3412F"/>
    <w:rsid w:val="FFF6DF7E"/>
    <w:rsid w:val="FFF7F5EC"/>
    <w:rsid w:val="FFF7F689"/>
    <w:rsid w:val="FFF859F8"/>
    <w:rsid w:val="FFFB9C80"/>
    <w:rsid w:val="FFFF56DF"/>
    <w:rsid w:val="FFFFAF3A"/>
    <w:rsid w:val="FFFFBA27"/>
    <w:rsid w:val="FFFFF8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napToGrid w:val="0"/>
      <w:spacing w:before="50" w:beforeLines="50" w:line="480" w:lineRule="auto"/>
      <w:ind w:firstLine="200" w:firstLineChars="200"/>
      <w:jc w:val="left"/>
      <w:outlineLvl w:val="1"/>
    </w:pPr>
    <w:rPr>
      <w:rFonts w:ascii="Heiti SC Medium" w:hAnsi="Heiti SC Medium" w:eastAsia="仿宋" w:cs="Heiti SC Medium"/>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99"/>
    <w:pPr>
      <w:widowControl w:val="0"/>
      <w:ind w:firstLine="420" w:firstLineChars="200"/>
      <w:jc w:val="both"/>
    </w:pPr>
    <w:rPr>
      <w:rFonts w:ascii="Times New Roman" w:hAnsi="Times New Roman" w:eastAsia="仿宋_GB2312" w:cs="Times New Roman"/>
      <w:kern w:val="2"/>
      <w:sz w:val="30"/>
      <w:szCs w:val="30"/>
      <w:lang w:val="en-US" w:eastAsia="zh-CN" w:bidi="ar-SA"/>
    </w:rPr>
  </w:style>
  <w:style w:type="paragraph" w:styleId="5">
    <w:name w:val="annotation text"/>
    <w:qFormat/>
    <w:uiPriority w:val="0"/>
    <w:pPr>
      <w:widowControl w:val="0"/>
      <w:spacing w:after="160" w:line="278" w:lineRule="auto"/>
      <w:jc w:val="left"/>
    </w:pPr>
    <w:rPr>
      <w:rFonts w:asciiTheme="minorHAnsi" w:hAnsiTheme="minorHAnsi" w:eastAsiaTheme="minorEastAsia" w:cstheme="minorBidi"/>
      <w:kern w:val="2"/>
      <w:sz w:val="21"/>
      <w:szCs w:val="24"/>
      <w:lang w:val="en-US" w:eastAsia="zh-CN" w:bidi="ar-SA"/>
    </w:rPr>
  </w:style>
  <w:style w:type="paragraph" w:styleId="6">
    <w:name w:val="Body Text"/>
    <w:basedOn w:val="1"/>
    <w:qFormat/>
    <w:uiPriority w:val="0"/>
    <w:pPr>
      <w:spacing w:after="360"/>
      <w:jc w:val="center"/>
    </w:pPr>
    <w:rPr>
      <w:rFonts w:eastAsia="黑体"/>
      <w:b/>
      <w:sz w:val="4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index 9"/>
    <w:basedOn w:val="1"/>
    <w:next w:val="1"/>
    <w:qFormat/>
    <w:uiPriority w:val="0"/>
    <w:pPr>
      <w:ind w:left="3360"/>
      <w:jc w:val="left"/>
    </w:pPr>
  </w:style>
  <w:style w:type="paragraph" w:styleId="11">
    <w:name w:val="toc 2"/>
    <w:basedOn w:val="1"/>
    <w:next w:val="1"/>
    <w:qFormat/>
    <w:uiPriority w:val="39"/>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jc w:val="left"/>
    </w:pPr>
    <w:rPr>
      <w:rFonts w:cs="Times New Roman"/>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Emphasis"/>
    <w:qFormat/>
    <w:uiPriority w:val="0"/>
    <w:rPr>
      <w:i/>
    </w:rPr>
  </w:style>
  <w:style w:type="character" w:styleId="19">
    <w:name w:val="Hyperlink"/>
    <w:basedOn w:val="16"/>
    <w:unhideWhenUsed/>
    <w:qFormat/>
    <w:uiPriority w:val="99"/>
    <w:rPr>
      <w:color w:val="0026E5" w:themeColor="hyperlink"/>
      <w:u w:val="single"/>
      <w14:textFill>
        <w14:solidFill>
          <w14:schemeClr w14:val="hlink"/>
        </w14:solidFill>
      </w14:textFill>
    </w:rPr>
  </w:style>
  <w:style w:type="paragraph" w:customStyle="1" w:styleId="20">
    <w:name w:val="TOC 11"/>
    <w:next w:val="1"/>
    <w:qFormat/>
    <w:uiPriority w:val="0"/>
    <w:pPr>
      <w:wordWrap w:val="0"/>
      <w:spacing w:after="160" w:line="278" w:lineRule="auto"/>
      <w:jc w:val="both"/>
    </w:pPr>
    <w:rPr>
      <w:rFonts w:ascii="Times New Roman" w:hAnsi="Times New Roman" w:eastAsia="宋体" w:cs="Times New Roman"/>
      <w:sz w:val="21"/>
      <w:szCs w:val="22"/>
      <w:lang w:val="en-US" w:eastAsia="zh-CN" w:bidi="ar-SA"/>
    </w:rPr>
  </w:style>
  <w:style w:type="paragraph" w:customStyle="1" w:styleId="21">
    <w:name w:val="样式1"/>
    <w:basedOn w:val="1"/>
    <w:qFormat/>
    <w:uiPriority w:val="0"/>
    <w:pPr>
      <w:spacing w:line="360" w:lineRule="auto"/>
      <w:ind w:firstLine="480" w:firstLineChars="200"/>
    </w:pPr>
    <w:rPr>
      <w:rFonts w:ascii="宋体" w:hAnsi="宋体" w:eastAsia="宋体" w:cs="宋体"/>
      <w:sz w:val="24"/>
      <w:szCs w:val="32"/>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仿宋" w:hAnsi="仿宋" w:eastAsia="仿宋" w:cs="仿宋"/>
      <w:sz w:val="20"/>
      <w:szCs w:val="20"/>
      <w:lang w:eastAsia="en-US"/>
    </w:rPr>
  </w:style>
  <w:style w:type="paragraph" w:styleId="24">
    <w:name w:val="List Paragraph"/>
    <w:basedOn w:val="1"/>
    <w:unhideWhenUsed/>
    <w:qFormat/>
    <w:uiPriority w:val="99"/>
    <w:pPr>
      <w:ind w:firstLine="420" w:firstLineChars="200"/>
    </w:pPr>
  </w:style>
  <w:style w:type="character" w:customStyle="1" w:styleId="25">
    <w:name w:val="标题 1 字符"/>
    <w:basedOn w:val="16"/>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16228</Words>
  <Characters>16294</Characters>
  <Lines>128</Lines>
  <Paragraphs>36</Paragraphs>
  <TotalTime>27</TotalTime>
  <ScaleCrop>false</ScaleCrop>
  <LinksUpToDate>false</LinksUpToDate>
  <CharactersWithSpaces>16453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2026-04-04T04:40:00Z</dcterms:created>
  <dc:creator>李嘉营</dc:creator>
  <cp:lastModifiedBy>Zhang</cp:lastModifiedBy>
  <cp:lastPrinted>2026-04-09T03:21:00Z</cp:lastPrinted>
  <dcterms:modified xsi:type="dcterms:W3CDTF">2026-05-09T09:48:29Z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82293A96E43D4C9DBD400F4CB81E1EEF_11</vt:lpwstr>
  </property>
  <property fmtid="{D5CDD505-2E9C-101B-9397-08002B2CF9AE}" pid="4" name="KSOTemplateDocerSaveRecord">
    <vt:lpwstr>eyJoZGlkIjoiYTQzNjI3YTg0YTdlMmYwZmQ5YzAyMGQ5YjFjY2UzODYiLCJ1c2VySWQiOiIxNzcxNTU5NDUzIn0=</vt:lpwstr>
  </property>
</Properties>
</file>