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关于《</w:t>
      </w:r>
      <w:bookmarkStart w:id="0" w:name="_Toc12264"/>
      <w:bookmarkStart w:id="1" w:name="_Toc7927"/>
      <w:bookmarkStart w:id="2" w:name="_Toc2022776070"/>
      <w:bookmarkStart w:id="3" w:name="_Toc1683"/>
      <w:bookmarkStart w:id="4" w:name="_Toc11526"/>
      <w:bookmarkStart w:id="5" w:name="_Toc4521"/>
      <w:bookmarkStart w:id="6" w:name="_Toc26093"/>
      <w:bookmarkStart w:id="7" w:name="_Toc22485"/>
      <w:bookmarkStart w:id="8" w:name="_Toc11048"/>
      <w:bookmarkStart w:id="9" w:name="_Toc29060"/>
      <w:bookmarkStart w:id="10" w:name="_Toc24861"/>
      <w:bookmarkStart w:id="11" w:name="_Toc1461853535"/>
      <w:bookmarkStart w:id="12" w:name="_Toc866563153"/>
      <w:bookmarkStart w:id="13" w:name="_Toc17157"/>
      <w:bookmarkStart w:id="14" w:name="_Toc27134"/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北京城市副中心（通州区）“十五五”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时期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科技创新发展规划（征求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意见稿）</w:t>
      </w:r>
      <w:r>
        <w:rPr>
          <w:rFonts w:hint="eastAsia" w:ascii="方正小标宋简体" w:hAnsi="仿宋_GB2312" w:eastAsia="方正小标宋简体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 w:color="auto"/>
        </w:rPr>
      </w:pPr>
      <w:bookmarkStart w:id="15" w:name="_Toc21093"/>
      <w:bookmarkStart w:id="16" w:name="_Toc2818"/>
      <w:bookmarkStart w:id="17" w:name="_Toc92818517"/>
      <w:bookmarkStart w:id="18" w:name="_Toc27801"/>
      <w:bookmarkStart w:id="19" w:name="_Toc1252345155"/>
      <w:bookmarkStart w:id="20" w:name="_Toc8625"/>
      <w:bookmarkStart w:id="21" w:name="_Toc12590"/>
      <w:bookmarkStart w:id="22" w:name="_Toc13501"/>
      <w:bookmarkStart w:id="23" w:name="_Toc1786436564"/>
      <w:bookmarkStart w:id="24" w:name="_Toc7205"/>
      <w:bookmarkStart w:id="25" w:name="_Toc336567400"/>
      <w:bookmarkStart w:id="26" w:name="_Toc7701"/>
      <w:bookmarkStart w:id="27" w:name="_Toc19062"/>
      <w:bookmarkStart w:id="28" w:name="_Toc2119186901"/>
      <w:bookmarkStart w:id="29" w:name="_Toc29612"/>
      <w:bookmarkStart w:id="30" w:name="_Toc4633"/>
      <w:bookmarkStart w:id="31" w:name="_Toc11600"/>
      <w:bookmarkStart w:id="32" w:name="_Toc2657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一、规划背景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北京城市副中心（通州区）（以下简称“城市副中心”）锚定行政办公、商务服务、文化旅游和科技创新的“3+1”主导功能定位，以科技创新赋能高质量发展，全力支撑国际科技创新中心建设，高质量打造北京新两翼中的一翼，高标准建设国家绿色发展示范区、国际一流的和谐宜居之都示范区、新型城镇化示范区、京津冀区域协同发展示范区和与北三县一体化高质量发展示范区，在科创资源提质增量等方面取得积极成效。迈入“十五五”时期，国家创新驱动发展战略纵深推进，京津冀协同发展不断深化，北京（京津冀）国际科技创新中心建设全面推进，科技创新已成为引领新质生产力发展的关键引擎。在当前这一承前启后、继往开来的重要节点，未来五年，城市副中心需乘势而起、主动作为，夯实基础、重点发力，在服务北京（京津冀）国际科技创新中心建设全局中肩负新使命、展现新担当。</w:t>
      </w:r>
      <w:bookmarkStart w:id="87" w:name="_GoBack"/>
      <w:bookmarkEnd w:id="8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3" w:name="_Toc2595"/>
      <w:bookmarkStart w:id="34" w:name="_Toc18803"/>
      <w:bookmarkStart w:id="35" w:name="_Toc18515"/>
      <w:bookmarkStart w:id="36" w:name="_Toc19453"/>
      <w:bookmarkStart w:id="37" w:name="_Toc5491"/>
      <w:bookmarkStart w:id="38" w:name="_Toc92073748"/>
      <w:bookmarkStart w:id="39" w:name="_Toc19060"/>
      <w:bookmarkStart w:id="40" w:name="_Toc677795838"/>
      <w:bookmarkStart w:id="41" w:name="_Toc2847"/>
      <w:bookmarkStart w:id="42" w:name="_Toc28033"/>
      <w:bookmarkStart w:id="43" w:name="_Toc216365602"/>
      <w:bookmarkStart w:id="44" w:name="_Toc12125"/>
      <w:bookmarkStart w:id="45" w:name="_Toc22964"/>
      <w:bookmarkStart w:id="46" w:name="_Toc927687497"/>
      <w:bookmarkStart w:id="47" w:name="_Toc32018"/>
      <w:bookmarkStart w:id="48" w:name="_Toc18876"/>
      <w:bookmarkStart w:id="49" w:name="_Toc11516"/>
      <w:bookmarkStart w:id="50" w:name="_Toc630345629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二、规划依据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深入贯彻党的二十大和二十届历次全会精神，贯彻落实党中央、国务院关于城市副中心规划建设的决策部署，坚持“世界眼光、国际标准、中国特色、高点定位”，始终将科技创新作为新质生产力的核心驱动力，以国家、市级层面针对城市副中心出台的“3+4+1”一系列政策文件为引领，依据《北京市国民经济和社会发展第十五个五年规划纲要》《北京城市副中心（通州区）第十五个五年规划纲要》等上位文件精神，确保本规划与国家战略导向、首都功能定位、城市副中心发展实际深度契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 w:color="auto"/>
        </w:rPr>
      </w:pPr>
      <w:bookmarkStart w:id="51" w:name="_Toc25122"/>
      <w:bookmarkStart w:id="52" w:name="_Toc1461385578"/>
      <w:bookmarkStart w:id="53" w:name="_Toc1998"/>
      <w:bookmarkStart w:id="54" w:name="_Toc16296"/>
      <w:bookmarkStart w:id="55" w:name="_Toc18931"/>
      <w:bookmarkStart w:id="56" w:name="_Toc9519"/>
      <w:bookmarkStart w:id="57" w:name="_Toc912484859"/>
      <w:bookmarkStart w:id="58" w:name="_Toc188156461"/>
      <w:bookmarkStart w:id="59" w:name="_Toc1924059339"/>
      <w:bookmarkStart w:id="60" w:name="_Toc22680"/>
      <w:bookmarkStart w:id="61" w:name="_Toc2750"/>
      <w:bookmarkStart w:id="62" w:name="_Toc19455"/>
      <w:bookmarkStart w:id="63" w:name="_Toc1845"/>
      <w:bookmarkStart w:id="64" w:name="_Toc2380"/>
      <w:bookmarkStart w:id="65" w:name="_Toc23683"/>
      <w:bookmarkStart w:id="66" w:name="_Toc20452"/>
      <w:bookmarkStart w:id="67" w:name="_Toc766858443"/>
      <w:bookmarkStart w:id="68" w:name="_Toc21184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  <w:t>规划目的与意义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旨在准确把握“十五五”时期国家及北京市科技创新战略总要求和城市副中心定位，明确“十五五”时期城市副中心科技创新核心方向和重点领域，以科技赋能高质量发展，聚力打造首都科技创新重要增长极。力争规划兼具前瞻性战略视野、引领性发展高度与可操作性实施路径，确保科技创新这个“关键变量”转化为高质量发展的“最大增量”，为城市副中心打造中国式现代化进程中城市发展样板注入科技动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四、规划内容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69" w:name="_Toc14548"/>
      <w:bookmarkStart w:id="70" w:name="_Toc16406"/>
      <w:bookmarkStart w:id="71" w:name="_Toc8437"/>
      <w:bookmarkStart w:id="72" w:name="_Toc14358"/>
      <w:bookmarkStart w:id="73" w:name="_Toc22009"/>
      <w:bookmarkStart w:id="74" w:name="_Toc1182601132"/>
      <w:bookmarkStart w:id="75" w:name="_Toc27343"/>
      <w:bookmarkStart w:id="76" w:name="_Toc24298"/>
      <w:bookmarkStart w:id="77" w:name="_Toc1443245785"/>
      <w:bookmarkStart w:id="78" w:name="_Toc10021"/>
      <w:bookmarkStart w:id="79" w:name="_Toc10168"/>
      <w:bookmarkStart w:id="80" w:name="_Toc3630"/>
      <w:bookmarkStart w:id="81" w:name="_Toc952301986"/>
      <w:bookmarkStart w:id="82" w:name="_Toc736938707"/>
      <w:bookmarkStart w:id="83" w:name="_Toc23423"/>
      <w:bookmarkStart w:id="84" w:name="_Toc21149"/>
      <w:bookmarkStart w:id="85" w:name="_Toc1540485854"/>
      <w:bookmarkStart w:id="86" w:name="_Toc31877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规划整体框架分为5章，围绕“纵横”两条核心发展思路系统谋划未来五年副中心科技创新发展路径。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第一章“发展基础与总体要求”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，主要总结“十四五”时期副中心科技创新发展成就，分析瓶颈短板；明确“十五五”时期科技创新发展目标。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第二章“完善城市副中心创新生态链”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纵向以“创新策源—技术攻关—企业创新—成果转化—生态优化”为主线，系统构建创新生态链，锻造城市副中心在首都科技版图中的独特优势。其中，创新策源是源头根基，依托高校院所、科创平台等产出原始创新成果，为链条注入技术供给；技术攻关是关键桥梁，聚焦产业痛点，重点突破“卡脖子”难题；企业创新是主要途径，通过技术创新助力产业创新；成果转化是价值落点，将成熟技术转化为产品与商业模式；生态优化是全程保障，通过人才引育、金融支持、科技服务等要素为各环节提供坚实支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第三章“科技赋能城市副中心新质生产力发展”，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横向围绕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科技赋能重点产业和民生领域”，聚焦数字经济、医药健康、先进制造、绿色发展、时尚科技、文商旅体、未来产业和社会治理，推动科技创新和产业创新深度融合，构建产业需求牵引、科技赋能产业、产业反哺创新的良性循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第四章“优化创新空间格局”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，构建“一轴两带多园”创新空间体系，深化与北京“三城一区”等区域的市域联动，强化京津冀协同创新，积极拓展国际创新合作布局，全面提升城市副中心创新活力与影响力。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第五章“强化规划实施保障”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以强化统筹引领为核心，落实北京城市副中心要素市场化配置综合改革试点部署要求，促进技术、数据、资本等先进生产要素向发展新质生产力集聚；深化科技机制改革，健全教育、科技、人才一体化推进机制，推进中关村先行先试改革措施在城市副中心落地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  <w:t>规划范围与期限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规划范围涵盖城市副中心全域。规划期限为2026年至2030年。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rightChars="150"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北京市通州区科学技术委员会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rightChars="15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617F4"/>
    <w:rsid w:val="04690A15"/>
    <w:rsid w:val="5FFFA6C5"/>
    <w:rsid w:val="6DAA68FE"/>
    <w:rsid w:val="7BBB31DD"/>
    <w:rsid w:val="7BEE84A6"/>
    <w:rsid w:val="7EFDC8F3"/>
    <w:rsid w:val="965F97F1"/>
    <w:rsid w:val="BEE617F4"/>
    <w:rsid w:val="DFF77A17"/>
    <w:rsid w:val="EBFFF88E"/>
    <w:rsid w:val="EF9F284F"/>
    <w:rsid w:val="EFFBA79B"/>
    <w:rsid w:val="FBFE73EB"/>
    <w:rsid w:val="FFD89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2026-04-28T09:05:00Z</dcterms:created>
  <dc:creator>张智博</dc:creator>
  <cp:lastModifiedBy>张智博</cp:lastModifiedBy>
  <dcterms:modified xsi:type="dcterms:W3CDTF">2026-04-29T09:07:22Z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9F1C123E671ED0C248B6EE69B8B3B19E</vt:lpwstr>
  </property>
</Properties>
</file>