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val="0"/>
        <w:snapToGrid w:val="0"/>
        <w:spacing w:line="560" w:lineRule="exact"/>
        <w:ind w:right="0" w:rightChars="0"/>
        <w:textAlignment w:val="auto"/>
        <w:outlineLvl w:val="9"/>
        <w:rPr>
          <w:rFonts w:ascii="黑体" w:hAnsi="黑体" w:eastAsia="黑体" w:cs="黑体"/>
          <w:kern w:val="0"/>
          <w:sz w:val="32"/>
          <w:szCs w:val="32"/>
        </w:rPr>
      </w:pPr>
      <w:bookmarkStart w:id="0" w:name="_GoBack"/>
      <w:bookmarkEnd w:id="0"/>
      <w:r>
        <w:rPr>
          <w:rFonts w:hint="eastAsia" w:ascii="黑体" w:hAnsi="黑体" w:eastAsia="黑体" w:cs="黑体"/>
          <w:kern w:val="0"/>
          <w:sz w:val="32"/>
          <w:szCs w:val="32"/>
        </w:rPr>
        <w:t>附件1</w:t>
      </w:r>
    </w:p>
    <w:p>
      <w:pPr>
        <w:keepNext w:val="0"/>
        <w:keepLines w:val="0"/>
        <w:pageBreakBefore w:val="0"/>
        <w:kinsoku/>
        <w:wordWrap/>
        <w:overflowPunct/>
        <w:topLinePunct w:val="0"/>
        <w:autoSpaceDE/>
        <w:autoSpaceDN/>
        <w:bidi w:val="0"/>
        <w:spacing w:line="560" w:lineRule="exact"/>
        <w:ind w:right="0" w:rightChars="0"/>
        <w:jc w:val="center"/>
        <w:textAlignment w:val="auto"/>
        <w:outlineLvl w:val="9"/>
        <w:rPr>
          <w:rFonts w:hint="eastAsia" w:ascii="方正小标宋简体" w:hAnsi="方正小标宋简体" w:eastAsia="方正小标宋简体" w:cs="方正小标宋简体"/>
          <w:sz w:val="44"/>
          <w:szCs w:val="44"/>
        </w:rPr>
      </w:pPr>
    </w:p>
    <w:p>
      <w:pPr>
        <w:keepNext w:val="0"/>
        <w:keepLines w:val="0"/>
        <w:pageBreakBefore w:val="0"/>
        <w:kinsoku/>
        <w:wordWrap/>
        <w:overflowPunct/>
        <w:topLinePunct w:val="0"/>
        <w:autoSpaceDE/>
        <w:autoSpaceDN/>
        <w:bidi w:val="0"/>
        <w:spacing w:line="560" w:lineRule="exact"/>
        <w:ind w:right="0" w:rightChars="0"/>
        <w:jc w:val="center"/>
        <w:textAlignment w:val="auto"/>
        <w:outlineLvl w:val="9"/>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通州区国家慢性病综合防控示范区</w:t>
      </w:r>
    </w:p>
    <w:p>
      <w:pPr>
        <w:keepNext w:val="0"/>
        <w:keepLines w:val="0"/>
        <w:pageBreakBefore w:val="0"/>
        <w:kinsoku/>
        <w:wordWrap/>
        <w:overflowPunct/>
        <w:topLinePunct w:val="0"/>
        <w:autoSpaceDE/>
        <w:autoSpaceDN/>
        <w:bidi w:val="0"/>
        <w:spacing w:line="560" w:lineRule="exact"/>
        <w:ind w:right="0" w:rightChars="0"/>
        <w:jc w:val="center"/>
        <w:textAlignment w:val="auto"/>
        <w:outlineLvl w:val="9"/>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建设实施方案</w:t>
      </w:r>
      <w:r>
        <w:rPr>
          <w:rFonts w:hint="eastAsia" w:ascii="方正小标宋简体" w:hAnsi="方正小标宋简体" w:eastAsia="方正小标宋简体" w:cs="方正小标宋简体"/>
          <w:sz w:val="44"/>
          <w:szCs w:val="44"/>
          <w:lang w:eastAsia="zh-CN"/>
        </w:rPr>
        <w:t>（征求意见稿）</w:t>
      </w:r>
    </w:p>
    <w:p>
      <w:pPr>
        <w:keepNext w:val="0"/>
        <w:keepLines w:val="0"/>
        <w:pageBreakBefore w:val="0"/>
        <w:kinsoku/>
        <w:wordWrap/>
        <w:overflowPunct/>
        <w:topLinePunct w:val="0"/>
        <w:autoSpaceDE/>
        <w:autoSpaceDN/>
        <w:bidi w:val="0"/>
        <w:spacing w:line="560" w:lineRule="exact"/>
        <w:ind w:right="0" w:rightChars="0"/>
        <w:jc w:val="center"/>
        <w:textAlignment w:val="auto"/>
        <w:outlineLvl w:val="9"/>
        <w:rPr>
          <w:rFonts w:ascii="黑体" w:hAnsi="黑体" w:eastAsia="黑体"/>
          <w:sz w:val="32"/>
          <w:szCs w:val="32"/>
        </w:rPr>
      </w:pPr>
    </w:p>
    <w:p>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为巩固通州区国家慢性病综合防控示范区（以下简称示范区）建设成果，持续推进常态化工作，根据《国家慢性病综合防控示范区建设管理办法》（国卫办疾控发〔2016〕44号）《国家慢性病综合防控示范区建设指标体系（2020版）》及《国家慢性病综合防控示范区建设指引（2025版）》，结合区域实际制订本方案。</w:t>
      </w:r>
    </w:p>
    <w:p>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ascii="黑体" w:hAnsi="黑体" w:eastAsia="黑体"/>
          <w:sz w:val="32"/>
          <w:szCs w:val="32"/>
        </w:rPr>
      </w:pPr>
      <w:r>
        <w:rPr>
          <w:rFonts w:hint="eastAsia" w:ascii="黑体" w:hAnsi="黑体" w:eastAsia="黑体"/>
          <w:sz w:val="32"/>
          <w:szCs w:val="32"/>
        </w:rPr>
        <w:t>一、指导思想</w:t>
      </w:r>
    </w:p>
    <w:p>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以习近平新时代中国特色社会主义思想为指导，贯彻党的二十大精神，坚持健康优先发展战略，立足城市副中心功能定位，推动医防融合，预防和控制重大慢性病发生发展，促进经济发展和社会进步。</w:t>
      </w:r>
    </w:p>
    <w:p>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ascii="黑体" w:hAnsi="黑体" w:eastAsia="黑体"/>
          <w:sz w:val="32"/>
          <w:szCs w:val="32"/>
        </w:rPr>
      </w:pPr>
      <w:r>
        <w:rPr>
          <w:rFonts w:hint="eastAsia" w:ascii="黑体" w:hAnsi="黑体" w:eastAsia="黑体"/>
          <w:sz w:val="32"/>
          <w:szCs w:val="32"/>
        </w:rPr>
        <w:t>二、基本原则</w:t>
      </w:r>
    </w:p>
    <w:p>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坚持政府主导、部门协同、社会参与，完善统筹协调机制，广泛动员社会力量推进健康促进。贯彻预防为主、医防融合方针，中西医并重，构建全链条慢性病防治体系。立足健康优先、以人为本，加强重点人群个性化干预。注重创新引领与示范带动，以信息化为支撑，全面提升通州区慢性病综合防治能力。</w:t>
      </w:r>
    </w:p>
    <w:p>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ascii="黑体" w:hAnsi="黑体" w:eastAsia="黑体"/>
          <w:sz w:val="32"/>
          <w:szCs w:val="32"/>
        </w:rPr>
      </w:pPr>
      <w:r>
        <w:rPr>
          <w:rFonts w:ascii="黑体" w:hAnsi="黑体" w:eastAsia="黑体"/>
          <w:sz w:val="32"/>
          <w:szCs w:val="32"/>
        </w:rPr>
        <w:t>三、工作目标</w:t>
      </w:r>
    </w:p>
    <w:p>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ascii="楷体_GB2312" w:hAnsi="楷体_GB2312" w:eastAsia="楷体_GB2312" w:cs="楷体_GB2312"/>
          <w:sz w:val="32"/>
          <w:szCs w:val="32"/>
        </w:rPr>
      </w:pPr>
      <w:r>
        <w:rPr>
          <w:rFonts w:hint="eastAsia" w:ascii="楷体_GB2312" w:hAnsi="楷体_GB2312" w:eastAsia="楷体_GB2312" w:cs="楷体_GB2312"/>
          <w:sz w:val="32"/>
          <w:szCs w:val="32"/>
        </w:rPr>
        <w:t>（一）总体目标</w:t>
      </w:r>
    </w:p>
    <w:p>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构建覆盖全区、公平可及、系统连续的慢性病“防、筛、管、救、治、康”全链条防控体系，全面提升居民健康水平。</w:t>
      </w:r>
    </w:p>
    <w:p>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ascii="楷体_GB2312" w:hAnsi="楷体_GB2312" w:eastAsia="楷体_GB2312" w:cs="楷体_GB2312"/>
          <w:sz w:val="32"/>
          <w:szCs w:val="32"/>
        </w:rPr>
      </w:pPr>
      <w:r>
        <w:rPr>
          <w:rFonts w:hint="eastAsia" w:ascii="楷体_GB2312" w:hAnsi="楷体_GB2312" w:eastAsia="楷体_GB2312" w:cs="楷体_GB2312"/>
          <w:sz w:val="32"/>
          <w:szCs w:val="32"/>
        </w:rPr>
        <w:t>（二）工作指标</w:t>
      </w:r>
    </w:p>
    <w:p>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1．居民健康状况：65岁及以上老年人城乡社区规范健康管理服务率≥65%；重大慢性病过早死亡率呈下降趋势；人群超重率、肥胖率呈下降趋势。</w:t>
      </w:r>
    </w:p>
    <w:p>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ascii="仿宋" w:hAnsi="仿宋" w:eastAsia="仿宋_GB2312"/>
          <w:sz w:val="32"/>
          <w:szCs w:val="32"/>
        </w:rPr>
      </w:pPr>
      <w:r>
        <w:rPr>
          <w:rFonts w:hint="eastAsia" w:ascii="仿宋" w:hAnsi="仿宋" w:eastAsia="仿宋_GB2312"/>
          <w:sz w:val="32"/>
          <w:szCs w:val="32"/>
        </w:rPr>
        <w:t>2．健康支持性环境：各类健康单元数量</w:t>
      </w:r>
      <w:r>
        <w:rPr>
          <w:rFonts w:ascii="仿宋" w:hAnsi="仿宋" w:eastAsia="仿宋_GB2312"/>
          <w:sz w:val="32"/>
          <w:szCs w:val="32"/>
        </w:rPr>
        <w:t>逐年增加</w:t>
      </w:r>
      <w:r>
        <w:rPr>
          <w:rFonts w:hint="eastAsia" w:ascii="仿宋" w:hAnsi="仿宋" w:eastAsia="仿宋_GB2312"/>
          <w:sz w:val="32"/>
          <w:szCs w:val="32"/>
        </w:rPr>
        <w:t>。室内公共场所、工作场所和交通工具全面禁烟；无烟党政机关、医疗卫生机构、学校覆盖率100%。开展简短戒烟服务培训的医疗机构覆盖率≥80%；提供简短戒烟服务的医疗机构覆盖率100%。</w:t>
      </w:r>
    </w:p>
    <w:p>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ascii="仿宋" w:hAnsi="仿宋" w:eastAsia="仿宋_GB2312"/>
          <w:sz w:val="32"/>
          <w:szCs w:val="32"/>
        </w:rPr>
      </w:pPr>
      <w:r>
        <w:rPr>
          <w:rFonts w:hint="eastAsia" w:ascii="仿宋" w:hAnsi="仿宋" w:eastAsia="仿宋_GB2312"/>
          <w:sz w:val="32"/>
          <w:szCs w:val="32"/>
        </w:rPr>
        <w:t>3．全民健身环境：社区15分钟健身圈/农村行政村体育设施覆盖率100%，设备完好；人均体育场地面积达到2.3平米；公共体育场地、设施免费或低收费开放比例100%；有条件的企事业单位、学校的体育场地免费或低收费开放比例≥30%。</w:t>
      </w:r>
    </w:p>
    <w:p>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ascii="仿宋" w:hAnsi="仿宋" w:eastAsia="仿宋_GB2312"/>
          <w:sz w:val="32"/>
          <w:szCs w:val="32"/>
        </w:rPr>
      </w:pPr>
      <w:r>
        <w:rPr>
          <w:rFonts w:hint="eastAsia" w:ascii="仿宋" w:hAnsi="仿宋" w:eastAsia="仿宋_GB2312"/>
          <w:sz w:val="32"/>
          <w:szCs w:val="32"/>
        </w:rPr>
        <w:t>4．健康行为形成率：经常参加体育锻炼人口比例≥40%。15岁及以上人群吸烟率呈下降趋势。人均食盐与食用油的摄入量呈下降趋势。</w:t>
      </w:r>
    </w:p>
    <w:p>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ascii="仿宋" w:hAnsi="仿宋" w:eastAsia="仿宋_GB2312"/>
          <w:sz w:val="32"/>
          <w:szCs w:val="32"/>
        </w:rPr>
      </w:pPr>
      <w:r>
        <w:rPr>
          <w:rFonts w:hint="eastAsia" w:ascii="仿宋" w:hAnsi="仿宋" w:eastAsia="仿宋_GB2312"/>
          <w:sz w:val="32"/>
          <w:szCs w:val="32"/>
        </w:rPr>
        <w:t>5．儿童青少年健康促进：各中小学生每天校内体育活动时间≥1小时；国家学生体质健康标准达标优良率≥50%；学生健康体检率≥90%；辖区内</w:t>
      </w:r>
      <w:r>
        <w:rPr>
          <w:rFonts w:ascii="仿宋" w:hAnsi="仿宋" w:eastAsia="仿宋_GB2312"/>
          <w:sz w:val="32"/>
          <w:szCs w:val="32"/>
        </w:rPr>
        <w:t>6</w:t>
      </w:r>
      <w:r>
        <w:rPr>
          <w:rFonts w:hint="eastAsia" w:ascii="仿宋" w:hAnsi="仿宋" w:eastAsia="仿宋_GB2312"/>
          <w:sz w:val="32"/>
          <w:szCs w:val="32"/>
        </w:rPr>
        <w:t>-9岁适龄儿童窝沟封闭服务覆盖率≥60%；各幼儿园、中小学校均开设健康教育课，每学期以班级为单位，课程≥6学时；</w:t>
      </w:r>
    </w:p>
    <w:p>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ascii="仿宋" w:hAnsi="仿宋" w:eastAsia="仿宋_GB2312"/>
          <w:sz w:val="32"/>
          <w:szCs w:val="32"/>
        </w:rPr>
      </w:pPr>
      <w:r>
        <w:rPr>
          <w:rFonts w:hint="eastAsia" w:ascii="仿宋" w:hAnsi="仿宋" w:eastAsia="仿宋_GB2312"/>
          <w:sz w:val="32"/>
          <w:szCs w:val="32"/>
        </w:rPr>
        <w:t>6．知识知晓率：居民重点慢性病核心知识知晓率≥70%；居民健康素养水平≥40%；30岁以上居民高血压知晓率≥60%；18岁以上居民糖尿病知晓率≥55%。</w:t>
      </w:r>
    </w:p>
    <w:p>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ascii="仿宋" w:hAnsi="仿宋" w:eastAsia="仿宋_GB2312"/>
          <w:sz w:val="32"/>
          <w:szCs w:val="32"/>
        </w:rPr>
      </w:pPr>
      <w:r>
        <w:rPr>
          <w:rFonts w:hint="eastAsia" w:ascii="仿宋" w:hAnsi="仿宋" w:eastAsia="仿宋_GB2312"/>
          <w:sz w:val="32"/>
          <w:szCs w:val="32"/>
        </w:rPr>
        <w:t>7．慢性病健康管理：35岁以上高血压、糖尿病患者管理率≥70%，慢阻肺病患者规范健康服务率≥6</w:t>
      </w:r>
      <w:r>
        <w:rPr>
          <w:rFonts w:ascii="仿宋" w:hAnsi="仿宋" w:eastAsia="仿宋_GB2312"/>
          <w:sz w:val="32"/>
          <w:szCs w:val="32"/>
        </w:rPr>
        <w:t>5</w:t>
      </w:r>
      <w:r>
        <w:rPr>
          <w:rFonts w:hint="eastAsia" w:ascii="仿宋" w:hAnsi="仿宋" w:eastAsia="仿宋_GB2312"/>
          <w:sz w:val="32"/>
          <w:szCs w:val="32"/>
        </w:rPr>
        <w:t>%。</w:t>
      </w:r>
    </w:p>
    <w:p>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ascii="仿宋" w:hAnsi="仿宋" w:eastAsia="仿宋_GB2312"/>
          <w:sz w:val="32"/>
          <w:szCs w:val="32"/>
        </w:rPr>
      </w:pPr>
      <w:r>
        <w:rPr>
          <w:rFonts w:hint="eastAsia" w:ascii="仿宋" w:hAnsi="仿宋" w:eastAsia="仿宋_GB2312"/>
          <w:sz w:val="32"/>
          <w:szCs w:val="32"/>
        </w:rPr>
        <w:t>8．慢性病控制率：高血压患者血压和糖尿病患者血糖的控制率均高于全市平均水平。</w:t>
      </w:r>
    </w:p>
    <w:p>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ascii="仿宋" w:hAnsi="仿宋" w:eastAsia="仿宋_GB2312"/>
          <w:sz w:val="32"/>
          <w:szCs w:val="32"/>
        </w:rPr>
      </w:pPr>
      <w:r>
        <w:rPr>
          <w:rFonts w:hint="eastAsia" w:ascii="仿宋" w:hAnsi="仿宋" w:eastAsia="仿宋_GB2312"/>
          <w:sz w:val="32"/>
          <w:szCs w:val="32"/>
        </w:rPr>
        <w:t>9．创新示范推广：慢性病综合防控工作与社区文化建设、健康城市建设、文明创建、公共服务与公共产品等项目深度融合。建立协同工作机制并有效衔接达5项；打造区域特色创新案例3个以上；至少2项示范区建设成功经验在辖区内、外得到有效推广。</w:t>
      </w:r>
    </w:p>
    <w:p>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ascii="黑体" w:hAnsi="黑体" w:eastAsia="黑体"/>
          <w:sz w:val="32"/>
          <w:szCs w:val="32"/>
        </w:rPr>
      </w:pPr>
      <w:r>
        <w:rPr>
          <w:rFonts w:hint="eastAsia" w:ascii="黑体" w:hAnsi="黑体" w:eastAsia="黑体"/>
          <w:sz w:val="32"/>
          <w:szCs w:val="32"/>
        </w:rPr>
        <w:t>四、工作内容</w:t>
      </w:r>
    </w:p>
    <w:p>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ascii="楷体" w:hAnsi="楷体" w:eastAsia="楷体_GB2312"/>
          <w:sz w:val="32"/>
          <w:szCs w:val="32"/>
        </w:rPr>
      </w:pPr>
      <w:r>
        <w:rPr>
          <w:rFonts w:hint="eastAsia" w:ascii="楷体" w:hAnsi="楷体" w:eastAsia="楷体_GB2312"/>
          <w:sz w:val="32"/>
          <w:szCs w:val="32"/>
        </w:rPr>
        <w:t>（一）政策保障</w:t>
      </w:r>
    </w:p>
    <w:p>
      <w:pPr>
        <w:keepNext w:val="0"/>
        <w:keepLines w:val="0"/>
        <w:pageBreakBefore w:val="0"/>
        <w:kinsoku/>
        <w:wordWrap/>
        <w:overflowPunct/>
        <w:topLinePunct w:val="0"/>
        <w:autoSpaceDE/>
        <w:autoSpaceDN/>
        <w:bidi w:val="0"/>
        <w:spacing w:line="560" w:lineRule="exact"/>
        <w:ind w:right="0" w:rightChars="0" w:firstLine="643" w:firstLineChars="200"/>
        <w:textAlignment w:val="auto"/>
        <w:outlineLvl w:val="9"/>
        <w:rPr>
          <w:rFonts w:ascii="仿宋" w:hAnsi="仿宋" w:eastAsia="仿宋_GB2312"/>
          <w:sz w:val="32"/>
          <w:szCs w:val="32"/>
        </w:rPr>
      </w:pPr>
      <w:r>
        <w:rPr>
          <w:rFonts w:hint="eastAsia" w:ascii="仿宋" w:hAnsi="仿宋" w:eastAsia="仿宋_GB2312"/>
          <w:b/>
          <w:sz w:val="32"/>
          <w:szCs w:val="32"/>
        </w:rPr>
        <w:t>1</w:t>
      </w:r>
      <w:r>
        <w:rPr>
          <w:rFonts w:ascii="仿宋" w:hAnsi="仿宋" w:eastAsia="仿宋_GB2312"/>
          <w:b/>
          <w:sz w:val="32"/>
          <w:szCs w:val="32"/>
        </w:rPr>
        <w:t>.慢性病防控工作纳入政府经济发展规划</w:t>
      </w:r>
      <w:r>
        <w:rPr>
          <w:rFonts w:hint="eastAsia" w:ascii="仿宋" w:hAnsi="仿宋" w:eastAsia="仿宋_GB2312"/>
          <w:b/>
          <w:sz w:val="32"/>
          <w:szCs w:val="32"/>
        </w:rPr>
        <w:t>，</w:t>
      </w:r>
      <w:r>
        <w:rPr>
          <w:rFonts w:ascii="仿宋" w:hAnsi="仿宋" w:eastAsia="仿宋_GB2312"/>
          <w:b/>
          <w:sz w:val="32"/>
          <w:szCs w:val="32"/>
        </w:rPr>
        <w:t>强化慢性病防控的政府主导责任</w:t>
      </w:r>
      <w:r>
        <w:rPr>
          <w:rFonts w:hint="eastAsia" w:ascii="仿宋" w:hAnsi="仿宋" w:eastAsia="仿宋_GB2312"/>
          <w:b/>
          <w:sz w:val="32"/>
          <w:szCs w:val="32"/>
        </w:rPr>
        <w:t>。</w:t>
      </w:r>
      <w:r>
        <w:rPr>
          <w:rFonts w:hint="eastAsia" w:ascii="仿宋" w:hAnsi="仿宋" w:eastAsia="仿宋_GB2312"/>
          <w:sz w:val="32"/>
          <w:szCs w:val="32"/>
        </w:rPr>
        <w:t>明确各部门职责，按需召开示范区领导小组工作会议和联络员会议。各成员单位成立相应组织机构，明确本单位联络员，将慢性病防控工作列入年度工作计划并积极推进，确保全区各项工作目标如期实现。（牵头部门：区政府办；责任单位：各成员单位）</w:t>
      </w:r>
    </w:p>
    <w:p>
      <w:pPr>
        <w:keepNext w:val="0"/>
        <w:keepLines w:val="0"/>
        <w:pageBreakBefore w:val="0"/>
        <w:kinsoku/>
        <w:wordWrap/>
        <w:overflowPunct/>
        <w:topLinePunct w:val="0"/>
        <w:autoSpaceDE/>
        <w:autoSpaceDN/>
        <w:bidi w:val="0"/>
        <w:spacing w:line="560" w:lineRule="exact"/>
        <w:ind w:right="0" w:rightChars="0" w:firstLine="643" w:firstLineChars="200"/>
        <w:textAlignment w:val="auto"/>
        <w:outlineLvl w:val="9"/>
        <w:rPr>
          <w:rFonts w:ascii="仿宋" w:hAnsi="仿宋" w:eastAsia="仿宋_GB2312"/>
          <w:color w:val="auto"/>
          <w:sz w:val="32"/>
          <w:szCs w:val="32"/>
        </w:rPr>
      </w:pPr>
      <w:r>
        <w:rPr>
          <w:rFonts w:hint="eastAsia" w:ascii="仿宋" w:hAnsi="仿宋" w:eastAsia="仿宋_GB2312"/>
          <w:b/>
          <w:color w:val="auto"/>
          <w:sz w:val="32"/>
          <w:szCs w:val="32"/>
        </w:rPr>
        <w:t>2</w:t>
      </w:r>
      <w:r>
        <w:rPr>
          <w:rFonts w:ascii="仿宋" w:hAnsi="仿宋" w:eastAsia="仿宋_GB2312"/>
          <w:b/>
          <w:color w:val="auto"/>
          <w:sz w:val="32"/>
          <w:szCs w:val="32"/>
        </w:rPr>
        <w:t>.</w:t>
      </w:r>
      <w:r>
        <w:rPr>
          <w:rFonts w:hint="eastAsia" w:ascii="仿宋" w:hAnsi="仿宋" w:eastAsia="仿宋_GB2312"/>
          <w:b/>
          <w:color w:val="auto"/>
          <w:sz w:val="32"/>
          <w:szCs w:val="32"/>
        </w:rPr>
        <w:t>辖区政府按规划、计划提供的示范区建设专项工作经费，专款专用，持续推进示范区建设。</w:t>
      </w:r>
      <w:r>
        <w:rPr>
          <w:rFonts w:hint="eastAsia" w:ascii="仿宋" w:hAnsi="仿宋" w:eastAsia="仿宋_GB2312"/>
          <w:bCs/>
          <w:color w:val="auto"/>
          <w:sz w:val="32"/>
          <w:szCs w:val="32"/>
        </w:rPr>
        <w:t>根据我区慢性病防控工作的规划及示范区建设需求，做好示范区建设经费保障工作，专款专用，持续推进示范区建设。</w:t>
      </w:r>
      <w:r>
        <w:rPr>
          <w:rFonts w:hint="eastAsia" w:ascii="仿宋" w:hAnsi="仿宋" w:eastAsia="仿宋_GB2312"/>
          <w:color w:val="auto"/>
          <w:sz w:val="32"/>
          <w:szCs w:val="32"/>
        </w:rPr>
        <w:t>（牵头部门：区卫生健康委、区财政局；责任单位：各成员单位）</w:t>
      </w:r>
    </w:p>
    <w:p>
      <w:pPr>
        <w:keepNext w:val="0"/>
        <w:keepLines w:val="0"/>
        <w:pageBreakBefore w:val="0"/>
        <w:kinsoku/>
        <w:wordWrap/>
        <w:overflowPunct/>
        <w:topLinePunct w:val="0"/>
        <w:autoSpaceDE/>
        <w:autoSpaceDN/>
        <w:bidi w:val="0"/>
        <w:spacing w:line="560" w:lineRule="exact"/>
        <w:ind w:right="0" w:rightChars="0" w:firstLine="643" w:firstLineChars="200"/>
        <w:textAlignment w:val="auto"/>
        <w:outlineLvl w:val="9"/>
        <w:rPr>
          <w:rFonts w:ascii="仿宋" w:hAnsi="仿宋" w:eastAsia="仿宋_GB2312"/>
          <w:b/>
          <w:sz w:val="32"/>
          <w:szCs w:val="32"/>
        </w:rPr>
      </w:pPr>
      <w:r>
        <w:rPr>
          <w:rFonts w:hint="eastAsia" w:ascii="仿宋" w:hAnsi="仿宋" w:eastAsia="仿宋_GB2312"/>
          <w:b/>
          <w:sz w:val="32"/>
          <w:szCs w:val="32"/>
        </w:rPr>
        <w:t>3</w:t>
      </w:r>
      <w:r>
        <w:rPr>
          <w:rFonts w:ascii="仿宋" w:hAnsi="仿宋" w:eastAsia="仿宋_GB2312"/>
          <w:b/>
          <w:sz w:val="32"/>
          <w:szCs w:val="32"/>
        </w:rPr>
        <w:t>.</w:t>
      </w:r>
      <w:r>
        <w:rPr>
          <w:rFonts w:hint="eastAsia" w:ascii="仿宋" w:hAnsi="仿宋" w:eastAsia="仿宋_GB2312"/>
          <w:b/>
          <w:sz w:val="32"/>
          <w:szCs w:val="32"/>
        </w:rPr>
        <w:t>有效落实各项慢性病防控工作任务。</w:t>
      </w:r>
      <w:r>
        <w:rPr>
          <w:rFonts w:hint="eastAsia" w:ascii="仿宋" w:hAnsi="仿宋" w:eastAsia="仿宋_GB2312"/>
          <w:sz w:val="32"/>
          <w:szCs w:val="32"/>
        </w:rPr>
        <w:t>按要求完成中央转移支付地方等慢性病综合防控项目。（牵头部门：区卫生健康委）</w:t>
      </w:r>
    </w:p>
    <w:p>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ascii="楷体" w:hAnsi="楷体" w:eastAsia="楷体_GB2312"/>
          <w:sz w:val="32"/>
          <w:szCs w:val="32"/>
        </w:rPr>
      </w:pPr>
      <w:r>
        <w:rPr>
          <w:rFonts w:hint="eastAsia" w:ascii="楷体" w:hAnsi="楷体" w:eastAsia="楷体_GB2312"/>
          <w:sz w:val="32"/>
          <w:szCs w:val="32"/>
        </w:rPr>
        <w:t>（二）环境支持</w:t>
      </w:r>
    </w:p>
    <w:p>
      <w:pPr>
        <w:keepNext w:val="0"/>
        <w:keepLines w:val="0"/>
        <w:pageBreakBefore w:val="0"/>
        <w:kinsoku/>
        <w:wordWrap/>
        <w:overflowPunct/>
        <w:topLinePunct w:val="0"/>
        <w:autoSpaceDE/>
        <w:autoSpaceDN/>
        <w:bidi w:val="0"/>
        <w:spacing w:line="560" w:lineRule="exact"/>
        <w:ind w:right="0" w:rightChars="0" w:firstLine="643" w:firstLineChars="200"/>
        <w:textAlignment w:val="auto"/>
        <w:outlineLvl w:val="9"/>
        <w:rPr>
          <w:rFonts w:ascii="仿宋" w:hAnsi="仿宋" w:eastAsia="仿宋_GB2312"/>
          <w:sz w:val="32"/>
          <w:szCs w:val="32"/>
        </w:rPr>
      </w:pPr>
      <w:r>
        <w:rPr>
          <w:rFonts w:hint="eastAsia" w:ascii="仿宋" w:hAnsi="仿宋" w:eastAsia="仿宋_GB2312"/>
          <w:b/>
          <w:sz w:val="32"/>
          <w:szCs w:val="32"/>
        </w:rPr>
        <w:t>4</w:t>
      </w:r>
      <w:r>
        <w:rPr>
          <w:rFonts w:ascii="仿宋" w:hAnsi="仿宋" w:eastAsia="仿宋_GB2312"/>
          <w:b/>
          <w:sz w:val="32"/>
          <w:szCs w:val="32"/>
        </w:rPr>
        <w:t>.</w:t>
      </w:r>
      <w:r>
        <w:rPr>
          <w:rFonts w:hint="eastAsia" w:ascii="仿宋" w:hAnsi="仿宋" w:eastAsia="仿宋_GB2312"/>
          <w:b/>
          <w:sz w:val="32"/>
          <w:szCs w:val="32"/>
        </w:rPr>
        <w:t>实施健康细胞工程,构建全方位健康支持性环境，提升健康环境建设品质。</w:t>
      </w:r>
      <w:r>
        <w:rPr>
          <w:rFonts w:hint="eastAsia" w:ascii="仿宋" w:hAnsi="仿宋" w:eastAsia="仿宋_GB2312"/>
          <w:sz w:val="32"/>
          <w:szCs w:val="32"/>
        </w:rPr>
        <w:t>按照《全民健康生活方式行动健康支持性环境建设指导方案(2019年修订)》建设健康支持性环境，数量逐年增加。</w:t>
      </w:r>
    </w:p>
    <w:p>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ascii="仿宋" w:hAnsi="仿宋" w:eastAsia="仿宋_GB2312"/>
          <w:sz w:val="32"/>
          <w:szCs w:val="32"/>
        </w:rPr>
      </w:pPr>
      <w:r>
        <w:rPr>
          <w:rFonts w:hint="eastAsia" w:ascii="仿宋" w:hAnsi="仿宋" w:eastAsia="仿宋_GB2312"/>
          <w:sz w:val="32"/>
          <w:szCs w:val="32"/>
        </w:rPr>
        <w:t>（1）健康社区、单位、食堂、小屋（牵头部门：各乡镇街道、各成员单位；责任部门：区卫生健康委）</w:t>
      </w:r>
    </w:p>
    <w:p>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ascii="仿宋" w:hAnsi="仿宋" w:eastAsia="仿宋_GB2312"/>
          <w:sz w:val="32"/>
          <w:szCs w:val="32"/>
        </w:rPr>
      </w:pPr>
      <w:r>
        <w:rPr>
          <w:rFonts w:hint="eastAsia" w:ascii="仿宋" w:hAnsi="仿宋" w:eastAsia="仿宋_GB2312"/>
          <w:sz w:val="32"/>
          <w:szCs w:val="32"/>
        </w:rPr>
        <w:t>（2）健康学校（牵头部门：区教委，责任部门：区卫生健康委）</w:t>
      </w:r>
    </w:p>
    <w:p>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ascii="仿宋" w:hAnsi="仿宋" w:eastAsia="仿宋_GB2312"/>
          <w:sz w:val="32"/>
          <w:szCs w:val="32"/>
        </w:rPr>
      </w:pPr>
      <w:r>
        <w:rPr>
          <w:rFonts w:hint="eastAsia" w:ascii="仿宋" w:hAnsi="仿宋" w:eastAsia="仿宋_GB2312"/>
          <w:sz w:val="32"/>
          <w:szCs w:val="32"/>
        </w:rPr>
        <w:t>（</w:t>
      </w:r>
      <w:r>
        <w:rPr>
          <w:rFonts w:ascii="仿宋" w:hAnsi="仿宋" w:eastAsia="仿宋_GB2312"/>
          <w:sz w:val="32"/>
          <w:szCs w:val="32"/>
        </w:rPr>
        <w:t>3</w:t>
      </w:r>
      <w:r>
        <w:rPr>
          <w:rFonts w:hint="eastAsia" w:ascii="仿宋" w:hAnsi="仿宋" w:eastAsia="仿宋_GB2312"/>
          <w:sz w:val="32"/>
          <w:szCs w:val="32"/>
        </w:rPr>
        <w:t>）健康餐厅（牵头部门：区市场监督管理局；责任单位：区商务局、区卫生健康委、各乡镇街道）</w:t>
      </w:r>
    </w:p>
    <w:p>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ascii="仿宋" w:hAnsi="仿宋" w:eastAsia="仿宋_GB2312"/>
          <w:sz w:val="32"/>
          <w:szCs w:val="32"/>
        </w:rPr>
      </w:pPr>
      <w:r>
        <w:rPr>
          <w:rFonts w:hint="eastAsia" w:ascii="仿宋" w:hAnsi="仿宋" w:eastAsia="仿宋_GB2312"/>
          <w:sz w:val="32"/>
          <w:szCs w:val="32"/>
        </w:rPr>
        <w:t>（</w:t>
      </w:r>
      <w:r>
        <w:rPr>
          <w:rFonts w:ascii="仿宋" w:hAnsi="仿宋" w:eastAsia="仿宋_GB2312"/>
          <w:sz w:val="32"/>
          <w:szCs w:val="32"/>
        </w:rPr>
        <w:t>4</w:t>
      </w:r>
      <w:r>
        <w:rPr>
          <w:rFonts w:hint="eastAsia" w:ascii="仿宋" w:hAnsi="仿宋" w:eastAsia="仿宋_GB2312"/>
          <w:sz w:val="32"/>
          <w:szCs w:val="32"/>
        </w:rPr>
        <w:t>）健康酒店（餐厅）（牵头部门：区文旅局；责任单位：各乡镇街道、区卫生健康委）</w:t>
      </w:r>
    </w:p>
    <w:p>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ascii="仿宋" w:hAnsi="仿宋" w:eastAsia="仿宋_GB2312"/>
          <w:sz w:val="32"/>
          <w:szCs w:val="32"/>
        </w:rPr>
      </w:pPr>
      <w:r>
        <w:rPr>
          <w:rFonts w:hint="eastAsia" w:ascii="仿宋" w:hAnsi="仿宋" w:eastAsia="仿宋_GB2312"/>
          <w:sz w:val="32"/>
          <w:szCs w:val="32"/>
        </w:rPr>
        <w:t>（</w:t>
      </w:r>
      <w:r>
        <w:rPr>
          <w:rFonts w:ascii="仿宋" w:hAnsi="仿宋" w:eastAsia="仿宋_GB2312"/>
          <w:sz w:val="32"/>
          <w:szCs w:val="32"/>
        </w:rPr>
        <w:t>5</w:t>
      </w:r>
      <w:r>
        <w:rPr>
          <w:rFonts w:hint="eastAsia" w:ascii="仿宋" w:hAnsi="仿宋" w:eastAsia="仿宋_GB2312"/>
          <w:sz w:val="32"/>
          <w:szCs w:val="32"/>
        </w:rPr>
        <w:t>）健康主题公园、健康步道（牵头部门：区园林绿化局、区体育局；责任单位：各乡镇街道、区卫生健康委）</w:t>
      </w:r>
    </w:p>
    <w:p>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ascii="仿宋" w:hAnsi="仿宋" w:eastAsia="仿宋_GB2312"/>
          <w:sz w:val="32"/>
          <w:szCs w:val="32"/>
        </w:rPr>
      </w:pPr>
      <w:r>
        <w:rPr>
          <w:rFonts w:hint="eastAsia" w:ascii="仿宋" w:hAnsi="仿宋" w:eastAsia="仿宋_GB2312"/>
          <w:sz w:val="32"/>
          <w:szCs w:val="32"/>
        </w:rPr>
        <w:t>（</w:t>
      </w:r>
      <w:r>
        <w:rPr>
          <w:rFonts w:ascii="仿宋" w:hAnsi="仿宋" w:eastAsia="仿宋_GB2312"/>
          <w:sz w:val="32"/>
          <w:szCs w:val="32"/>
        </w:rPr>
        <w:t>6</w:t>
      </w:r>
      <w:r>
        <w:rPr>
          <w:rFonts w:hint="eastAsia" w:ascii="仿宋" w:hAnsi="仿宋" w:eastAsia="仿宋_GB2312"/>
          <w:sz w:val="32"/>
          <w:szCs w:val="32"/>
        </w:rPr>
        <w:t>）健康街区（牵头部门：区城管委；责任单位：各乡镇街道、区卫生健康委）</w:t>
      </w:r>
    </w:p>
    <w:p>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ascii="仿宋" w:hAnsi="仿宋" w:eastAsia="仿宋_GB2312"/>
          <w:sz w:val="32"/>
          <w:szCs w:val="32"/>
        </w:rPr>
      </w:pPr>
      <w:r>
        <w:rPr>
          <w:rFonts w:hint="eastAsia" w:ascii="仿宋" w:hAnsi="仿宋" w:eastAsia="仿宋_GB2312"/>
          <w:sz w:val="32"/>
          <w:szCs w:val="32"/>
        </w:rPr>
        <w:t>（</w:t>
      </w:r>
      <w:r>
        <w:rPr>
          <w:rFonts w:ascii="仿宋" w:hAnsi="仿宋" w:eastAsia="仿宋_GB2312"/>
          <w:sz w:val="32"/>
          <w:szCs w:val="32"/>
        </w:rPr>
        <w:t>7</w:t>
      </w:r>
      <w:r>
        <w:rPr>
          <w:rFonts w:hint="eastAsia" w:ascii="仿宋" w:hAnsi="仿宋" w:eastAsia="仿宋_GB2312"/>
          <w:sz w:val="32"/>
          <w:szCs w:val="32"/>
        </w:rPr>
        <w:t>）健康超市（牵头部门：区商务局；责任单位：各乡镇街道、区卫生健康委）</w:t>
      </w:r>
    </w:p>
    <w:p>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ascii="仿宋" w:hAnsi="仿宋" w:eastAsia="仿宋_GB2312"/>
          <w:sz w:val="32"/>
          <w:szCs w:val="32"/>
        </w:rPr>
      </w:pPr>
      <w:r>
        <w:rPr>
          <w:rFonts w:hint="eastAsia" w:ascii="仿宋" w:hAnsi="仿宋" w:eastAsia="仿宋_GB2312"/>
          <w:sz w:val="32"/>
          <w:szCs w:val="32"/>
        </w:rPr>
        <w:t>（</w:t>
      </w:r>
      <w:r>
        <w:rPr>
          <w:rFonts w:ascii="仿宋" w:hAnsi="仿宋" w:eastAsia="仿宋_GB2312"/>
          <w:sz w:val="32"/>
          <w:szCs w:val="32"/>
        </w:rPr>
        <w:t>8</w:t>
      </w:r>
      <w:r>
        <w:rPr>
          <w:rFonts w:hint="eastAsia" w:ascii="仿宋" w:hAnsi="仿宋" w:eastAsia="仿宋_GB2312"/>
          <w:sz w:val="32"/>
          <w:szCs w:val="32"/>
        </w:rPr>
        <w:t>）健康社团（牵头部门：区体育局；责任单位：各乡镇街道、区卫生健康委）</w:t>
      </w:r>
    </w:p>
    <w:p>
      <w:pPr>
        <w:keepNext w:val="0"/>
        <w:keepLines w:val="0"/>
        <w:pageBreakBefore w:val="0"/>
        <w:kinsoku/>
        <w:wordWrap/>
        <w:overflowPunct/>
        <w:topLinePunct w:val="0"/>
        <w:autoSpaceDE/>
        <w:autoSpaceDN/>
        <w:bidi w:val="0"/>
        <w:spacing w:line="560" w:lineRule="exact"/>
        <w:ind w:right="0" w:rightChars="0" w:firstLine="643" w:firstLineChars="200"/>
        <w:textAlignment w:val="auto"/>
        <w:outlineLvl w:val="9"/>
        <w:rPr>
          <w:rFonts w:ascii="仿宋" w:hAnsi="仿宋" w:eastAsia="仿宋_GB2312"/>
          <w:sz w:val="32"/>
          <w:szCs w:val="32"/>
        </w:rPr>
      </w:pPr>
      <w:r>
        <w:rPr>
          <w:rFonts w:hint="eastAsia" w:ascii="仿宋" w:hAnsi="仿宋" w:eastAsia="仿宋_GB2312"/>
          <w:b/>
          <w:sz w:val="32"/>
          <w:szCs w:val="32"/>
        </w:rPr>
        <w:t>5</w:t>
      </w:r>
      <w:r>
        <w:rPr>
          <w:rFonts w:ascii="仿宋" w:hAnsi="仿宋" w:eastAsia="仿宋_GB2312"/>
          <w:b/>
          <w:sz w:val="32"/>
          <w:szCs w:val="32"/>
        </w:rPr>
        <w:t>.</w:t>
      </w:r>
      <w:r>
        <w:rPr>
          <w:rFonts w:hint="eastAsia" w:ascii="仿宋" w:hAnsi="仿宋" w:eastAsia="仿宋_GB2312"/>
          <w:b/>
          <w:sz w:val="32"/>
          <w:szCs w:val="32"/>
        </w:rPr>
        <w:t>普及公共体育设施,营造有利于体育活动的支持性环境。</w:t>
      </w:r>
    </w:p>
    <w:p>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ascii="仿宋" w:hAnsi="仿宋" w:eastAsia="仿宋_GB2312"/>
          <w:sz w:val="32"/>
          <w:szCs w:val="32"/>
        </w:rPr>
      </w:pPr>
      <w:r>
        <w:rPr>
          <w:rFonts w:hint="eastAsia" w:ascii="仿宋" w:hAnsi="仿宋" w:eastAsia="仿宋_GB2312"/>
          <w:sz w:val="32"/>
          <w:szCs w:val="32"/>
        </w:rPr>
        <w:t>（1）建设社区15分钟健身圈/农村行政村体育设施，且设施完好，提高人均体育场地面积。（牵头部门：区体育局；责任单位：各乡镇街道）</w:t>
      </w:r>
    </w:p>
    <w:p>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ascii="仿宋" w:hAnsi="仿宋" w:eastAsia="仿宋_GB2312"/>
          <w:sz w:val="32"/>
          <w:szCs w:val="32"/>
        </w:rPr>
      </w:pPr>
      <w:r>
        <w:rPr>
          <w:rFonts w:hint="eastAsia" w:ascii="仿宋" w:hAnsi="仿宋" w:eastAsia="仿宋_GB2312"/>
          <w:sz w:val="32"/>
          <w:szCs w:val="32"/>
        </w:rPr>
        <w:t>（2）公共体育场地、设施全部免费或低收费向居民开放；有条件的单位、学校体育场地免费或低收费向居民开放比例≥3</w:t>
      </w:r>
      <w:r>
        <w:rPr>
          <w:rFonts w:ascii="仿宋" w:hAnsi="仿宋" w:eastAsia="仿宋_GB2312"/>
          <w:sz w:val="32"/>
          <w:szCs w:val="32"/>
        </w:rPr>
        <w:t>0</w:t>
      </w:r>
      <w:r>
        <w:rPr>
          <w:rFonts w:hint="eastAsia" w:ascii="仿宋" w:hAnsi="仿宋" w:eastAsia="仿宋_GB2312"/>
          <w:sz w:val="32"/>
          <w:szCs w:val="32"/>
        </w:rPr>
        <w:t>%。（牵头部门：区体育局、区教委；责任单位：各成员单位）</w:t>
      </w:r>
    </w:p>
    <w:p>
      <w:pPr>
        <w:keepNext w:val="0"/>
        <w:keepLines w:val="0"/>
        <w:pageBreakBefore w:val="0"/>
        <w:kinsoku/>
        <w:wordWrap/>
        <w:overflowPunct/>
        <w:topLinePunct w:val="0"/>
        <w:autoSpaceDE/>
        <w:autoSpaceDN/>
        <w:bidi w:val="0"/>
        <w:spacing w:line="560" w:lineRule="exact"/>
        <w:ind w:right="0" w:rightChars="0" w:firstLine="643" w:firstLineChars="200"/>
        <w:textAlignment w:val="auto"/>
        <w:outlineLvl w:val="9"/>
        <w:rPr>
          <w:rFonts w:ascii="仿宋" w:hAnsi="仿宋" w:eastAsia="仿宋_GB2312"/>
          <w:sz w:val="32"/>
          <w:szCs w:val="32"/>
        </w:rPr>
      </w:pPr>
      <w:r>
        <w:rPr>
          <w:rFonts w:hint="eastAsia" w:ascii="仿宋" w:hAnsi="仿宋" w:eastAsia="仿宋_GB2312"/>
          <w:b/>
          <w:sz w:val="32"/>
          <w:szCs w:val="32"/>
        </w:rPr>
        <w:t>6.社区卫生服务中心和乡镇卫生院设置自助式健康检测点，并提供个性化健康指导，为群众提供方便、可及的自助式健康检测服务。</w:t>
      </w:r>
      <w:r>
        <w:rPr>
          <w:rFonts w:hint="eastAsia" w:ascii="仿宋" w:hAnsi="仿宋" w:eastAsia="仿宋_GB2312"/>
          <w:sz w:val="32"/>
          <w:szCs w:val="32"/>
        </w:rPr>
        <w:t>提供个性化健康指导服务率达1</w:t>
      </w:r>
      <w:r>
        <w:rPr>
          <w:rFonts w:ascii="仿宋" w:hAnsi="仿宋" w:eastAsia="仿宋_GB2312"/>
          <w:sz w:val="32"/>
          <w:szCs w:val="32"/>
        </w:rPr>
        <w:t>00</w:t>
      </w:r>
      <w:r>
        <w:rPr>
          <w:rFonts w:hint="eastAsia" w:ascii="仿宋" w:hAnsi="仿宋" w:eastAsia="仿宋_GB2312"/>
          <w:sz w:val="32"/>
          <w:szCs w:val="32"/>
        </w:rPr>
        <w:t>%，检测结果通过信息化终端设备接入等方式进入居民健康档案，实现信息利用。（牵头部门：区卫生健康委）</w:t>
      </w:r>
    </w:p>
    <w:p>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ascii="楷体" w:hAnsi="楷体" w:eastAsia="楷体_GB2312"/>
          <w:sz w:val="32"/>
          <w:szCs w:val="32"/>
        </w:rPr>
      </w:pPr>
      <w:r>
        <w:rPr>
          <w:rFonts w:hint="eastAsia" w:ascii="楷体" w:hAnsi="楷体" w:eastAsia="楷体_GB2312"/>
          <w:sz w:val="32"/>
          <w:szCs w:val="32"/>
        </w:rPr>
        <w:t>（三）专项行动</w:t>
      </w:r>
    </w:p>
    <w:p>
      <w:pPr>
        <w:keepNext w:val="0"/>
        <w:keepLines w:val="0"/>
        <w:pageBreakBefore w:val="0"/>
        <w:kinsoku/>
        <w:wordWrap/>
        <w:overflowPunct/>
        <w:topLinePunct w:val="0"/>
        <w:autoSpaceDE/>
        <w:autoSpaceDN/>
        <w:bidi w:val="0"/>
        <w:spacing w:line="560" w:lineRule="exact"/>
        <w:ind w:right="0" w:rightChars="0" w:firstLine="643" w:firstLineChars="200"/>
        <w:textAlignment w:val="auto"/>
        <w:outlineLvl w:val="9"/>
        <w:rPr>
          <w:rFonts w:ascii="仿宋" w:hAnsi="仿宋" w:eastAsia="仿宋_GB2312"/>
          <w:b/>
          <w:sz w:val="32"/>
          <w:szCs w:val="32"/>
        </w:rPr>
      </w:pPr>
      <w:r>
        <w:rPr>
          <w:rFonts w:hint="eastAsia" w:ascii="仿宋" w:hAnsi="仿宋" w:eastAsia="仿宋_GB2312"/>
          <w:b/>
          <w:sz w:val="32"/>
          <w:szCs w:val="32"/>
        </w:rPr>
        <w:t>7.开展烟草控制,持续降低人群吸烟率和二手烟危害。</w:t>
      </w:r>
    </w:p>
    <w:p>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ascii="仿宋" w:hAnsi="仿宋" w:eastAsia="仿宋_GB2312"/>
          <w:sz w:val="32"/>
          <w:szCs w:val="32"/>
        </w:rPr>
      </w:pPr>
      <w:r>
        <w:rPr>
          <w:rFonts w:hint="eastAsia" w:ascii="仿宋" w:hAnsi="仿宋" w:eastAsia="仿宋_GB2312"/>
          <w:sz w:val="32"/>
          <w:szCs w:val="32"/>
        </w:rPr>
        <w:t>（1）建设无烟党政机关、无烟医疗卫生机构、无烟学校。（牵头部门：区卫生健康委；责任单位：各成员单位）</w:t>
      </w:r>
    </w:p>
    <w:p>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ascii="仿宋" w:hAnsi="仿宋" w:eastAsia="仿宋_GB2312"/>
          <w:sz w:val="32"/>
          <w:szCs w:val="32"/>
        </w:rPr>
      </w:pPr>
      <w:r>
        <w:rPr>
          <w:rFonts w:hint="eastAsia" w:ascii="仿宋" w:hAnsi="仿宋" w:eastAsia="仿宋_GB2312"/>
          <w:sz w:val="32"/>
          <w:szCs w:val="32"/>
        </w:rPr>
        <w:t>（2）辖区各级医疗卫生机构开展简短戒烟服务培训并提供简短戒烟服务。各社区卫生服务中心在日常门诊过程中提供简短戒烟干预服务；二级及以上医疗机构开设戒烟门诊。（牵头部门：区卫生健康委）</w:t>
      </w:r>
    </w:p>
    <w:p>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ascii="仿宋" w:hAnsi="仿宋" w:eastAsia="仿宋_GB2312"/>
          <w:sz w:val="32"/>
          <w:szCs w:val="32"/>
        </w:rPr>
      </w:pPr>
      <w:r>
        <w:rPr>
          <w:rFonts w:hint="eastAsia" w:ascii="仿宋" w:hAnsi="仿宋" w:eastAsia="仿宋_GB2312"/>
          <w:sz w:val="32"/>
          <w:szCs w:val="32"/>
        </w:rPr>
        <w:t>（3）逐年降低辖区15岁及以上人群吸烟率、二手烟暴露率。（牵头部门：区卫生健康委）</w:t>
      </w:r>
    </w:p>
    <w:p>
      <w:pPr>
        <w:keepNext w:val="0"/>
        <w:keepLines w:val="0"/>
        <w:pageBreakBefore w:val="0"/>
        <w:kinsoku/>
        <w:wordWrap/>
        <w:overflowPunct/>
        <w:topLinePunct w:val="0"/>
        <w:autoSpaceDE/>
        <w:autoSpaceDN/>
        <w:bidi w:val="0"/>
        <w:spacing w:line="560" w:lineRule="exact"/>
        <w:ind w:right="0" w:rightChars="0" w:firstLine="643" w:firstLineChars="200"/>
        <w:textAlignment w:val="auto"/>
        <w:outlineLvl w:val="9"/>
        <w:rPr>
          <w:rFonts w:ascii="仿宋" w:hAnsi="仿宋" w:eastAsia="仿宋_GB2312"/>
          <w:b/>
          <w:sz w:val="32"/>
          <w:szCs w:val="32"/>
        </w:rPr>
      </w:pPr>
      <w:r>
        <w:rPr>
          <w:rFonts w:hint="eastAsia" w:ascii="仿宋" w:hAnsi="仿宋" w:eastAsia="仿宋_GB2312"/>
          <w:b/>
          <w:sz w:val="32"/>
          <w:szCs w:val="32"/>
        </w:rPr>
        <w:t>8.开展“体重管理年”活动，预防和控制人群超重肥胖。</w:t>
      </w:r>
    </w:p>
    <w:p>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ascii="仿宋" w:hAnsi="仿宋" w:eastAsia="仿宋_GB2312"/>
          <w:sz w:val="32"/>
          <w:szCs w:val="32"/>
        </w:rPr>
      </w:pPr>
      <w:r>
        <w:rPr>
          <w:rFonts w:hint="eastAsia" w:ascii="仿宋" w:hAnsi="仿宋" w:eastAsia="仿宋_GB2312"/>
          <w:sz w:val="32"/>
          <w:szCs w:val="32"/>
        </w:rPr>
        <w:t>（1）倡导个人掌握体重管理知识与技能。建立健全职工健康档案，鼓励定期体检，加强职工健康教育。（牵头部门：区卫生健康委、区总工会；责任单位：各成员单位）</w:t>
      </w:r>
    </w:p>
    <w:p>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ascii="仿宋" w:hAnsi="仿宋" w:eastAsia="仿宋_GB2312"/>
          <w:sz w:val="32"/>
          <w:szCs w:val="32"/>
        </w:rPr>
      </w:pPr>
      <w:r>
        <w:rPr>
          <w:rFonts w:hint="eastAsia" w:ascii="仿宋" w:hAnsi="仿宋" w:eastAsia="仿宋_GB2312"/>
          <w:sz w:val="32"/>
          <w:szCs w:val="32"/>
        </w:rPr>
        <w:t>（2）倡导家庭、医疗卫生机构、学校、机关企事业单位、宾馆酒店等配置体重秤。（责任单位：各成员单位）</w:t>
      </w:r>
    </w:p>
    <w:p>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ascii="仿宋" w:hAnsi="仿宋" w:eastAsia="仿宋_GB2312"/>
          <w:sz w:val="32"/>
          <w:szCs w:val="32"/>
        </w:rPr>
      </w:pPr>
      <w:r>
        <w:rPr>
          <w:rFonts w:hint="eastAsia" w:ascii="仿宋" w:hAnsi="仿宋" w:eastAsia="仿宋_GB2312"/>
          <w:sz w:val="32"/>
          <w:szCs w:val="32"/>
        </w:rPr>
        <w:t>（3）政府编制和发布体重管理权威信息，营造体重管理健康氛围。（牵头部门：区卫生健康委；责任单位：各成员单位）</w:t>
      </w:r>
    </w:p>
    <w:p>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ascii="仿宋" w:hAnsi="仿宋" w:eastAsia="仿宋_GB2312"/>
          <w:sz w:val="32"/>
          <w:szCs w:val="32"/>
        </w:rPr>
      </w:pPr>
      <w:r>
        <w:rPr>
          <w:rFonts w:hint="eastAsia" w:ascii="仿宋" w:hAnsi="仿宋" w:eastAsia="仿宋_GB2312"/>
          <w:sz w:val="32"/>
          <w:szCs w:val="32"/>
        </w:rPr>
        <w:t>（4）推动体重管理科普宣教进家庭、进社区、进医疗卫生机构、进机关企事业单位、进宾馆、进餐馆食堂等。（牵头部门：区卫生健康委；责任单位：各成员单位）</w:t>
      </w:r>
    </w:p>
    <w:p>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ascii="仿宋" w:hAnsi="仿宋" w:eastAsia="仿宋_GB2312"/>
          <w:sz w:val="32"/>
          <w:szCs w:val="32"/>
        </w:rPr>
      </w:pPr>
      <w:r>
        <w:rPr>
          <w:rFonts w:ascii="仿宋" w:hAnsi="仿宋" w:eastAsia="仿宋_GB2312"/>
          <w:sz w:val="32"/>
          <w:szCs w:val="32"/>
        </w:rPr>
        <w:t>（</w:t>
      </w:r>
      <w:r>
        <w:rPr>
          <w:rFonts w:hint="eastAsia" w:ascii="仿宋" w:hAnsi="仿宋" w:eastAsia="仿宋_GB2312"/>
          <w:sz w:val="32"/>
          <w:szCs w:val="32"/>
        </w:rPr>
        <w:t>5）加强超重与肥胖率监测，采取综合措施有效降低其人群发生率。（牵头部门：区卫生健康委）</w:t>
      </w:r>
    </w:p>
    <w:p>
      <w:pPr>
        <w:keepNext w:val="0"/>
        <w:keepLines w:val="0"/>
        <w:pageBreakBefore w:val="0"/>
        <w:kinsoku/>
        <w:wordWrap/>
        <w:overflowPunct/>
        <w:topLinePunct w:val="0"/>
        <w:autoSpaceDE/>
        <w:autoSpaceDN/>
        <w:bidi w:val="0"/>
        <w:spacing w:line="560" w:lineRule="exact"/>
        <w:ind w:right="0" w:rightChars="0" w:firstLine="643" w:firstLineChars="200"/>
        <w:textAlignment w:val="auto"/>
        <w:outlineLvl w:val="9"/>
        <w:rPr>
          <w:rFonts w:ascii="仿宋" w:hAnsi="仿宋" w:eastAsia="仿宋_GB2312"/>
          <w:b/>
          <w:sz w:val="32"/>
          <w:szCs w:val="32"/>
        </w:rPr>
      </w:pPr>
      <w:r>
        <w:rPr>
          <w:rFonts w:ascii="仿宋" w:hAnsi="仿宋" w:eastAsia="仿宋_GB2312"/>
          <w:b/>
          <w:sz w:val="32"/>
          <w:szCs w:val="32"/>
        </w:rPr>
        <w:t>9.</w:t>
      </w:r>
      <w:r>
        <w:rPr>
          <w:rFonts w:hint="eastAsia" w:ascii="仿宋" w:hAnsi="仿宋" w:eastAsia="仿宋_GB2312"/>
          <w:b/>
          <w:sz w:val="32"/>
          <w:szCs w:val="32"/>
        </w:rPr>
        <w:t>开展全民健身运动,提升人群身体活动水平。</w:t>
      </w:r>
    </w:p>
    <w:p>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ascii="仿宋" w:hAnsi="仿宋" w:eastAsia="仿宋_GB2312"/>
          <w:sz w:val="32"/>
          <w:szCs w:val="32"/>
        </w:rPr>
      </w:pPr>
      <w:r>
        <w:rPr>
          <w:rFonts w:hint="eastAsia" w:ascii="仿宋" w:hAnsi="仿宋" w:eastAsia="仿宋_GB2312"/>
          <w:sz w:val="32"/>
          <w:szCs w:val="32"/>
        </w:rPr>
        <w:t>（1）提高经常参加体育锻炼人口比例，定期开展各类健身活动。（牵头部门：区体育局；责任单位：各乡镇街道、各成员单位）</w:t>
      </w:r>
    </w:p>
    <w:p>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ascii="仿宋" w:hAnsi="仿宋" w:eastAsia="仿宋_GB2312"/>
          <w:sz w:val="32"/>
          <w:szCs w:val="32"/>
        </w:rPr>
      </w:pPr>
      <w:r>
        <w:rPr>
          <w:rFonts w:hint="eastAsia" w:ascii="仿宋" w:hAnsi="仿宋" w:eastAsia="仿宋_GB2312"/>
          <w:sz w:val="32"/>
          <w:szCs w:val="32"/>
        </w:rPr>
        <w:t>（2）实施青少年体育活动促进计划。中小学生每天校内体育活动时间不少于1小时的比例达到100%。（牵头部门：区教委）</w:t>
      </w:r>
    </w:p>
    <w:p>
      <w:pPr>
        <w:keepNext w:val="0"/>
        <w:keepLines w:val="0"/>
        <w:pageBreakBefore w:val="0"/>
        <w:kinsoku/>
        <w:wordWrap/>
        <w:overflowPunct/>
        <w:topLinePunct w:val="0"/>
        <w:autoSpaceDE/>
        <w:autoSpaceDN/>
        <w:bidi w:val="0"/>
        <w:spacing w:line="560" w:lineRule="exact"/>
        <w:ind w:right="0" w:rightChars="0" w:firstLine="643" w:firstLineChars="200"/>
        <w:textAlignment w:val="auto"/>
        <w:outlineLvl w:val="9"/>
        <w:rPr>
          <w:rFonts w:ascii="仿宋" w:hAnsi="仿宋" w:eastAsia="仿宋_GB2312"/>
          <w:b/>
          <w:sz w:val="32"/>
          <w:szCs w:val="32"/>
        </w:rPr>
      </w:pPr>
      <w:r>
        <w:rPr>
          <w:rFonts w:hint="eastAsia" w:ascii="仿宋" w:hAnsi="仿宋" w:eastAsia="仿宋_GB2312"/>
          <w:b/>
          <w:sz w:val="32"/>
          <w:szCs w:val="32"/>
        </w:rPr>
        <w:t>10.开展“三减三健”活动，践行文明健康生活方式。</w:t>
      </w:r>
    </w:p>
    <w:p>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ascii="仿宋" w:hAnsi="仿宋" w:eastAsia="仿宋_GB2312"/>
          <w:sz w:val="32"/>
          <w:szCs w:val="32"/>
        </w:rPr>
      </w:pPr>
      <w:r>
        <w:rPr>
          <w:rFonts w:hint="eastAsia" w:ascii="仿宋" w:hAnsi="仿宋" w:eastAsia="仿宋_GB2312"/>
          <w:sz w:val="32"/>
          <w:szCs w:val="32"/>
        </w:rPr>
        <w:t>（1）推广适宜技术和工具，如健康“小三件”（限量盐勺、限量油壶和腰围尺），有效降低人均每日盐、油摄入量。（牵头部门：区总工会、区卫生健康委；责任单位：各成员单位）</w:t>
      </w:r>
    </w:p>
    <w:p>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ascii="仿宋" w:hAnsi="仿宋" w:eastAsia="仿宋_GB2312"/>
          <w:sz w:val="32"/>
          <w:szCs w:val="32"/>
        </w:rPr>
      </w:pPr>
      <w:r>
        <w:rPr>
          <w:rFonts w:hint="eastAsia" w:ascii="仿宋" w:hAnsi="仿宋" w:eastAsia="仿宋_GB2312"/>
          <w:sz w:val="32"/>
          <w:szCs w:val="32"/>
        </w:rPr>
        <w:t>（2）提升辖区内儿童窝沟封闭服务覆盖率。（牵头部门：区卫生健康委）</w:t>
      </w:r>
    </w:p>
    <w:p>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ascii="楷体" w:hAnsi="楷体" w:eastAsia="楷体_GB2312"/>
          <w:sz w:val="32"/>
          <w:szCs w:val="32"/>
        </w:rPr>
      </w:pPr>
      <w:r>
        <w:rPr>
          <w:rFonts w:hint="eastAsia" w:ascii="楷体" w:hAnsi="楷体" w:eastAsia="楷体_GB2312"/>
          <w:sz w:val="32"/>
          <w:szCs w:val="32"/>
        </w:rPr>
        <w:t>（四）体系整合</w:t>
      </w:r>
    </w:p>
    <w:p>
      <w:pPr>
        <w:keepNext w:val="0"/>
        <w:keepLines w:val="0"/>
        <w:pageBreakBefore w:val="0"/>
        <w:kinsoku/>
        <w:wordWrap/>
        <w:overflowPunct/>
        <w:topLinePunct w:val="0"/>
        <w:autoSpaceDE/>
        <w:autoSpaceDN/>
        <w:bidi w:val="0"/>
        <w:spacing w:line="560" w:lineRule="exact"/>
        <w:ind w:right="0" w:rightChars="0" w:firstLine="643" w:firstLineChars="200"/>
        <w:textAlignment w:val="auto"/>
        <w:outlineLvl w:val="9"/>
        <w:rPr>
          <w:rFonts w:ascii="仿宋" w:hAnsi="仿宋" w:eastAsia="仿宋_GB2312"/>
          <w:b/>
          <w:sz w:val="32"/>
          <w:szCs w:val="32"/>
        </w:rPr>
      </w:pPr>
      <w:r>
        <w:rPr>
          <w:rFonts w:hint="eastAsia" w:ascii="仿宋" w:hAnsi="仿宋" w:eastAsia="仿宋_GB2312"/>
          <w:b/>
          <w:sz w:val="32"/>
          <w:szCs w:val="32"/>
        </w:rPr>
        <w:t>11.健全疾病预防控制机构、各级医疗卫生机构的医防融合工作机制，实现不同机构间功能协同、信息互联互通。</w:t>
      </w:r>
    </w:p>
    <w:p>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ascii="仿宋" w:hAnsi="仿宋" w:eastAsia="仿宋_GB2312"/>
          <w:sz w:val="32"/>
          <w:szCs w:val="32"/>
        </w:rPr>
      </w:pPr>
      <w:r>
        <w:rPr>
          <w:rFonts w:hint="eastAsia" w:ascii="仿宋" w:hAnsi="仿宋" w:eastAsia="仿宋_GB2312"/>
          <w:sz w:val="32"/>
          <w:szCs w:val="32"/>
        </w:rPr>
        <w:t>（1）制定辖区内慢性病防控服务体系建设方案，明晰各类机构职责与要求，加强各级防控队伍能力建设，创新慢性病协同管理服务模式。强化与基层医疗卫生机构业务指导、培训、信息共享等对口技术支援协作，提升综合防治能力。（牵头部门：区卫生健康委）</w:t>
      </w:r>
    </w:p>
    <w:p>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ascii="仿宋" w:hAnsi="仿宋" w:eastAsia="仿宋_GB2312"/>
          <w:sz w:val="32"/>
          <w:szCs w:val="32"/>
        </w:rPr>
      </w:pPr>
      <w:r>
        <w:rPr>
          <w:rFonts w:hint="eastAsia" w:ascii="仿宋" w:hAnsi="仿宋" w:eastAsia="仿宋_GB2312"/>
          <w:sz w:val="32"/>
          <w:szCs w:val="32"/>
        </w:rPr>
        <w:t>（2）建立区域卫生健康信息平台，实现辖区内所有专业公共卫生机构、各级医疗卫生机构之间的卫生健康信息互联共享。（牵头部门：区卫生健康委、区政数局）</w:t>
      </w:r>
    </w:p>
    <w:p>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ascii="仿宋" w:hAnsi="仿宋" w:eastAsia="仿宋_GB2312"/>
          <w:sz w:val="32"/>
          <w:szCs w:val="32"/>
        </w:rPr>
      </w:pPr>
      <w:r>
        <w:rPr>
          <w:rFonts w:hint="eastAsia" w:ascii="仿宋" w:hAnsi="仿宋" w:eastAsia="仿宋_GB2312"/>
          <w:sz w:val="32"/>
          <w:szCs w:val="32"/>
        </w:rPr>
        <w:t>（3）实现辖区内基本公共卫生服务居民电子健康档案和医疗机构诊疗信息共享，实现个人信息的连续记录。（牵头部门：区卫生健康委）</w:t>
      </w:r>
    </w:p>
    <w:p>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ascii="楷体" w:hAnsi="楷体" w:eastAsia="楷体_GB2312"/>
          <w:sz w:val="32"/>
          <w:szCs w:val="32"/>
        </w:rPr>
      </w:pPr>
      <w:r>
        <w:rPr>
          <w:rFonts w:hint="eastAsia" w:ascii="楷体" w:hAnsi="楷体" w:eastAsia="楷体_GB2312"/>
          <w:sz w:val="32"/>
          <w:szCs w:val="32"/>
        </w:rPr>
        <w:t>（五）健康促进</w:t>
      </w:r>
    </w:p>
    <w:p>
      <w:pPr>
        <w:keepNext w:val="0"/>
        <w:keepLines w:val="0"/>
        <w:pageBreakBefore w:val="0"/>
        <w:kinsoku/>
        <w:wordWrap/>
        <w:overflowPunct/>
        <w:topLinePunct w:val="0"/>
        <w:autoSpaceDE/>
        <w:autoSpaceDN/>
        <w:bidi w:val="0"/>
        <w:spacing w:line="560" w:lineRule="exact"/>
        <w:ind w:right="0" w:rightChars="0" w:firstLine="643" w:firstLineChars="200"/>
        <w:textAlignment w:val="auto"/>
        <w:outlineLvl w:val="9"/>
        <w:rPr>
          <w:rFonts w:ascii="仿宋" w:hAnsi="仿宋" w:eastAsia="仿宋_GB2312"/>
          <w:b/>
          <w:sz w:val="32"/>
          <w:szCs w:val="32"/>
        </w:rPr>
      </w:pPr>
      <w:r>
        <w:rPr>
          <w:rFonts w:hint="eastAsia" w:ascii="仿宋" w:hAnsi="仿宋" w:eastAsia="仿宋_GB2312"/>
          <w:b/>
          <w:sz w:val="32"/>
          <w:szCs w:val="32"/>
        </w:rPr>
        <w:t>12.开展健康教育和健康促进，加大健康知识传播力度，提高居民健康素养水平。</w:t>
      </w:r>
    </w:p>
    <w:p>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ascii="仿宋" w:hAnsi="仿宋" w:eastAsia="仿宋_GB2312"/>
          <w:sz w:val="32"/>
          <w:szCs w:val="32"/>
        </w:rPr>
      </w:pPr>
      <w:r>
        <w:rPr>
          <w:rFonts w:hint="eastAsia" w:ascii="仿宋" w:hAnsi="仿宋" w:eastAsia="仿宋_GB2312"/>
          <w:sz w:val="32"/>
          <w:szCs w:val="32"/>
        </w:rPr>
        <w:t>（1）利用主流媒体和互联网等新媒体广泛开展宣传，传播慢性病防治和健康素养的知识与技能。（牵头部门：区委宣传部、区融媒体中心、区卫生健康委）</w:t>
      </w:r>
    </w:p>
    <w:p>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ascii="仿宋" w:hAnsi="仿宋" w:eastAsia="仿宋_GB2312"/>
          <w:sz w:val="32"/>
          <w:szCs w:val="32"/>
        </w:rPr>
      </w:pPr>
      <w:r>
        <w:rPr>
          <w:rFonts w:hint="eastAsia" w:ascii="仿宋" w:hAnsi="仿宋" w:eastAsia="仿宋_GB2312"/>
          <w:sz w:val="32"/>
          <w:szCs w:val="32"/>
        </w:rPr>
        <w:t>（2）提高居民重点慢性病核心知识知晓率和健康素养水平。关注重点人群，提高老年人健康素养水平。（牵头部门：区卫生健康委）</w:t>
      </w:r>
    </w:p>
    <w:p>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ascii="仿宋" w:hAnsi="仿宋" w:eastAsia="仿宋_GB2312"/>
          <w:sz w:val="32"/>
          <w:szCs w:val="32"/>
        </w:rPr>
      </w:pPr>
      <w:r>
        <w:rPr>
          <w:rFonts w:hint="eastAsia" w:ascii="仿宋" w:hAnsi="仿宋" w:eastAsia="仿宋_GB2312"/>
          <w:sz w:val="32"/>
          <w:szCs w:val="32"/>
        </w:rPr>
        <w:t>（3）扩大传播慢性病防治和健康素养知识和技能的范围。围绕全国肿瘤防治宣传周、全国高血压日等慢性病防治主题日开展宣传。（牵头部门：区卫生健康委；责任单位：各成员单位）</w:t>
      </w:r>
    </w:p>
    <w:p>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ascii="仿宋" w:hAnsi="仿宋" w:eastAsia="仿宋_GB2312"/>
          <w:sz w:val="32"/>
          <w:szCs w:val="32"/>
        </w:rPr>
      </w:pPr>
      <w:r>
        <w:rPr>
          <w:rFonts w:hint="eastAsia" w:ascii="仿宋" w:hAnsi="仿宋" w:eastAsia="仿宋_GB2312"/>
          <w:sz w:val="32"/>
          <w:szCs w:val="32"/>
        </w:rPr>
        <w:t>（4）开展幼儿园、中小学校健康行为方式教育，包括营养均衡、口腔保健、健康体重、视力保护、心理健康、伤害预防等内容。（牵头部门：区教委）</w:t>
      </w:r>
    </w:p>
    <w:p>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ascii="楷体" w:hAnsi="楷体" w:eastAsia="楷体_GB2312"/>
          <w:sz w:val="32"/>
          <w:szCs w:val="32"/>
        </w:rPr>
      </w:pPr>
      <w:r>
        <w:rPr>
          <w:rFonts w:hint="eastAsia" w:ascii="楷体" w:hAnsi="楷体" w:eastAsia="楷体_GB2312"/>
          <w:sz w:val="32"/>
          <w:szCs w:val="32"/>
        </w:rPr>
        <w:t>（六）全程管理</w:t>
      </w:r>
    </w:p>
    <w:p>
      <w:pPr>
        <w:keepNext w:val="0"/>
        <w:keepLines w:val="0"/>
        <w:pageBreakBefore w:val="0"/>
        <w:kinsoku/>
        <w:wordWrap/>
        <w:overflowPunct/>
        <w:topLinePunct w:val="0"/>
        <w:autoSpaceDE/>
        <w:autoSpaceDN/>
        <w:bidi w:val="0"/>
        <w:spacing w:line="560" w:lineRule="exact"/>
        <w:ind w:right="0" w:rightChars="0" w:firstLine="643" w:firstLineChars="200"/>
        <w:textAlignment w:val="auto"/>
        <w:outlineLvl w:val="9"/>
        <w:rPr>
          <w:rFonts w:ascii="仿宋" w:hAnsi="仿宋" w:eastAsia="仿宋_GB2312"/>
          <w:b/>
          <w:sz w:val="32"/>
          <w:szCs w:val="32"/>
        </w:rPr>
      </w:pPr>
      <w:r>
        <w:rPr>
          <w:rFonts w:hint="eastAsia" w:ascii="仿宋" w:hAnsi="仿宋" w:eastAsia="仿宋_GB2312"/>
          <w:b/>
          <w:sz w:val="32"/>
          <w:szCs w:val="32"/>
        </w:rPr>
        <w:t>13.开展学生、老年人等重点人群和职工定期健康体检和健康指导，提升健康水平。</w:t>
      </w:r>
    </w:p>
    <w:p>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ascii="仿宋" w:hAnsi="仿宋" w:eastAsia="仿宋_GB2312"/>
          <w:sz w:val="32"/>
          <w:szCs w:val="32"/>
        </w:rPr>
      </w:pPr>
      <w:r>
        <w:rPr>
          <w:rFonts w:hint="eastAsia" w:ascii="仿宋" w:hAnsi="仿宋" w:eastAsia="仿宋_GB2312"/>
          <w:sz w:val="32"/>
          <w:szCs w:val="32"/>
        </w:rPr>
        <w:t>（1）开展学生定期健康体检和指导，国家学生体质健康标准达标优良率达60%</w:t>
      </w:r>
      <w:r>
        <w:rPr>
          <w:rFonts w:ascii="仿宋" w:hAnsi="仿宋" w:eastAsia="仿宋_GB2312"/>
          <w:sz w:val="32"/>
          <w:szCs w:val="32"/>
        </w:rPr>
        <w:t>以上</w:t>
      </w:r>
      <w:r>
        <w:rPr>
          <w:rFonts w:hint="eastAsia" w:ascii="仿宋" w:hAnsi="仿宋" w:eastAsia="仿宋_GB2312"/>
          <w:sz w:val="32"/>
          <w:szCs w:val="32"/>
        </w:rPr>
        <w:t>。（牵头部门：区教委）</w:t>
      </w:r>
    </w:p>
    <w:p>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ascii="仿宋" w:hAnsi="仿宋" w:eastAsia="仿宋_GB2312"/>
          <w:sz w:val="32"/>
          <w:szCs w:val="32"/>
        </w:rPr>
      </w:pPr>
      <w:r>
        <w:rPr>
          <w:rFonts w:hint="eastAsia" w:ascii="仿宋" w:hAnsi="仿宋" w:eastAsia="仿宋_GB2312"/>
          <w:sz w:val="32"/>
          <w:szCs w:val="32"/>
        </w:rPr>
        <w:t>（2）开展老年人定期健康体检和指导，提升65岁及以上老年人城乡社区规范健康管理服务率，着力丰富服务内涵。（牵头部门：区卫生健康委）</w:t>
      </w:r>
    </w:p>
    <w:p>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ascii="仿宋" w:hAnsi="仿宋" w:eastAsia="仿宋_GB2312"/>
          <w:sz w:val="32"/>
          <w:szCs w:val="32"/>
        </w:rPr>
      </w:pPr>
      <w:r>
        <w:rPr>
          <w:rFonts w:hint="eastAsia" w:ascii="仿宋" w:hAnsi="仿宋" w:eastAsia="仿宋_GB2312"/>
          <w:sz w:val="32"/>
          <w:szCs w:val="32"/>
        </w:rPr>
        <w:t>（3）开展职工定期健康体检和指导，机关事业单位和50人以上企业至少两年组织一次，并结合结果开展健康指导。（牵头部门：区总工会、区直机关工委；责任单位：各成员单位）</w:t>
      </w:r>
    </w:p>
    <w:p>
      <w:pPr>
        <w:keepNext w:val="0"/>
        <w:keepLines w:val="0"/>
        <w:pageBreakBefore w:val="0"/>
        <w:kinsoku/>
        <w:wordWrap/>
        <w:overflowPunct/>
        <w:topLinePunct w:val="0"/>
        <w:autoSpaceDE/>
        <w:autoSpaceDN/>
        <w:bidi w:val="0"/>
        <w:spacing w:line="560" w:lineRule="exact"/>
        <w:ind w:right="0" w:rightChars="0" w:firstLine="643" w:firstLineChars="200"/>
        <w:textAlignment w:val="auto"/>
        <w:outlineLvl w:val="9"/>
        <w:rPr>
          <w:rFonts w:ascii="仿宋" w:hAnsi="仿宋" w:eastAsia="仿宋_GB2312"/>
          <w:sz w:val="32"/>
          <w:szCs w:val="32"/>
        </w:rPr>
      </w:pPr>
      <w:r>
        <w:rPr>
          <w:rFonts w:hint="eastAsia" w:ascii="仿宋" w:hAnsi="仿宋" w:eastAsia="仿宋_GB2312"/>
          <w:b/>
          <w:sz w:val="32"/>
          <w:szCs w:val="32"/>
        </w:rPr>
        <w:t>14.开展心脑血管疾病、癌症、糖尿病、慢阻肺病等重大慢性病的早期发现与管理，提高重大慢性病的早诊早治与管理水平。</w:t>
      </w:r>
    </w:p>
    <w:p>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ascii="仿宋" w:hAnsi="仿宋" w:eastAsia="仿宋_GB2312"/>
          <w:sz w:val="32"/>
          <w:szCs w:val="32"/>
        </w:rPr>
      </w:pPr>
      <w:r>
        <w:rPr>
          <w:rFonts w:hint="eastAsia" w:ascii="仿宋" w:hAnsi="仿宋" w:eastAsia="仿宋_GB2312"/>
          <w:sz w:val="32"/>
          <w:szCs w:val="32"/>
        </w:rPr>
        <w:t>（1）各医疗机构为35岁及以上人群提供首诊测血压服务，首诊测血压率达1</w:t>
      </w:r>
      <w:r>
        <w:rPr>
          <w:rFonts w:ascii="仿宋" w:hAnsi="仿宋" w:eastAsia="仿宋_GB2312"/>
          <w:sz w:val="32"/>
          <w:szCs w:val="32"/>
        </w:rPr>
        <w:t>00</w:t>
      </w:r>
      <w:r>
        <w:rPr>
          <w:rFonts w:hint="eastAsia" w:ascii="仿宋" w:hAnsi="仿宋" w:eastAsia="仿宋_GB2312"/>
          <w:sz w:val="32"/>
          <w:szCs w:val="32"/>
        </w:rPr>
        <w:t>%。（牵头部门：区卫生健康委）</w:t>
      </w:r>
    </w:p>
    <w:p>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ascii="仿宋" w:hAnsi="仿宋" w:eastAsia="仿宋_GB2312"/>
          <w:sz w:val="32"/>
          <w:szCs w:val="32"/>
        </w:rPr>
      </w:pPr>
      <w:r>
        <w:rPr>
          <w:rFonts w:hint="eastAsia" w:ascii="仿宋" w:hAnsi="仿宋" w:eastAsia="仿宋_GB2312"/>
          <w:sz w:val="32"/>
          <w:szCs w:val="32"/>
        </w:rPr>
        <w:t>（2）开展心脑血管疾病、重点癌症、糖尿病及其并发症、慢阻肺病等重大慢性病的筛查和早期诊断。提升社区卫生服务中心提供血糖、血脂、简易肺功能及大便隐血检测的服务能力与覆盖率。加强个人健康档案与体检信息运用，发现高危人群纳入健康管理。（牵头部门：区卫生健康委）</w:t>
      </w:r>
    </w:p>
    <w:p>
      <w:pPr>
        <w:keepNext w:val="0"/>
        <w:keepLines w:val="0"/>
        <w:pageBreakBefore w:val="0"/>
        <w:kinsoku/>
        <w:wordWrap/>
        <w:overflowPunct/>
        <w:topLinePunct w:val="0"/>
        <w:autoSpaceDE/>
        <w:autoSpaceDN/>
        <w:bidi w:val="0"/>
        <w:spacing w:line="560" w:lineRule="exact"/>
        <w:ind w:right="0" w:rightChars="0" w:firstLine="643" w:firstLineChars="200"/>
        <w:textAlignment w:val="auto"/>
        <w:outlineLvl w:val="9"/>
        <w:rPr>
          <w:rFonts w:ascii="仿宋" w:hAnsi="仿宋" w:eastAsia="仿宋_GB2312"/>
          <w:sz w:val="32"/>
          <w:szCs w:val="32"/>
        </w:rPr>
      </w:pPr>
      <w:r>
        <w:rPr>
          <w:rFonts w:hint="eastAsia" w:ascii="仿宋" w:hAnsi="仿宋" w:eastAsia="仿宋_GB2312"/>
          <w:b/>
          <w:sz w:val="32"/>
          <w:szCs w:val="32"/>
        </w:rPr>
        <w:t>15.开展高血压、糖尿病、慢阻肺病重点慢性病规范化管理，不断提升知晓率、治疗率和控制率。</w:t>
      </w:r>
      <w:r>
        <w:rPr>
          <w:rFonts w:hint="eastAsia" w:ascii="仿宋" w:hAnsi="仿宋" w:eastAsia="仿宋_GB2312"/>
          <w:sz w:val="32"/>
          <w:szCs w:val="32"/>
        </w:rPr>
        <w:t>建立分级诊疗与家庭医生签约制度，开展高血压、糖尿病、慢阻肺病等重点慢性病规范化管理。提升高血压、2型糖尿病患者基层规范管理服务率和慢阻肺病患者规范健康服务率，提高治疗率和控制率。（牵头部门：区卫生健康委）</w:t>
      </w:r>
    </w:p>
    <w:p>
      <w:pPr>
        <w:keepNext w:val="0"/>
        <w:keepLines w:val="0"/>
        <w:pageBreakBefore w:val="0"/>
        <w:kinsoku/>
        <w:wordWrap/>
        <w:overflowPunct/>
        <w:topLinePunct w:val="0"/>
        <w:autoSpaceDE/>
        <w:autoSpaceDN/>
        <w:bidi w:val="0"/>
        <w:spacing w:line="560" w:lineRule="exact"/>
        <w:ind w:right="0" w:rightChars="0" w:firstLine="643" w:firstLineChars="200"/>
        <w:textAlignment w:val="auto"/>
        <w:outlineLvl w:val="9"/>
        <w:rPr>
          <w:rFonts w:ascii="仿宋" w:hAnsi="仿宋" w:eastAsia="仿宋_GB2312"/>
          <w:sz w:val="32"/>
          <w:szCs w:val="32"/>
        </w:rPr>
      </w:pPr>
      <w:r>
        <w:rPr>
          <w:rFonts w:hint="eastAsia" w:ascii="仿宋" w:hAnsi="仿宋" w:eastAsia="仿宋_GB2312"/>
          <w:b/>
          <w:sz w:val="32"/>
          <w:szCs w:val="32"/>
        </w:rPr>
        <w:t>16.中西医并重，发挥中医药在慢性病预防、保健、诊疗、康复中的作用。</w:t>
      </w:r>
      <w:r>
        <w:rPr>
          <w:rFonts w:hint="eastAsia" w:ascii="仿宋_GB2312" w:hAnsi="仿宋_GB2312" w:eastAsia="仿宋_GB2312" w:cs="仿宋_GB2312"/>
          <w:bCs/>
          <w:sz w:val="32"/>
          <w:szCs w:val="32"/>
        </w:rPr>
        <w:t>各社区卫生服务中心中医综合服务区均能提供6类以上中医非药物疗法，</w:t>
      </w:r>
      <w:r>
        <w:rPr>
          <w:rFonts w:hint="eastAsia" w:ascii="仿宋" w:hAnsi="仿宋" w:eastAsia="仿宋_GB2312"/>
          <w:sz w:val="32"/>
          <w:szCs w:val="32"/>
        </w:rPr>
        <w:t>村卫生室/社区卫生服务站提供4类以上的比例＞70%。加强中医药养生宣传与适宜技术推广，为65岁及以上老年人提供中医药健康管理。（牵头部门：区卫生健康委）</w:t>
      </w:r>
    </w:p>
    <w:p>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ascii="楷体" w:hAnsi="楷体" w:eastAsia="楷体_GB2312"/>
          <w:sz w:val="32"/>
          <w:szCs w:val="32"/>
        </w:rPr>
      </w:pPr>
      <w:r>
        <w:rPr>
          <w:rFonts w:hint="eastAsia" w:ascii="楷体" w:hAnsi="楷体" w:eastAsia="楷体_GB2312"/>
          <w:sz w:val="32"/>
          <w:szCs w:val="32"/>
        </w:rPr>
        <w:t>（七）监测评估</w:t>
      </w:r>
    </w:p>
    <w:p>
      <w:pPr>
        <w:keepNext w:val="0"/>
        <w:keepLines w:val="0"/>
        <w:pageBreakBefore w:val="0"/>
        <w:kinsoku/>
        <w:wordWrap/>
        <w:overflowPunct/>
        <w:topLinePunct w:val="0"/>
        <w:autoSpaceDE/>
        <w:autoSpaceDN/>
        <w:bidi w:val="0"/>
        <w:spacing w:line="560" w:lineRule="exact"/>
        <w:ind w:right="0" w:rightChars="0" w:firstLine="643" w:firstLineChars="200"/>
        <w:textAlignment w:val="auto"/>
        <w:outlineLvl w:val="9"/>
        <w:rPr>
          <w:rFonts w:ascii="仿宋" w:hAnsi="仿宋" w:eastAsia="仿宋_GB2312"/>
          <w:sz w:val="32"/>
          <w:szCs w:val="32"/>
        </w:rPr>
      </w:pPr>
      <w:r>
        <w:rPr>
          <w:rFonts w:hint="eastAsia" w:ascii="仿宋" w:hAnsi="仿宋" w:eastAsia="仿宋_GB2312"/>
          <w:b/>
          <w:sz w:val="32"/>
          <w:szCs w:val="32"/>
        </w:rPr>
        <w:t>17.规范开展覆盖辖区慢性病及相关危险因素监测，掌握辖区重点慢性病状况、影响因素和疾病负担。</w:t>
      </w:r>
      <w:r>
        <w:rPr>
          <w:rFonts w:hint="eastAsia" w:ascii="仿宋" w:hAnsi="仿宋" w:eastAsia="仿宋_GB2312"/>
          <w:sz w:val="32"/>
          <w:szCs w:val="32"/>
        </w:rPr>
        <w:t>开展全人群的死因监测、慢性病和营养监测、心脑血管事件监测、慢阻肺病监测、肿瘤随访登记等重大慢性病登记报告工作。（牵头部门：区卫生健康委）</w:t>
      </w:r>
    </w:p>
    <w:p>
      <w:pPr>
        <w:keepNext w:val="0"/>
        <w:keepLines w:val="0"/>
        <w:pageBreakBefore w:val="0"/>
        <w:kinsoku/>
        <w:wordWrap/>
        <w:overflowPunct/>
        <w:topLinePunct w:val="0"/>
        <w:autoSpaceDE/>
        <w:autoSpaceDN/>
        <w:bidi w:val="0"/>
        <w:spacing w:line="560" w:lineRule="exact"/>
        <w:ind w:right="0" w:rightChars="0" w:firstLine="643" w:firstLineChars="200"/>
        <w:textAlignment w:val="auto"/>
        <w:outlineLvl w:val="9"/>
        <w:rPr>
          <w:rFonts w:ascii="仿宋" w:hAnsi="仿宋" w:eastAsia="仿宋_GB2312"/>
          <w:sz w:val="32"/>
          <w:szCs w:val="32"/>
        </w:rPr>
      </w:pPr>
      <w:r>
        <w:rPr>
          <w:rFonts w:hint="eastAsia" w:ascii="仿宋" w:hAnsi="仿宋" w:eastAsia="仿宋_GB2312"/>
          <w:b/>
          <w:sz w:val="32"/>
          <w:szCs w:val="32"/>
        </w:rPr>
        <w:t>18.开展慢性病综合防控，降低重大慢性病过早死亡率。</w:t>
      </w:r>
      <w:r>
        <w:rPr>
          <w:rFonts w:hint="eastAsia" w:ascii="仿宋" w:hAnsi="仿宋" w:eastAsia="仿宋_GB2312"/>
          <w:sz w:val="32"/>
          <w:szCs w:val="32"/>
        </w:rPr>
        <w:t>构建分级诊疗闭环，大力普及健康生活方式，提升公众自主健康管理意识，从源头防范因重大慢性病过早死亡。（牵头部门：区卫生健康委）</w:t>
      </w:r>
    </w:p>
    <w:p>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ascii="楷体" w:hAnsi="楷体" w:eastAsia="楷体_GB2312"/>
          <w:sz w:val="32"/>
          <w:szCs w:val="32"/>
        </w:rPr>
      </w:pPr>
      <w:r>
        <w:rPr>
          <w:rFonts w:hint="eastAsia" w:ascii="楷体" w:hAnsi="楷体" w:eastAsia="楷体_GB2312"/>
          <w:sz w:val="32"/>
          <w:szCs w:val="32"/>
        </w:rPr>
        <w:t>（八）创新引领</w:t>
      </w:r>
    </w:p>
    <w:p>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ascii="仿宋" w:hAnsi="仿宋" w:eastAsia="仿宋_GB2312"/>
          <w:sz w:val="32"/>
          <w:szCs w:val="32"/>
        </w:rPr>
      </w:pPr>
      <w:r>
        <w:rPr>
          <w:rFonts w:hint="eastAsia" w:ascii="仿宋" w:hAnsi="仿宋" w:eastAsia="仿宋_GB2312"/>
          <w:sz w:val="32"/>
          <w:szCs w:val="32"/>
        </w:rPr>
        <w:t>形成可复制推广的慢性病综合防控特色，与社区文化、健康城市建设、智慧城市建设、文明创建、公共服务与公共产品等相关项目有机融合，实现协同增效。形成特色案例，促进成功经验在区内、外的推广应用。（牵头部门：各成员单位）</w:t>
      </w:r>
    </w:p>
    <w:p>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ascii="黑体" w:hAnsi="黑体" w:eastAsia="黑体"/>
          <w:sz w:val="32"/>
          <w:szCs w:val="32"/>
        </w:rPr>
      </w:pPr>
      <w:r>
        <w:rPr>
          <w:rFonts w:hint="eastAsia" w:ascii="黑体" w:hAnsi="黑体" w:eastAsia="黑体"/>
          <w:sz w:val="32"/>
          <w:szCs w:val="32"/>
        </w:rPr>
        <w:t>五、保障措施</w:t>
      </w:r>
    </w:p>
    <w:p>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ascii="楷体" w:hAnsi="楷体" w:eastAsia="楷体_GB2312"/>
          <w:sz w:val="32"/>
          <w:szCs w:val="32"/>
        </w:rPr>
      </w:pPr>
      <w:r>
        <w:rPr>
          <w:rFonts w:ascii="楷体" w:hAnsi="楷体" w:eastAsia="楷体_GB2312"/>
          <w:sz w:val="32"/>
          <w:szCs w:val="32"/>
        </w:rPr>
        <w:t>（一）政策保障</w:t>
      </w:r>
    </w:p>
    <w:p>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ascii="仿宋" w:hAnsi="仿宋" w:eastAsia="仿宋_GB2312"/>
          <w:sz w:val="32"/>
          <w:szCs w:val="32"/>
        </w:rPr>
      </w:pPr>
      <w:r>
        <w:rPr>
          <w:rFonts w:hint="eastAsia" w:ascii="仿宋" w:hAnsi="仿宋" w:eastAsia="仿宋_GB2312"/>
          <w:sz w:val="32"/>
          <w:szCs w:val="32"/>
        </w:rPr>
        <w:t>由区政府统一领导，完善慢性病防控政策和规划，健全长效机制，为慢性病综合防控提供政策支持。</w:t>
      </w:r>
    </w:p>
    <w:p>
      <w:pPr>
        <w:keepNext w:val="0"/>
        <w:keepLines w:val="0"/>
        <w:pageBreakBefore w:val="0"/>
        <w:numPr>
          <w:ilvl w:val="0"/>
          <w:numId w:val="1"/>
        </w:numPr>
        <w:kinsoku/>
        <w:wordWrap/>
        <w:overflowPunct/>
        <w:topLinePunct w:val="0"/>
        <w:autoSpaceDE/>
        <w:autoSpaceDN/>
        <w:bidi w:val="0"/>
        <w:spacing w:line="560" w:lineRule="exact"/>
        <w:ind w:right="0" w:rightChars="0" w:firstLine="640" w:firstLineChars="200"/>
        <w:textAlignment w:val="auto"/>
        <w:outlineLvl w:val="9"/>
        <w:rPr>
          <w:rFonts w:hint="eastAsia" w:ascii="楷体" w:hAnsi="楷体" w:eastAsia="楷体_GB2312"/>
          <w:sz w:val="32"/>
          <w:szCs w:val="32"/>
        </w:rPr>
      </w:pPr>
      <w:r>
        <w:rPr>
          <w:rFonts w:hint="eastAsia" w:ascii="楷体" w:hAnsi="楷体" w:eastAsia="楷体_GB2312"/>
          <w:sz w:val="32"/>
          <w:szCs w:val="32"/>
        </w:rPr>
        <w:t>组织保障</w:t>
      </w:r>
    </w:p>
    <w:p>
      <w:pPr>
        <w:keepNext w:val="0"/>
        <w:keepLines w:val="0"/>
        <w:pageBreakBefore w:val="0"/>
        <w:numPr>
          <w:numId w:val="0"/>
        </w:numPr>
        <w:kinsoku/>
        <w:wordWrap/>
        <w:overflowPunct/>
        <w:topLinePunct w:val="0"/>
        <w:autoSpaceDE/>
        <w:autoSpaceDN/>
        <w:bidi w:val="0"/>
        <w:spacing w:line="560" w:lineRule="exact"/>
        <w:ind w:right="0" w:rightChars="0"/>
        <w:textAlignment w:val="auto"/>
        <w:outlineLvl w:val="9"/>
        <w:rPr>
          <w:rFonts w:ascii="仿宋" w:hAnsi="仿宋" w:eastAsia="仿宋_GB2312"/>
          <w:sz w:val="32"/>
          <w:szCs w:val="32"/>
        </w:rPr>
      </w:pPr>
      <w:r>
        <w:rPr>
          <w:rFonts w:hint="eastAsia" w:ascii="仿宋" w:hAnsi="仿宋" w:eastAsia="仿宋_GB2312"/>
          <w:sz w:val="32"/>
          <w:szCs w:val="32"/>
          <w:lang w:val="en-US" w:eastAsia="zh-CN"/>
        </w:rPr>
        <w:t xml:space="preserve">    </w:t>
      </w:r>
      <w:r>
        <w:rPr>
          <w:rFonts w:hint="eastAsia" w:ascii="仿宋" w:hAnsi="仿宋" w:eastAsia="仿宋_GB2312"/>
          <w:sz w:val="32"/>
          <w:szCs w:val="32"/>
        </w:rPr>
        <w:t>区级建立示范区建设领导工作机制，各成员单位成立相应组织机构，保障本部门工作落实。</w:t>
      </w:r>
    </w:p>
    <w:p>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ascii="楷体" w:hAnsi="楷体" w:eastAsia="楷体_GB2312"/>
          <w:sz w:val="32"/>
          <w:szCs w:val="32"/>
        </w:rPr>
      </w:pPr>
      <w:r>
        <w:rPr>
          <w:rFonts w:hint="eastAsia" w:ascii="楷体" w:hAnsi="楷体" w:eastAsia="楷体_GB2312"/>
          <w:sz w:val="32"/>
          <w:szCs w:val="32"/>
        </w:rPr>
        <w:t>（三）经费保障</w:t>
      </w:r>
    </w:p>
    <w:p>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ascii="仿宋" w:hAnsi="仿宋" w:eastAsia="仿宋_GB2312"/>
          <w:sz w:val="32"/>
          <w:szCs w:val="32"/>
        </w:rPr>
      </w:pPr>
      <w:r>
        <w:rPr>
          <w:rFonts w:hint="eastAsia" w:ascii="仿宋" w:hAnsi="仿宋" w:eastAsia="仿宋_GB2312"/>
          <w:sz w:val="32"/>
          <w:szCs w:val="32"/>
        </w:rPr>
        <w:t>慢性病防控经费纳入年度财政预算，强化专项经费规范管理，支持防控工作可持续发展。</w:t>
      </w:r>
    </w:p>
    <w:p>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ascii="楷体" w:hAnsi="楷体" w:eastAsia="楷体_GB2312"/>
          <w:sz w:val="32"/>
          <w:szCs w:val="32"/>
        </w:rPr>
      </w:pPr>
      <w:r>
        <w:rPr>
          <w:rFonts w:hint="eastAsia" w:ascii="楷体" w:hAnsi="楷体" w:eastAsia="楷体_GB2312"/>
          <w:sz w:val="32"/>
          <w:szCs w:val="32"/>
        </w:rPr>
        <w:t>（四）技术保障</w:t>
      </w:r>
    </w:p>
    <w:p>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ascii="仿宋" w:hAnsi="仿宋" w:eastAsia="仿宋_GB2312"/>
          <w:sz w:val="32"/>
          <w:szCs w:val="32"/>
        </w:rPr>
      </w:pPr>
      <w:r>
        <w:rPr>
          <w:rFonts w:hint="eastAsia" w:ascii="仿宋" w:hAnsi="仿宋" w:eastAsia="仿宋_GB2312"/>
          <w:sz w:val="32"/>
          <w:szCs w:val="32"/>
        </w:rPr>
        <w:t>区卫生健康委及内部相关机构慢性病专业人员队伍稳定，持续为成员单位提供技术指导与培训，提升全区慢性病防控的专业化与规范化水平。</w:t>
      </w:r>
    </w:p>
    <w:p>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ascii="黑体" w:hAnsi="黑体" w:eastAsia="黑体"/>
          <w:sz w:val="32"/>
          <w:szCs w:val="32"/>
        </w:rPr>
      </w:pPr>
      <w:r>
        <w:rPr>
          <w:rFonts w:hint="eastAsia" w:ascii="黑体" w:hAnsi="黑体" w:eastAsia="黑体"/>
          <w:sz w:val="32"/>
          <w:szCs w:val="32"/>
        </w:rPr>
        <w:t>六</w:t>
      </w:r>
      <w:r>
        <w:rPr>
          <w:rFonts w:ascii="黑体" w:hAnsi="黑体" w:eastAsia="黑体"/>
          <w:sz w:val="32"/>
          <w:szCs w:val="32"/>
        </w:rPr>
        <w:t>、工作要求</w:t>
      </w:r>
    </w:p>
    <w:p>
      <w:pPr>
        <w:keepNext w:val="0"/>
        <w:keepLines w:val="0"/>
        <w:pageBreakBefore w:val="0"/>
        <w:kinsoku/>
        <w:wordWrap/>
        <w:overflowPunct/>
        <w:topLinePunct w:val="0"/>
        <w:autoSpaceDE/>
        <w:autoSpaceDN/>
        <w:bidi w:val="0"/>
        <w:adjustRightInd w:val="0"/>
        <w:snapToGrid w:val="0"/>
        <w:spacing w:line="560" w:lineRule="exact"/>
        <w:ind w:right="0" w:rightChars="0" w:firstLine="640" w:firstLineChars="200"/>
        <w:textAlignment w:val="auto"/>
        <w:outlineLvl w:val="9"/>
        <w:rPr>
          <w:rFonts w:ascii="仿宋" w:hAnsi="仿宋" w:eastAsia="仿宋_GB2312" w:cs="仿宋_GB2312"/>
          <w:sz w:val="32"/>
          <w:szCs w:val="32"/>
        </w:rPr>
      </w:pPr>
      <w:r>
        <w:rPr>
          <w:rFonts w:hint="eastAsia" w:ascii="仿宋_GB2312" w:hAnsi="仿宋_GB2312" w:eastAsia="仿宋_GB2312" w:cs="仿宋_GB2312"/>
          <w:sz w:val="32"/>
          <w:szCs w:val="32"/>
        </w:rPr>
        <w:t>各成员单位要坚持区委、区政府统一领导、统一部署，明确并落实职责，切实做到思想认识、组织领导、资金投入和工作措施四到位。</w:t>
      </w:r>
      <w:r>
        <w:rPr>
          <w:rFonts w:hint="eastAsia" w:ascii="仿宋_GB2312" w:hAnsi="仿宋_GB2312" w:eastAsia="仿宋_GB2312" w:cs="Times New Roman"/>
          <w:sz w:val="32"/>
          <w:szCs w:val="32"/>
        </w:rPr>
        <w:t>要</w:t>
      </w:r>
      <w:r>
        <w:rPr>
          <w:rFonts w:hint="eastAsia" w:ascii="仿宋_GB2312" w:hAnsi="仿宋_GB2312" w:eastAsia="仿宋_GB2312" w:cs="仿宋_GB2312"/>
          <w:sz w:val="32"/>
          <w:szCs w:val="32"/>
        </w:rPr>
        <w:t>加强信息沟通，不断优化信息反馈机制，完善内部运行与考核机制，形成常态化、制度化的长效管理格局。要建立慢性病防控专项经费专款专用、全程监管的财务制度，提高资金使用效益。</w:t>
      </w:r>
      <w:r>
        <w:rPr>
          <w:rFonts w:ascii="仿宋_GB2312" w:hAnsi="仿宋_GB2312" w:eastAsia="仿宋_GB2312" w:cs="仿宋_GB2312"/>
          <w:sz w:val="32"/>
          <w:szCs w:val="32"/>
        </w:rPr>
        <w:t>要</w:t>
      </w:r>
      <w:r>
        <w:rPr>
          <w:rFonts w:hint="eastAsia" w:ascii="仿宋_GB2312" w:hAnsi="仿宋_GB2312" w:eastAsia="仿宋_GB2312" w:cs="仿宋_GB2312"/>
          <w:sz w:val="32"/>
          <w:szCs w:val="32"/>
        </w:rPr>
        <w:t>持续</w:t>
      </w:r>
      <w:r>
        <w:rPr>
          <w:rFonts w:hint="eastAsia" w:ascii="仿宋" w:hAnsi="仿宋" w:eastAsia="仿宋_GB2312" w:cs="楷体"/>
          <w:sz w:val="32"/>
          <w:szCs w:val="32"/>
        </w:rPr>
        <w:t>开展形式多样的健康教育和社会宣传，动员社会各界积极参与，共同营造关注健康、支持防控的良好社会氛围</w:t>
      </w:r>
      <w:r>
        <w:rPr>
          <w:rFonts w:hint="eastAsia" w:ascii="仿宋" w:hAnsi="仿宋" w:eastAsia="仿宋_GB2312" w:cs="仿宋_GB2312"/>
          <w:sz w:val="32"/>
          <w:szCs w:val="32"/>
        </w:rPr>
        <w:t>。</w:t>
      </w:r>
    </w:p>
    <w:p>
      <w:pPr>
        <w:keepNext w:val="0"/>
        <w:keepLines w:val="0"/>
        <w:pageBreakBefore w:val="0"/>
        <w:kinsoku/>
        <w:wordWrap/>
        <w:overflowPunct/>
        <w:topLinePunct w:val="0"/>
        <w:autoSpaceDE/>
        <w:autoSpaceDN/>
        <w:bidi w:val="0"/>
        <w:adjustRightInd w:val="0"/>
        <w:snapToGrid w:val="0"/>
        <w:spacing w:line="560" w:lineRule="exact"/>
        <w:ind w:right="0" w:rightChars="0" w:firstLine="640" w:firstLineChars="200"/>
        <w:textAlignment w:val="auto"/>
        <w:outlineLvl w:val="9"/>
        <w:rPr>
          <w:rFonts w:ascii="仿宋" w:hAnsi="仿宋" w:eastAsia="仿宋_GB2312" w:cs="仿宋_GB2312"/>
          <w:sz w:val="32"/>
          <w:szCs w:val="32"/>
        </w:rPr>
      </w:pPr>
    </w:p>
    <w:p>
      <w:pPr>
        <w:keepNext w:val="0"/>
        <w:keepLines w:val="0"/>
        <w:pageBreakBefore w:val="0"/>
        <w:kinsoku/>
        <w:wordWrap/>
        <w:overflowPunct/>
        <w:topLinePunct w:val="0"/>
        <w:autoSpaceDE/>
        <w:autoSpaceDN/>
        <w:bidi w:val="0"/>
        <w:adjustRightInd w:val="0"/>
        <w:snapToGrid w:val="0"/>
        <w:spacing w:line="560" w:lineRule="exact"/>
        <w:ind w:right="0" w:rightChars="0" w:firstLine="640" w:firstLineChars="200"/>
        <w:textAlignment w:val="auto"/>
        <w:outlineLvl w:val="9"/>
        <w:rPr>
          <w:rFonts w:ascii="仿宋" w:hAnsi="仿宋" w:eastAsia="仿宋_GB2312" w:cs="仿宋_GB2312"/>
          <w:sz w:val="32"/>
          <w:szCs w:val="32"/>
        </w:rPr>
      </w:pPr>
    </w:p>
    <w:p>
      <w:pPr>
        <w:keepNext w:val="0"/>
        <w:keepLines w:val="0"/>
        <w:pageBreakBefore w:val="0"/>
        <w:kinsoku/>
        <w:wordWrap/>
        <w:overflowPunct/>
        <w:topLinePunct w:val="0"/>
        <w:autoSpaceDE/>
        <w:autoSpaceDN/>
        <w:bidi w:val="0"/>
        <w:adjustRightInd w:val="0"/>
        <w:snapToGrid w:val="0"/>
        <w:spacing w:line="560" w:lineRule="exact"/>
        <w:ind w:right="0" w:rightChars="0" w:firstLine="640" w:firstLineChars="200"/>
        <w:textAlignment w:val="auto"/>
        <w:outlineLvl w:val="9"/>
        <w:rPr>
          <w:rFonts w:ascii="仿宋" w:hAnsi="仿宋" w:eastAsia="仿宋_GB2312" w:cs="仿宋_GB2312"/>
          <w:sz w:val="32"/>
          <w:szCs w:val="32"/>
        </w:rPr>
      </w:pPr>
      <w:r>
        <w:rPr>
          <w:rFonts w:ascii="仿宋" w:hAnsi="仿宋" w:eastAsia="仿宋_GB2312" w:cs="仿宋_GB2312"/>
          <w:sz w:val="32"/>
          <w:szCs w:val="32"/>
        </w:rPr>
        <w:t>附件</w:t>
      </w:r>
      <w:r>
        <w:rPr>
          <w:rFonts w:hint="eastAsia" w:ascii="仿宋" w:hAnsi="仿宋" w:eastAsia="仿宋_GB2312" w:cs="仿宋_GB2312"/>
          <w:sz w:val="32"/>
          <w:szCs w:val="32"/>
        </w:rPr>
        <w:t>：1</w:t>
      </w:r>
      <w:r>
        <w:rPr>
          <w:rFonts w:ascii="仿宋" w:hAnsi="仿宋" w:eastAsia="仿宋_GB2312" w:cs="仿宋_GB2312"/>
          <w:sz w:val="32"/>
          <w:szCs w:val="32"/>
        </w:rPr>
        <w:t>.</w:t>
      </w:r>
      <w:r>
        <w:rPr>
          <w:rFonts w:hint="eastAsia" w:ascii="仿宋" w:hAnsi="仿宋" w:eastAsia="仿宋_GB2312" w:cs="仿宋_GB2312"/>
          <w:sz w:val="32"/>
          <w:szCs w:val="32"/>
        </w:rPr>
        <w:t>通州区慢性病综合防控示范区建设各成员单位主</w:t>
      </w:r>
    </w:p>
    <w:p>
      <w:pPr>
        <w:keepNext w:val="0"/>
        <w:keepLines w:val="0"/>
        <w:pageBreakBefore w:val="0"/>
        <w:kinsoku/>
        <w:wordWrap/>
        <w:overflowPunct/>
        <w:topLinePunct w:val="0"/>
        <w:autoSpaceDE/>
        <w:autoSpaceDN/>
        <w:bidi w:val="0"/>
        <w:adjustRightInd w:val="0"/>
        <w:snapToGrid w:val="0"/>
        <w:spacing w:line="560" w:lineRule="exact"/>
        <w:ind w:right="0" w:rightChars="0" w:firstLine="1920" w:firstLineChars="600"/>
        <w:textAlignment w:val="auto"/>
        <w:outlineLvl w:val="9"/>
        <w:rPr>
          <w:rFonts w:ascii="仿宋" w:hAnsi="仿宋" w:eastAsia="仿宋_GB2312" w:cs="仿宋_GB2312"/>
          <w:sz w:val="32"/>
          <w:szCs w:val="32"/>
        </w:rPr>
      </w:pPr>
      <w:r>
        <w:rPr>
          <w:rFonts w:hint="eastAsia" w:ascii="仿宋" w:hAnsi="仿宋" w:eastAsia="仿宋_GB2312" w:cs="仿宋_GB2312"/>
          <w:sz w:val="32"/>
          <w:szCs w:val="32"/>
        </w:rPr>
        <w:t>要职责</w:t>
      </w:r>
    </w:p>
    <w:p>
      <w:pPr>
        <w:keepNext w:val="0"/>
        <w:keepLines w:val="0"/>
        <w:pageBreakBefore w:val="0"/>
        <w:kinsoku/>
        <w:wordWrap/>
        <w:overflowPunct/>
        <w:topLinePunct w:val="0"/>
        <w:autoSpaceDE/>
        <w:autoSpaceDN/>
        <w:bidi w:val="0"/>
        <w:adjustRightInd w:val="0"/>
        <w:snapToGrid w:val="0"/>
        <w:spacing w:line="560" w:lineRule="exact"/>
        <w:ind w:right="0" w:rightChars="0" w:firstLine="1600" w:firstLineChars="500"/>
        <w:textAlignment w:val="auto"/>
        <w:outlineLvl w:val="9"/>
        <w:rPr>
          <w:rFonts w:ascii="仿宋" w:hAnsi="仿宋" w:eastAsia="仿宋_GB2312" w:cs="仿宋_GB2312"/>
          <w:sz w:val="32"/>
          <w:szCs w:val="32"/>
        </w:rPr>
      </w:pPr>
      <w:r>
        <w:rPr>
          <w:rFonts w:hint="eastAsia" w:ascii="仿宋" w:hAnsi="仿宋" w:eastAsia="仿宋_GB2312" w:cs="仿宋_GB2312"/>
          <w:sz w:val="32"/>
          <w:szCs w:val="32"/>
        </w:rPr>
        <w:t>2.通州区慢性病综合防控示范区建设指标体系任</w:t>
      </w:r>
    </w:p>
    <w:p>
      <w:pPr>
        <w:keepNext w:val="0"/>
        <w:keepLines w:val="0"/>
        <w:pageBreakBefore w:val="0"/>
        <w:kinsoku/>
        <w:wordWrap/>
        <w:overflowPunct/>
        <w:topLinePunct w:val="0"/>
        <w:autoSpaceDE/>
        <w:autoSpaceDN/>
        <w:bidi w:val="0"/>
        <w:adjustRightInd w:val="0"/>
        <w:snapToGrid w:val="0"/>
        <w:spacing w:line="560" w:lineRule="exact"/>
        <w:ind w:right="0" w:rightChars="0" w:firstLine="1920" w:firstLineChars="600"/>
        <w:textAlignment w:val="auto"/>
        <w:outlineLvl w:val="9"/>
        <w:rPr>
          <w:rFonts w:hint="eastAsia" w:ascii="仿宋" w:hAnsi="仿宋" w:eastAsia="仿宋_GB2312" w:cs="仿宋_GB2312"/>
          <w:sz w:val="32"/>
          <w:szCs w:val="32"/>
        </w:rPr>
      </w:pPr>
      <w:r>
        <w:rPr>
          <w:rFonts w:hint="eastAsia" w:ascii="仿宋" w:hAnsi="仿宋" w:eastAsia="仿宋_GB2312" w:cs="仿宋_GB2312"/>
          <w:sz w:val="32"/>
          <w:szCs w:val="32"/>
        </w:rPr>
        <w:t>务分解表</w:t>
      </w:r>
    </w:p>
    <w:p>
      <w:pPr>
        <w:pStyle w:val="2"/>
        <w:rPr>
          <w:rFonts w:hint="eastAsia" w:ascii="仿宋" w:hAnsi="仿宋" w:eastAsia="仿宋_GB2312" w:cs="仿宋_GB2312"/>
          <w:sz w:val="32"/>
          <w:szCs w:val="32"/>
        </w:rPr>
      </w:pPr>
    </w:p>
    <w:p>
      <w:pPr>
        <w:rPr>
          <w:rFonts w:hint="eastAsia" w:ascii="仿宋" w:hAnsi="仿宋" w:eastAsia="仿宋_GB2312" w:cs="仿宋_GB2312"/>
          <w:sz w:val="32"/>
          <w:szCs w:val="32"/>
        </w:rPr>
      </w:pPr>
    </w:p>
    <w:p>
      <w:pPr>
        <w:pStyle w:val="2"/>
        <w:rPr>
          <w:rFonts w:hint="eastAsia" w:ascii="仿宋" w:hAnsi="仿宋" w:eastAsia="仿宋_GB2312" w:cs="仿宋_GB2312"/>
          <w:sz w:val="32"/>
          <w:szCs w:val="32"/>
        </w:rPr>
      </w:pPr>
    </w:p>
    <w:p>
      <w:pPr>
        <w:rPr>
          <w:rFonts w:hint="eastAsia" w:ascii="仿宋" w:hAnsi="仿宋" w:eastAsia="仿宋_GB2312" w:cs="仿宋_GB2312"/>
          <w:sz w:val="32"/>
          <w:szCs w:val="32"/>
        </w:rPr>
      </w:pPr>
    </w:p>
    <w:p>
      <w:pPr>
        <w:pStyle w:val="2"/>
        <w:rPr>
          <w:rFonts w:hint="eastAsia" w:ascii="仿宋" w:hAnsi="仿宋" w:eastAsia="仿宋_GB2312" w:cs="仿宋_GB2312"/>
          <w:sz w:val="32"/>
          <w:szCs w:val="32"/>
        </w:rPr>
      </w:pPr>
    </w:p>
    <w:p>
      <w:pPr>
        <w:rPr>
          <w:rFonts w:hint="eastAsia" w:ascii="仿宋" w:hAnsi="仿宋" w:eastAsia="仿宋_GB2312" w:cs="仿宋_GB2312"/>
          <w:sz w:val="32"/>
          <w:szCs w:val="32"/>
        </w:rPr>
      </w:pPr>
    </w:p>
    <w:p>
      <w:pPr>
        <w:pStyle w:val="2"/>
        <w:rPr>
          <w:rFonts w:hint="eastAsia" w:ascii="仿宋" w:hAnsi="仿宋" w:eastAsia="仿宋_GB2312" w:cs="仿宋_GB2312"/>
          <w:sz w:val="32"/>
          <w:szCs w:val="32"/>
        </w:rPr>
      </w:pPr>
    </w:p>
    <w:p>
      <w:pPr>
        <w:rPr>
          <w:rFonts w:hint="eastAsia" w:ascii="仿宋" w:hAnsi="仿宋" w:eastAsia="仿宋_GB2312" w:cs="仿宋_GB2312"/>
          <w:sz w:val="32"/>
          <w:szCs w:val="32"/>
        </w:rPr>
      </w:pPr>
    </w:p>
    <w:p>
      <w:pPr>
        <w:pStyle w:val="2"/>
        <w:rPr>
          <w:rFonts w:hint="eastAsia" w:ascii="仿宋" w:hAnsi="仿宋" w:eastAsia="仿宋_GB2312" w:cs="仿宋_GB2312"/>
          <w:sz w:val="32"/>
          <w:szCs w:val="32"/>
        </w:rPr>
      </w:pPr>
    </w:p>
    <w:p>
      <w:pPr>
        <w:rPr>
          <w:rFonts w:hint="eastAsia" w:ascii="仿宋" w:hAnsi="仿宋" w:eastAsia="仿宋_GB2312" w:cs="仿宋_GB2312"/>
          <w:sz w:val="32"/>
          <w:szCs w:val="32"/>
        </w:rPr>
      </w:pPr>
    </w:p>
    <w:p>
      <w:pPr>
        <w:pStyle w:val="2"/>
        <w:rPr>
          <w:rFonts w:hint="eastAsia" w:ascii="仿宋" w:hAnsi="仿宋" w:eastAsia="仿宋_GB2312" w:cs="仿宋_GB2312"/>
          <w:sz w:val="32"/>
          <w:szCs w:val="32"/>
        </w:rPr>
      </w:pPr>
    </w:p>
    <w:p>
      <w:pPr>
        <w:rPr>
          <w:rFonts w:hint="eastAsia" w:ascii="仿宋" w:hAnsi="仿宋" w:eastAsia="仿宋_GB2312" w:cs="仿宋_GB2312"/>
          <w:sz w:val="32"/>
          <w:szCs w:val="32"/>
        </w:rPr>
      </w:pPr>
    </w:p>
    <w:p>
      <w:pPr>
        <w:pStyle w:val="2"/>
        <w:rPr>
          <w:rFonts w:hint="eastAsia" w:ascii="仿宋" w:hAnsi="仿宋" w:eastAsia="仿宋_GB2312" w:cs="仿宋_GB2312"/>
          <w:sz w:val="32"/>
          <w:szCs w:val="32"/>
        </w:rPr>
      </w:pPr>
    </w:p>
    <w:p>
      <w:pPr>
        <w:rPr>
          <w:rFonts w:hint="eastAsia" w:ascii="仿宋" w:hAnsi="仿宋" w:eastAsia="仿宋_GB2312" w:cs="仿宋_GB2312"/>
          <w:sz w:val="32"/>
          <w:szCs w:val="32"/>
        </w:rPr>
      </w:pPr>
    </w:p>
    <w:p>
      <w:pPr>
        <w:pStyle w:val="2"/>
        <w:rPr>
          <w:rFonts w:hint="eastAsia" w:ascii="仿宋" w:hAnsi="仿宋" w:eastAsia="仿宋_GB2312" w:cs="仿宋_GB2312"/>
          <w:sz w:val="32"/>
          <w:szCs w:val="32"/>
        </w:rPr>
      </w:pPr>
    </w:p>
    <w:p>
      <w:pPr>
        <w:rPr>
          <w:rFonts w:hint="eastAsia" w:ascii="仿宋" w:hAnsi="仿宋" w:eastAsia="仿宋_GB2312" w:cs="仿宋_GB2312"/>
          <w:sz w:val="32"/>
          <w:szCs w:val="32"/>
        </w:rPr>
      </w:pPr>
    </w:p>
    <w:p>
      <w:pPr>
        <w:pStyle w:val="2"/>
        <w:rPr>
          <w:rFonts w:hint="eastAsia"/>
        </w:rPr>
      </w:pPr>
    </w:p>
    <w:p>
      <w:pPr>
        <w:keepNext w:val="0"/>
        <w:keepLines w:val="0"/>
        <w:pageBreakBefore w:val="0"/>
        <w:kinsoku/>
        <w:wordWrap/>
        <w:overflowPunct/>
        <w:topLinePunct w:val="0"/>
        <w:autoSpaceDE/>
        <w:autoSpaceDN/>
        <w:bidi w:val="0"/>
        <w:adjustRightInd w:val="0"/>
        <w:snapToGrid w:val="0"/>
        <w:spacing w:line="560" w:lineRule="exact"/>
        <w:ind w:right="0" w:rightChars="0"/>
        <w:jc w:val="center"/>
        <w:textAlignment w:val="auto"/>
        <w:outlineLvl w:val="9"/>
        <w:rPr>
          <w:rFonts w:ascii="方正小标宋简体" w:eastAsia="方正小标宋简体" w:cs="仿宋_GB2312"/>
          <w:sz w:val="44"/>
          <w:szCs w:val="44"/>
          <w:lang w:val="zh-CN"/>
        </w:rPr>
      </w:pPr>
      <w:r>
        <w:rPr>
          <w:rFonts w:hint="eastAsia" w:ascii="方正小标宋简体" w:eastAsia="方正小标宋简体" w:cs="仿宋_GB2312"/>
          <w:sz w:val="44"/>
          <w:szCs w:val="44"/>
          <w:lang w:val="zh-CN"/>
        </w:rPr>
        <w:t>通州区慢性病综合防控示范区建设</w:t>
      </w:r>
    </w:p>
    <w:p>
      <w:pPr>
        <w:keepNext w:val="0"/>
        <w:keepLines w:val="0"/>
        <w:pageBreakBefore w:val="0"/>
        <w:kinsoku/>
        <w:wordWrap/>
        <w:overflowPunct/>
        <w:topLinePunct w:val="0"/>
        <w:autoSpaceDE/>
        <w:autoSpaceDN/>
        <w:bidi w:val="0"/>
        <w:adjustRightInd w:val="0"/>
        <w:snapToGrid w:val="0"/>
        <w:spacing w:line="560" w:lineRule="exact"/>
        <w:ind w:right="0" w:rightChars="0"/>
        <w:jc w:val="center"/>
        <w:textAlignment w:val="auto"/>
        <w:outlineLvl w:val="9"/>
        <w:rPr>
          <w:rFonts w:ascii="方正小标宋简体" w:eastAsia="方正小标宋简体" w:cs="仿宋_GB2312"/>
          <w:sz w:val="44"/>
          <w:szCs w:val="44"/>
          <w:lang w:val="zh-CN"/>
        </w:rPr>
      </w:pPr>
      <w:r>
        <w:rPr>
          <w:rFonts w:hint="eastAsia" w:ascii="方正小标宋简体" w:eastAsia="方正小标宋简体" w:cs="仿宋_GB2312"/>
          <w:sz w:val="44"/>
          <w:szCs w:val="44"/>
          <w:lang w:val="zh-CN"/>
        </w:rPr>
        <w:t>各成员单位主要职责</w:t>
      </w:r>
    </w:p>
    <w:p>
      <w:pPr>
        <w:pStyle w:val="2"/>
        <w:keepNext w:val="0"/>
        <w:keepLines w:val="0"/>
        <w:pageBreakBefore w:val="0"/>
        <w:kinsoku/>
        <w:wordWrap/>
        <w:overflowPunct/>
        <w:topLinePunct w:val="0"/>
        <w:autoSpaceDE/>
        <w:autoSpaceDN/>
        <w:bidi w:val="0"/>
        <w:spacing w:line="560" w:lineRule="exact"/>
        <w:ind w:left="3360" w:right="0" w:rightChars="0"/>
        <w:textAlignment w:val="auto"/>
        <w:outlineLvl w:val="9"/>
        <w:rPr>
          <w:lang w:val="zh-CN"/>
        </w:rPr>
      </w:pPr>
    </w:p>
    <w:p>
      <w:pPr>
        <w:pStyle w:val="7"/>
        <w:keepNext w:val="0"/>
        <w:keepLines w:val="0"/>
        <w:pageBreakBefore w:val="0"/>
        <w:widowControl/>
        <w:numPr>
          <w:ilvl w:val="0"/>
          <w:numId w:val="2"/>
        </w:numPr>
        <w:shd w:val="clear" w:color="auto" w:fill="FFFFFF"/>
        <w:kinsoku/>
        <w:wordWrap/>
        <w:overflowPunct/>
        <w:topLinePunct w:val="0"/>
        <w:autoSpaceDE/>
        <w:autoSpaceDN/>
        <w:bidi w:val="0"/>
        <w:spacing w:before="0" w:beforeAutospacing="0" w:after="0" w:afterAutospacing="0" w:line="560" w:lineRule="exact"/>
        <w:ind w:right="0" w:rightChars="0"/>
        <w:jc w:val="both"/>
        <w:textAlignment w:val="auto"/>
        <w:outlineLvl w:val="9"/>
        <w:rPr>
          <w:rFonts w:ascii="仿宋_GB2312" w:hAnsi="仿宋" w:eastAsia="仿宋_GB2312" w:cs="仿宋"/>
          <w:sz w:val="32"/>
          <w:szCs w:val="32"/>
        </w:rPr>
      </w:pPr>
      <w:r>
        <w:rPr>
          <w:rFonts w:hint="eastAsia" w:ascii="仿宋_GB2312" w:hAnsi="仿宋" w:eastAsia="仿宋_GB2312" w:cs="仿宋"/>
          <w:sz w:val="32"/>
          <w:szCs w:val="32"/>
        </w:rPr>
        <w:t>区卫生健康委：负责全区示范区建设工作的技术指导，组织成立专家指导组，定期对各成员单位的慢性病防控工作进行检查指导；负责统筹慢性病示范区常态化建设工作；按照国家标准对各类健康支持性环境创建工作做技术支持；辖区室内公共场所、工作场所和公共交通工具设置禁止吸烟警语和标识；建设无烟党政机关、无烟医疗卫生机构、无烟学校。落实“体重管理年”相关工作，</w:t>
      </w:r>
      <w:r>
        <w:rPr>
          <w:rFonts w:hint="eastAsia" w:ascii="仿宋_GB2312" w:hAnsi="仿宋" w:eastAsia="仿宋_GB2312"/>
          <w:sz w:val="32"/>
          <w:szCs w:val="32"/>
        </w:rPr>
        <w:t>编制和发布体重管理权威信息</w:t>
      </w:r>
      <w:r>
        <w:rPr>
          <w:rFonts w:hint="eastAsia" w:ascii="仿宋_GB2312" w:hAnsi="仿宋" w:eastAsia="仿宋_GB2312" w:cs="仿宋"/>
          <w:sz w:val="32"/>
          <w:szCs w:val="32"/>
        </w:rPr>
        <w:t>；全面推进健康教育与健康促进，加强防控体系整合，落实慢性病全程管理，牵头开展慢性病防控社会因素调查、慢性病及相关危险因素监测等工作，加强数据分析并按要求做好信息发布；保障示范区建设工作在卫健系统的有效落实；开展示范区建设工作的督查、考核、评估及信息收集、汇总、分析、上报等；根据工作需要，适时提请召开领导小组会议，督办落实会议议定事项。</w:t>
      </w:r>
    </w:p>
    <w:p>
      <w:pPr>
        <w:pStyle w:val="7"/>
        <w:keepNext w:val="0"/>
        <w:keepLines w:val="0"/>
        <w:pageBreakBefore w:val="0"/>
        <w:widowControl/>
        <w:numPr>
          <w:ilvl w:val="0"/>
          <w:numId w:val="3"/>
        </w:numPr>
        <w:shd w:val="clear" w:color="auto" w:fill="FFFFFF"/>
        <w:kinsoku/>
        <w:wordWrap/>
        <w:overflowPunct/>
        <w:topLinePunct w:val="0"/>
        <w:autoSpaceDE/>
        <w:autoSpaceDN/>
        <w:bidi w:val="0"/>
        <w:spacing w:before="0" w:beforeAutospacing="0" w:after="0" w:afterAutospacing="0" w:line="560" w:lineRule="exact"/>
        <w:ind w:right="0" w:rightChars="0"/>
        <w:jc w:val="both"/>
        <w:textAlignment w:val="auto"/>
        <w:outlineLvl w:val="9"/>
        <w:rPr>
          <w:rFonts w:ascii="仿宋_GB2312" w:hAnsi="仿宋" w:eastAsia="仿宋_GB2312" w:cs="仿宋"/>
          <w:sz w:val="32"/>
          <w:szCs w:val="32"/>
        </w:rPr>
      </w:pPr>
      <w:r>
        <w:rPr>
          <w:rFonts w:hint="eastAsia" w:ascii="仿宋_GB2312" w:hAnsi="仿宋" w:eastAsia="仿宋_GB2312" w:cs="仿宋"/>
          <w:sz w:val="32"/>
          <w:szCs w:val="32"/>
        </w:rPr>
        <w:t>区政府办：发挥政府主导作用，建立多部门协作联动机制，成立示范区建设工作领导小组；积极推进示范区建设工作，确保全区各项工作目标如期实现；组织发布周期性慢性病及社会影响因素状况报告并用于政府工作报告；有效引进社会资本参与慢性病防控。</w:t>
      </w:r>
    </w:p>
    <w:p>
      <w:pPr>
        <w:pStyle w:val="7"/>
        <w:keepNext w:val="0"/>
        <w:keepLines w:val="0"/>
        <w:pageBreakBefore w:val="0"/>
        <w:widowControl/>
        <w:numPr>
          <w:ilvl w:val="0"/>
          <w:numId w:val="3"/>
        </w:numPr>
        <w:shd w:val="clear" w:color="auto" w:fill="FFFFFF"/>
        <w:kinsoku/>
        <w:wordWrap/>
        <w:overflowPunct/>
        <w:topLinePunct w:val="0"/>
        <w:autoSpaceDE/>
        <w:autoSpaceDN/>
        <w:bidi w:val="0"/>
        <w:spacing w:before="0" w:beforeAutospacing="0" w:after="0" w:afterAutospacing="0" w:line="560" w:lineRule="exact"/>
        <w:ind w:right="0" w:rightChars="0"/>
        <w:jc w:val="both"/>
        <w:textAlignment w:val="auto"/>
        <w:outlineLvl w:val="9"/>
        <w:rPr>
          <w:rFonts w:ascii="仿宋_GB2312" w:hAnsi="仿宋" w:eastAsia="仿宋_GB2312" w:cs="仿宋"/>
          <w:sz w:val="32"/>
          <w:szCs w:val="32"/>
        </w:rPr>
      </w:pPr>
      <w:r>
        <w:rPr>
          <w:rFonts w:hint="eastAsia" w:ascii="仿宋_GB2312" w:hAnsi="仿宋" w:eastAsia="仿宋_GB2312" w:cs="仿宋"/>
          <w:sz w:val="32"/>
          <w:szCs w:val="32"/>
        </w:rPr>
        <w:t>区委宣传部：牵头融媒体中心开展慢性病防治和健康教育。内容为具体的慢性病防治健康教育和慢性病防控的舆论引导、与慢性病防控有关的健康素养知识与技能普及、慢性病工作报道与评述等。</w:t>
      </w:r>
    </w:p>
    <w:p>
      <w:pPr>
        <w:pStyle w:val="7"/>
        <w:keepNext w:val="0"/>
        <w:keepLines w:val="0"/>
        <w:pageBreakBefore w:val="0"/>
        <w:widowControl/>
        <w:numPr>
          <w:ilvl w:val="0"/>
          <w:numId w:val="3"/>
        </w:numPr>
        <w:shd w:val="clear" w:color="auto" w:fill="FFFFFF"/>
        <w:kinsoku/>
        <w:wordWrap/>
        <w:overflowPunct/>
        <w:topLinePunct w:val="0"/>
        <w:autoSpaceDE/>
        <w:autoSpaceDN/>
        <w:bidi w:val="0"/>
        <w:spacing w:before="0" w:beforeAutospacing="0" w:after="0" w:afterAutospacing="0" w:line="560" w:lineRule="exact"/>
        <w:ind w:right="0" w:rightChars="0"/>
        <w:jc w:val="both"/>
        <w:textAlignment w:val="auto"/>
        <w:outlineLvl w:val="9"/>
        <w:rPr>
          <w:rFonts w:ascii="仿宋_GB2312" w:hAnsi="仿宋" w:eastAsia="仿宋_GB2312" w:cs="仿宋"/>
          <w:sz w:val="32"/>
          <w:szCs w:val="32"/>
        </w:rPr>
      </w:pPr>
      <w:r>
        <w:rPr>
          <w:rFonts w:hint="eastAsia" w:ascii="仿宋_GB2312" w:hAnsi="仿宋" w:eastAsia="仿宋_GB2312" w:cs="仿宋"/>
          <w:sz w:val="32"/>
          <w:szCs w:val="32"/>
        </w:rPr>
        <w:t>区发改委：将慢性病防控工作纳入通州区国民经济和社会发展规划纲要。</w:t>
      </w:r>
    </w:p>
    <w:p>
      <w:pPr>
        <w:pStyle w:val="7"/>
        <w:keepNext w:val="0"/>
        <w:keepLines w:val="0"/>
        <w:pageBreakBefore w:val="0"/>
        <w:widowControl/>
        <w:numPr>
          <w:ilvl w:val="0"/>
          <w:numId w:val="3"/>
        </w:numPr>
        <w:shd w:val="clear" w:color="auto" w:fill="FFFFFF"/>
        <w:kinsoku/>
        <w:wordWrap/>
        <w:overflowPunct/>
        <w:topLinePunct w:val="0"/>
        <w:autoSpaceDE/>
        <w:autoSpaceDN/>
        <w:bidi w:val="0"/>
        <w:spacing w:before="0" w:beforeAutospacing="0" w:after="0" w:afterAutospacing="0" w:line="560" w:lineRule="exact"/>
        <w:ind w:right="0" w:rightChars="0"/>
        <w:jc w:val="both"/>
        <w:textAlignment w:val="auto"/>
        <w:outlineLvl w:val="9"/>
        <w:rPr>
          <w:rFonts w:ascii="仿宋_GB2312" w:hAnsi="仿宋" w:eastAsia="仿宋_GB2312" w:cs="仿宋"/>
          <w:sz w:val="32"/>
          <w:szCs w:val="32"/>
        </w:rPr>
      </w:pPr>
      <w:r>
        <w:rPr>
          <w:rFonts w:hint="eastAsia" w:ascii="仿宋_GB2312" w:hAnsi="仿宋" w:eastAsia="仿宋_GB2312" w:cs="仿宋"/>
          <w:sz w:val="32"/>
          <w:szCs w:val="32"/>
        </w:rPr>
        <w:t>区财政局：</w:t>
      </w:r>
      <w:r>
        <w:rPr>
          <w:rFonts w:hint="eastAsia" w:ascii="仿宋_GB2312" w:hAnsi="仿宋" w:eastAsia="仿宋_GB2312"/>
          <w:sz w:val="32"/>
          <w:szCs w:val="32"/>
        </w:rPr>
        <w:t>根据我区慢性病防控工作的规划及需求，区财政做好相关保障</w:t>
      </w:r>
      <w:r>
        <w:rPr>
          <w:rFonts w:hint="eastAsia" w:ascii="仿宋_GB2312" w:hAnsi="仿宋" w:eastAsia="仿宋_GB2312" w:cs="仿宋"/>
          <w:sz w:val="32"/>
          <w:szCs w:val="32"/>
        </w:rPr>
        <w:t>。</w:t>
      </w:r>
    </w:p>
    <w:p>
      <w:pPr>
        <w:pStyle w:val="7"/>
        <w:keepNext w:val="0"/>
        <w:keepLines w:val="0"/>
        <w:pageBreakBefore w:val="0"/>
        <w:widowControl/>
        <w:numPr>
          <w:ilvl w:val="0"/>
          <w:numId w:val="3"/>
        </w:numPr>
        <w:shd w:val="clear" w:color="auto" w:fill="FFFFFF"/>
        <w:kinsoku/>
        <w:wordWrap/>
        <w:overflowPunct/>
        <w:topLinePunct w:val="0"/>
        <w:autoSpaceDE/>
        <w:autoSpaceDN/>
        <w:bidi w:val="0"/>
        <w:spacing w:before="0" w:beforeAutospacing="0" w:after="0" w:afterAutospacing="0" w:line="560" w:lineRule="exact"/>
        <w:ind w:right="0" w:rightChars="0"/>
        <w:jc w:val="both"/>
        <w:textAlignment w:val="auto"/>
        <w:outlineLvl w:val="9"/>
        <w:rPr>
          <w:rFonts w:ascii="仿宋_GB2312" w:hAnsi="仿宋" w:eastAsia="仿宋_GB2312" w:cs="仿宋"/>
          <w:sz w:val="32"/>
          <w:szCs w:val="32"/>
        </w:rPr>
      </w:pPr>
      <w:r>
        <w:rPr>
          <w:rFonts w:hint="eastAsia" w:ascii="仿宋_GB2312" w:hAnsi="仿宋" w:eastAsia="仿宋_GB2312" w:cs="仿宋"/>
          <w:sz w:val="32"/>
          <w:szCs w:val="32"/>
        </w:rPr>
        <w:t>区直机关工委：组织区直机关广泛开展群体性健身活动；保障职工定期健康体检和健康指导。</w:t>
      </w:r>
    </w:p>
    <w:p>
      <w:pPr>
        <w:pStyle w:val="7"/>
        <w:keepNext w:val="0"/>
        <w:keepLines w:val="0"/>
        <w:pageBreakBefore w:val="0"/>
        <w:widowControl/>
        <w:numPr>
          <w:ilvl w:val="0"/>
          <w:numId w:val="3"/>
        </w:numPr>
        <w:shd w:val="clear" w:color="auto" w:fill="FFFFFF"/>
        <w:kinsoku/>
        <w:wordWrap/>
        <w:overflowPunct/>
        <w:topLinePunct w:val="0"/>
        <w:autoSpaceDE/>
        <w:autoSpaceDN/>
        <w:bidi w:val="0"/>
        <w:spacing w:before="0" w:beforeAutospacing="0" w:after="0" w:afterAutospacing="0" w:line="560" w:lineRule="exact"/>
        <w:ind w:right="0" w:rightChars="0"/>
        <w:jc w:val="both"/>
        <w:textAlignment w:val="auto"/>
        <w:outlineLvl w:val="9"/>
        <w:rPr>
          <w:rFonts w:ascii="仿宋_GB2312" w:hAnsi="仿宋" w:eastAsia="仿宋_GB2312" w:cs="仿宋"/>
          <w:sz w:val="32"/>
          <w:szCs w:val="32"/>
        </w:rPr>
      </w:pPr>
      <w:r>
        <w:rPr>
          <w:rFonts w:hint="eastAsia" w:ascii="仿宋_GB2312" w:hAnsi="仿宋" w:eastAsia="仿宋_GB2312" w:cs="仿宋"/>
          <w:sz w:val="32"/>
          <w:szCs w:val="32"/>
        </w:rPr>
        <w:t>区总工会：参与示范区建设多部门联合督导工作；指导并推进机关、企事业单位开展职工体检，促进各单位开展健身和竞赛活动；组织开展多部门联合的集体性健身活动；开展“三减三健”专项行动，推广使用健康“小三件”；</w:t>
      </w:r>
      <w:r>
        <w:rPr>
          <w:rFonts w:hint="eastAsia" w:ascii="仿宋_GB2312" w:hAnsi="仿宋" w:eastAsia="仿宋_GB2312"/>
          <w:sz w:val="32"/>
          <w:szCs w:val="32"/>
        </w:rPr>
        <w:t>建立健全职工健康档案，鼓励定期体检，加强职工健康教育，倡导个人掌握体重管理知识与技能。</w:t>
      </w:r>
      <w:r>
        <w:rPr>
          <w:rFonts w:hint="eastAsia" w:ascii="仿宋_GB2312" w:hAnsi="仿宋" w:eastAsia="仿宋_GB2312" w:cs="仿宋"/>
          <w:sz w:val="32"/>
          <w:szCs w:val="32"/>
        </w:rPr>
        <w:t>将骨密度检测纳入职工常规体检，逐年提高50岁及以上人群骨密度检测率。</w:t>
      </w:r>
    </w:p>
    <w:p>
      <w:pPr>
        <w:pStyle w:val="7"/>
        <w:keepNext w:val="0"/>
        <w:keepLines w:val="0"/>
        <w:pageBreakBefore w:val="0"/>
        <w:widowControl/>
        <w:numPr>
          <w:ilvl w:val="0"/>
          <w:numId w:val="3"/>
        </w:numPr>
        <w:shd w:val="clear" w:color="auto" w:fill="FFFFFF"/>
        <w:kinsoku/>
        <w:wordWrap/>
        <w:overflowPunct/>
        <w:topLinePunct w:val="0"/>
        <w:autoSpaceDE/>
        <w:autoSpaceDN/>
        <w:bidi w:val="0"/>
        <w:spacing w:before="0" w:beforeAutospacing="0" w:after="0" w:afterAutospacing="0" w:line="560" w:lineRule="exact"/>
        <w:ind w:right="0" w:rightChars="0"/>
        <w:jc w:val="both"/>
        <w:textAlignment w:val="auto"/>
        <w:outlineLvl w:val="9"/>
        <w:rPr>
          <w:rFonts w:ascii="仿宋_GB2312" w:hAnsi="仿宋" w:eastAsia="仿宋_GB2312" w:cs="仿宋"/>
          <w:sz w:val="32"/>
          <w:szCs w:val="32"/>
        </w:rPr>
      </w:pPr>
      <w:r>
        <w:rPr>
          <w:rFonts w:hint="eastAsia" w:ascii="仿宋_GB2312" w:hAnsi="仿宋" w:eastAsia="仿宋_GB2312" w:cs="仿宋"/>
          <w:sz w:val="32"/>
          <w:szCs w:val="32"/>
        </w:rPr>
        <w:t>区体育局：参与示范区建设多部门联合督导工作；加强健康教育与健康促进，开展“三减三健”专项行动；推进辖区群众性健身运动开展，在社区建设15分钟健身圈，协调推进各类体育场地免费或低收费向社区居民开放，提高经常参加体育锻炼人口的比例；开展由社会团体组织、企事业单位承担参与并积极支持的集体性健身活动；按照国家标准开展健康社团建设，协助开展健康公园、步道建设，数量逐年增加。</w:t>
      </w:r>
    </w:p>
    <w:p>
      <w:pPr>
        <w:pStyle w:val="7"/>
        <w:keepNext w:val="0"/>
        <w:keepLines w:val="0"/>
        <w:pageBreakBefore w:val="0"/>
        <w:widowControl/>
        <w:numPr>
          <w:ilvl w:val="0"/>
          <w:numId w:val="3"/>
        </w:numPr>
        <w:shd w:val="clear" w:color="auto" w:fill="FFFFFF"/>
        <w:kinsoku/>
        <w:wordWrap/>
        <w:overflowPunct/>
        <w:topLinePunct w:val="0"/>
        <w:autoSpaceDE/>
        <w:autoSpaceDN/>
        <w:bidi w:val="0"/>
        <w:spacing w:before="0" w:beforeAutospacing="0" w:after="0" w:afterAutospacing="0" w:line="560" w:lineRule="exact"/>
        <w:ind w:right="0" w:rightChars="0"/>
        <w:jc w:val="both"/>
        <w:textAlignment w:val="auto"/>
        <w:outlineLvl w:val="9"/>
        <w:rPr>
          <w:rFonts w:ascii="仿宋_GB2312" w:hAnsi="仿宋" w:eastAsia="仿宋_GB2312" w:cs="仿宋"/>
          <w:sz w:val="32"/>
          <w:szCs w:val="32"/>
        </w:rPr>
      </w:pPr>
      <w:r>
        <w:rPr>
          <w:rFonts w:hint="eastAsia" w:ascii="仿宋_GB2312" w:hAnsi="仿宋" w:eastAsia="仿宋_GB2312" w:cs="仿宋"/>
          <w:sz w:val="32"/>
          <w:szCs w:val="32"/>
        </w:rPr>
        <w:t>区教委：参与示范区建设多部门联合督导工作；在中小学校、托幼园所开展健康行为方式教育；开展“三减三健”专项行动；倡导辖区内学校配置体重秤；加强口腔疾病防治；规范学生健康体检；实施青少年体育活动促进计划；开展健康学校建设，数量逐年增加；引导学生养成健康生活方式；学校的体育场地免费或低收费向社区居民开放，开放比例100%。</w:t>
      </w:r>
    </w:p>
    <w:p>
      <w:pPr>
        <w:pStyle w:val="7"/>
        <w:keepNext w:val="0"/>
        <w:keepLines w:val="0"/>
        <w:pageBreakBefore w:val="0"/>
        <w:widowControl/>
        <w:numPr>
          <w:ilvl w:val="0"/>
          <w:numId w:val="3"/>
        </w:numPr>
        <w:shd w:val="clear" w:color="auto" w:fill="FFFFFF"/>
        <w:kinsoku/>
        <w:wordWrap/>
        <w:overflowPunct/>
        <w:topLinePunct w:val="0"/>
        <w:autoSpaceDE/>
        <w:autoSpaceDN/>
        <w:bidi w:val="0"/>
        <w:spacing w:before="0" w:beforeAutospacing="0" w:after="0" w:afterAutospacing="0" w:line="560" w:lineRule="exact"/>
        <w:ind w:right="0" w:rightChars="0"/>
        <w:jc w:val="both"/>
        <w:textAlignment w:val="auto"/>
        <w:outlineLvl w:val="9"/>
        <w:rPr>
          <w:rFonts w:ascii="仿宋_GB2312" w:hAnsi="仿宋" w:eastAsia="仿宋_GB2312" w:cs="仿宋"/>
          <w:sz w:val="32"/>
          <w:szCs w:val="32"/>
        </w:rPr>
      </w:pPr>
      <w:r>
        <w:rPr>
          <w:rFonts w:hint="eastAsia" w:ascii="仿宋_GB2312" w:hAnsi="仿宋" w:eastAsia="仿宋_GB2312" w:cs="仿宋"/>
          <w:sz w:val="32"/>
          <w:szCs w:val="32"/>
        </w:rPr>
        <w:t>区民政局：</w:t>
      </w:r>
      <w:r>
        <w:rPr>
          <w:rFonts w:hint="eastAsia" w:ascii="仿宋_GB2312" w:hAnsi="仿宋_GB2312" w:eastAsia="仿宋_GB2312" w:cs="仿宋_GB2312"/>
          <w:sz w:val="32"/>
          <w:szCs w:val="32"/>
        </w:rPr>
        <w:t>参与示范区建设多部门联合督导工作；提高流动人口等人群医疗救助水平的具体措施；落实低收入人群分层分类救助政策；推进慢性病全程防治管理服务与居家养老、社区养老和机构养老服务融合；配合开展全人群死因监测。</w:t>
      </w:r>
      <w:r>
        <w:rPr>
          <w:rFonts w:hint="eastAsia" w:ascii="仿宋_GB2312" w:hAnsi="仿宋" w:eastAsia="仿宋_GB2312" w:cs="仿宋"/>
          <w:sz w:val="32"/>
          <w:szCs w:val="32"/>
        </w:rPr>
        <w:t>。</w:t>
      </w:r>
    </w:p>
    <w:p>
      <w:pPr>
        <w:pStyle w:val="7"/>
        <w:keepNext w:val="0"/>
        <w:keepLines w:val="0"/>
        <w:pageBreakBefore w:val="0"/>
        <w:widowControl/>
        <w:numPr>
          <w:ilvl w:val="0"/>
          <w:numId w:val="3"/>
        </w:numPr>
        <w:shd w:val="clear" w:color="auto" w:fill="FFFFFF"/>
        <w:kinsoku/>
        <w:wordWrap/>
        <w:overflowPunct/>
        <w:topLinePunct w:val="0"/>
        <w:autoSpaceDE/>
        <w:autoSpaceDN/>
        <w:bidi w:val="0"/>
        <w:spacing w:before="0" w:beforeAutospacing="0" w:after="0" w:afterAutospacing="0" w:line="560" w:lineRule="exact"/>
        <w:ind w:right="0" w:rightChars="0"/>
        <w:jc w:val="both"/>
        <w:textAlignment w:val="auto"/>
        <w:outlineLvl w:val="9"/>
        <w:rPr>
          <w:rFonts w:ascii="仿宋_GB2312" w:hAnsi="仿宋" w:eastAsia="仿宋_GB2312" w:cs="仿宋"/>
          <w:sz w:val="32"/>
          <w:szCs w:val="32"/>
        </w:rPr>
      </w:pPr>
      <w:r>
        <w:rPr>
          <w:rFonts w:hint="eastAsia" w:ascii="仿宋_GB2312" w:hAnsi="仿宋" w:eastAsia="仿宋_GB2312" w:cs="仿宋"/>
          <w:sz w:val="32"/>
          <w:szCs w:val="32"/>
        </w:rPr>
        <w:t>区市场监督管理局：参与示范区建设多部门联合督导工作；按照国家标准牵头开展健康餐厅、健康食堂建设，数量逐年增加；依法开展烟草控制干预措施，辖区未有烟草广告。</w:t>
      </w:r>
    </w:p>
    <w:p>
      <w:pPr>
        <w:pStyle w:val="7"/>
        <w:keepNext w:val="0"/>
        <w:keepLines w:val="0"/>
        <w:pageBreakBefore w:val="0"/>
        <w:widowControl/>
        <w:numPr>
          <w:ilvl w:val="0"/>
          <w:numId w:val="3"/>
        </w:numPr>
        <w:shd w:val="clear" w:color="auto" w:fill="FFFFFF"/>
        <w:kinsoku/>
        <w:wordWrap/>
        <w:overflowPunct/>
        <w:topLinePunct w:val="0"/>
        <w:autoSpaceDE/>
        <w:autoSpaceDN/>
        <w:bidi w:val="0"/>
        <w:spacing w:before="0" w:beforeAutospacing="0" w:after="0" w:afterAutospacing="0" w:line="560" w:lineRule="exact"/>
        <w:ind w:right="0" w:rightChars="0"/>
        <w:jc w:val="both"/>
        <w:textAlignment w:val="auto"/>
        <w:outlineLvl w:val="9"/>
        <w:rPr>
          <w:rFonts w:ascii="仿宋_GB2312" w:hAnsi="仿宋" w:eastAsia="仿宋_GB2312" w:cs="仿宋"/>
          <w:sz w:val="32"/>
          <w:szCs w:val="32"/>
        </w:rPr>
      </w:pPr>
      <w:r>
        <w:rPr>
          <w:rFonts w:hint="eastAsia" w:ascii="仿宋_GB2312" w:hAnsi="仿宋" w:eastAsia="仿宋_GB2312" w:cs="仿宋"/>
          <w:sz w:val="32"/>
          <w:szCs w:val="32"/>
        </w:rPr>
        <w:t>区融媒体中心：参与示范区建设多部门联合督导工作；根据相关主责部门提供的新闻线索，充分利用区内报纸、电视、网络新媒体等平台定期对慢性病防治和健康教育进行宣传报道。</w:t>
      </w:r>
    </w:p>
    <w:p>
      <w:pPr>
        <w:pStyle w:val="7"/>
        <w:keepNext w:val="0"/>
        <w:keepLines w:val="0"/>
        <w:pageBreakBefore w:val="0"/>
        <w:widowControl/>
        <w:numPr>
          <w:ilvl w:val="0"/>
          <w:numId w:val="3"/>
        </w:numPr>
        <w:shd w:val="clear" w:color="auto" w:fill="FFFFFF"/>
        <w:kinsoku/>
        <w:wordWrap/>
        <w:overflowPunct/>
        <w:topLinePunct w:val="0"/>
        <w:autoSpaceDE/>
        <w:autoSpaceDN/>
        <w:bidi w:val="0"/>
        <w:spacing w:before="0" w:beforeAutospacing="0" w:after="0" w:afterAutospacing="0" w:line="560" w:lineRule="exact"/>
        <w:ind w:right="0" w:rightChars="0"/>
        <w:jc w:val="both"/>
        <w:textAlignment w:val="auto"/>
        <w:outlineLvl w:val="9"/>
        <w:rPr>
          <w:rFonts w:ascii="仿宋_GB2312" w:hAnsi="仿宋" w:eastAsia="仿宋_GB2312" w:cs="仿宋"/>
          <w:sz w:val="32"/>
          <w:szCs w:val="32"/>
        </w:rPr>
      </w:pPr>
      <w:r>
        <w:rPr>
          <w:rFonts w:hint="eastAsia" w:ascii="仿宋_GB2312" w:hAnsi="仿宋" w:eastAsia="仿宋_GB2312" w:cs="仿宋"/>
          <w:sz w:val="32"/>
          <w:szCs w:val="32"/>
        </w:rPr>
        <w:t>区残联：贯彻、实施提高残疾人医疗救助水平的政策和具体措施。落实提高残疾人群医疗救助工作水平的具体措施。</w:t>
      </w:r>
    </w:p>
    <w:p>
      <w:pPr>
        <w:pStyle w:val="7"/>
        <w:keepNext w:val="0"/>
        <w:keepLines w:val="0"/>
        <w:pageBreakBefore w:val="0"/>
        <w:widowControl/>
        <w:numPr>
          <w:ilvl w:val="0"/>
          <w:numId w:val="3"/>
        </w:numPr>
        <w:shd w:val="clear" w:color="auto" w:fill="FFFFFF"/>
        <w:kinsoku/>
        <w:wordWrap/>
        <w:overflowPunct/>
        <w:topLinePunct w:val="0"/>
        <w:autoSpaceDE/>
        <w:autoSpaceDN/>
        <w:bidi w:val="0"/>
        <w:spacing w:before="0" w:beforeAutospacing="0" w:after="0" w:afterAutospacing="0" w:line="560" w:lineRule="exact"/>
        <w:ind w:right="0" w:rightChars="0"/>
        <w:jc w:val="both"/>
        <w:textAlignment w:val="auto"/>
        <w:outlineLvl w:val="9"/>
        <w:rPr>
          <w:rFonts w:ascii="仿宋_GB2312" w:hAnsi="仿宋" w:eastAsia="仿宋_GB2312" w:cs="仿宋"/>
          <w:sz w:val="32"/>
          <w:szCs w:val="32"/>
        </w:rPr>
      </w:pPr>
      <w:r>
        <w:rPr>
          <w:rFonts w:hint="eastAsia" w:ascii="仿宋_GB2312" w:hAnsi="仿宋" w:eastAsia="仿宋_GB2312" w:cs="仿宋"/>
          <w:sz w:val="32"/>
          <w:szCs w:val="32"/>
        </w:rPr>
        <w:t>区园林绿化局：按照国家标准协助推进健康主题公园和健康步道建设，数量逐年增加。</w:t>
      </w:r>
    </w:p>
    <w:p>
      <w:pPr>
        <w:pStyle w:val="7"/>
        <w:keepNext w:val="0"/>
        <w:keepLines w:val="0"/>
        <w:pageBreakBefore w:val="0"/>
        <w:widowControl/>
        <w:numPr>
          <w:ilvl w:val="0"/>
          <w:numId w:val="3"/>
        </w:numPr>
        <w:shd w:val="clear" w:color="auto" w:fill="FFFFFF"/>
        <w:kinsoku/>
        <w:wordWrap/>
        <w:overflowPunct/>
        <w:topLinePunct w:val="0"/>
        <w:autoSpaceDE/>
        <w:autoSpaceDN/>
        <w:bidi w:val="0"/>
        <w:spacing w:before="0" w:beforeAutospacing="0" w:after="0" w:afterAutospacing="0" w:line="560" w:lineRule="exact"/>
        <w:ind w:right="0" w:rightChars="0"/>
        <w:jc w:val="both"/>
        <w:textAlignment w:val="auto"/>
        <w:outlineLvl w:val="9"/>
        <w:rPr>
          <w:rFonts w:ascii="仿宋_GB2312" w:hAnsi="仿宋" w:eastAsia="仿宋_GB2312" w:cs="仿宋"/>
          <w:sz w:val="32"/>
          <w:szCs w:val="32"/>
        </w:rPr>
      </w:pPr>
      <w:r>
        <w:rPr>
          <w:rFonts w:hint="eastAsia" w:ascii="仿宋_GB2312" w:hAnsi="仿宋" w:eastAsia="仿宋_GB2312" w:cs="仿宋"/>
          <w:sz w:val="32"/>
          <w:szCs w:val="32"/>
        </w:rPr>
        <w:t>区公安分局：协助规范开展覆盖辖区全人群死因监测；落实提高流动人口医疗救助水平的具体措施。</w:t>
      </w:r>
    </w:p>
    <w:p>
      <w:pPr>
        <w:pStyle w:val="7"/>
        <w:keepNext w:val="0"/>
        <w:keepLines w:val="0"/>
        <w:pageBreakBefore w:val="0"/>
        <w:widowControl/>
        <w:numPr>
          <w:ilvl w:val="0"/>
          <w:numId w:val="3"/>
        </w:numPr>
        <w:shd w:val="clear" w:color="auto" w:fill="FFFFFF"/>
        <w:kinsoku/>
        <w:wordWrap/>
        <w:overflowPunct/>
        <w:topLinePunct w:val="0"/>
        <w:autoSpaceDE/>
        <w:autoSpaceDN/>
        <w:bidi w:val="0"/>
        <w:spacing w:before="0" w:beforeAutospacing="0" w:after="0" w:afterAutospacing="0" w:line="560" w:lineRule="exact"/>
        <w:ind w:right="0" w:rightChars="0"/>
        <w:jc w:val="both"/>
        <w:textAlignment w:val="auto"/>
        <w:outlineLvl w:val="9"/>
        <w:rPr>
          <w:rFonts w:ascii="仿宋_GB2312" w:hAnsi="仿宋" w:eastAsia="仿宋_GB2312" w:cs="仿宋"/>
          <w:sz w:val="32"/>
          <w:szCs w:val="32"/>
        </w:rPr>
      </w:pPr>
      <w:r>
        <w:rPr>
          <w:rFonts w:hint="eastAsia" w:ascii="仿宋_GB2312" w:hAnsi="仿宋" w:eastAsia="仿宋_GB2312" w:cs="仿宋"/>
          <w:sz w:val="32"/>
          <w:szCs w:val="32"/>
        </w:rPr>
        <w:t>区政数局：协助建立区域卫生信息平台，实现分级诊疗，公共卫生服务、诊疗信息互联互通；实现电子健康档案和电子病历的连续记录和信息共享；协助应用互联网+健康大数据提供、高效的健康管理服务。</w:t>
      </w:r>
    </w:p>
    <w:p>
      <w:pPr>
        <w:pStyle w:val="7"/>
        <w:keepNext w:val="0"/>
        <w:keepLines w:val="0"/>
        <w:pageBreakBefore w:val="0"/>
        <w:widowControl/>
        <w:numPr>
          <w:ilvl w:val="0"/>
          <w:numId w:val="3"/>
        </w:numPr>
        <w:shd w:val="clear" w:color="auto" w:fill="FFFFFF"/>
        <w:kinsoku/>
        <w:wordWrap/>
        <w:overflowPunct/>
        <w:topLinePunct w:val="0"/>
        <w:autoSpaceDE/>
        <w:autoSpaceDN/>
        <w:bidi w:val="0"/>
        <w:spacing w:before="0" w:beforeAutospacing="0" w:after="0" w:afterAutospacing="0" w:line="560" w:lineRule="exact"/>
        <w:ind w:right="0" w:rightChars="0"/>
        <w:jc w:val="both"/>
        <w:textAlignment w:val="auto"/>
        <w:outlineLvl w:val="9"/>
        <w:rPr>
          <w:rFonts w:ascii="仿宋_GB2312" w:hAnsi="仿宋" w:eastAsia="仿宋_GB2312" w:cs="仿宋"/>
          <w:sz w:val="32"/>
          <w:szCs w:val="32"/>
        </w:rPr>
      </w:pPr>
      <w:r>
        <w:rPr>
          <w:rFonts w:hint="eastAsia" w:ascii="仿宋_GB2312" w:hAnsi="仿宋" w:eastAsia="仿宋_GB2312" w:cs="仿宋"/>
          <w:sz w:val="32"/>
          <w:szCs w:val="32"/>
        </w:rPr>
        <w:t>区统计局：协助开展慢性病防控社会因素调查，协助开展慢性病防控工作相关调查分析。</w:t>
      </w:r>
    </w:p>
    <w:p>
      <w:pPr>
        <w:pStyle w:val="7"/>
        <w:keepNext w:val="0"/>
        <w:keepLines w:val="0"/>
        <w:pageBreakBefore w:val="0"/>
        <w:widowControl/>
        <w:numPr>
          <w:ilvl w:val="0"/>
          <w:numId w:val="3"/>
        </w:numPr>
        <w:shd w:val="clear" w:color="auto" w:fill="FFFFFF"/>
        <w:kinsoku/>
        <w:wordWrap/>
        <w:overflowPunct/>
        <w:topLinePunct w:val="0"/>
        <w:autoSpaceDE/>
        <w:autoSpaceDN/>
        <w:bidi w:val="0"/>
        <w:spacing w:before="0" w:beforeAutospacing="0" w:after="0" w:afterAutospacing="0" w:line="560" w:lineRule="exact"/>
        <w:ind w:right="0" w:rightChars="0"/>
        <w:jc w:val="both"/>
        <w:textAlignment w:val="auto"/>
        <w:outlineLvl w:val="9"/>
        <w:rPr>
          <w:rFonts w:ascii="仿宋_GB2312" w:hAnsi="仿宋" w:eastAsia="仿宋_GB2312" w:cs="仿宋"/>
          <w:sz w:val="32"/>
          <w:szCs w:val="32"/>
        </w:rPr>
      </w:pPr>
      <w:r>
        <w:rPr>
          <w:rFonts w:hint="eastAsia" w:ascii="仿宋_GB2312" w:hAnsi="仿宋" w:eastAsia="仿宋_GB2312" w:cs="仿宋"/>
          <w:sz w:val="32"/>
          <w:szCs w:val="32"/>
        </w:rPr>
        <w:t>团区委：实施青少年体育活动促进计划；开展中小学校中小学校健康行为方式教育。</w:t>
      </w:r>
    </w:p>
    <w:p>
      <w:pPr>
        <w:pStyle w:val="7"/>
        <w:keepNext w:val="0"/>
        <w:keepLines w:val="0"/>
        <w:pageBreakBefore w:val="0"/>
        <w:widowControl/>
        <w:numPr>
          <w:ilvl w:val="0"/>
          <w:numId w:val="3"/>
        </w:numPr>
        <w:shd w:val="clear" w:color="auto" w:fill="FFFFFF"/>
        <w:kinsoku/>
        <w:wordWrap/>
        <w:overflowPunct/>
        <w:topLinePunct w:val="0"/>
        <w:autoSpaceDE/>
        <w:autoSpaceDN/>
        <w:bidi w:val="0"/>
        <w:spacing w:before="0" w:beforeAutospacing="0" w:after="0" w:afterAutospacing="0" w:line="560" w:lineRule="exact"/>
        <w:ind w:right="0" w:rightChars="0"/>
        <w:jc w:val="both"/>
        <w:textAlignment w:val="auto"/>
        <w:outlineLvl w:val="9"/>
        <w:rPr>
          <w:rFonts w:ascii="仿宋_GB2312" w:hAnsi="仿宋" w:eastAsia="仿宋_GB2312" w:cs="仿宋"/>
          <w:sz w:val="32"/>
          <w:szCs w:val="32"/>
        </w:rPr>
      </w:pPr>
      <w:r>
        <w:rPr>
          <w:rFonts w:hint="eastAsia" w:ascii="仿宋_GB2312" w:hAnsi="仿宋" w:eastAsia="仿宋_GB2312" w:cs="仿宋"/>
          <w:sz w:val="32"/>
          <w:szCs w:val="32"/>
        </w:rPr>
        <w:t>区生态环境局：参与示范区建设多部门联合督导工作。</w:t>
      </w:r>
    </w:p>
    <w:p>
      <w:pPr>
        <w:pStyle w:val="7"/>
        <w:keepNext w:val="0"/>
        <w:keepLines w:val="0"/>
        <w:pageBreakBefore w:val="0"/>
        <w:widowControl/>
        <w:numPr>
          <w:ilvl w:val="0"/>
          <w:numId w:val="3"/>
        </w:numPr>
        <w:shd w:val="clear" w:color="auto" w:fill="FFFFFF"/>
        <w:kinsoku/>
        <w:wordWrap/>
        <w:overflowPunct/>
        <w:topLinePunct w:val="0"/>
        <w:autoSpaceDE/>
        <w:autoSpaceDN/>
        <w:bidi w:val="0"/>
        <w:spacing w:before="0" w:beforeAutospacing="0" w:after="0" w:afterAutospacing="0" w:line="560" w:lineRule="exact"/>
        <w:ind w:right="0" w:rightChars="0"/>
        <w:jc w:val="both"/>
        <w:textAlignment w:val="auto"/>
        <w:outlineLvl w:val="9"/>
        <w:rPr>
          <w:rFonts w:ascii="仿宋_GB2312" w:hAnsi="仿宋" w:eastAsia="仿宋_GB2312" w:cs="仿宋"/>
          <w:sz w:val="32"/>
          <w:szCs w:val="32"/>
        </w:rPr>
      </w:pPr>
      <w:r>
        <w:rPr>
          <w:rFonts w:hint="eastAsia" w:ascii="仿宋_GB2312" w:hAnsi="仿宋" w:eastAsia="仿宋_GB2312" w:cs="仿宋"/>
          <w:sz w:val="32"/>
          <w:szCs w:val="32"/>
        </w:rPr>
        <w:t>区商务局：按照国家标准开展健康超市，协助开展健康餐厅、健康食堂建设，数量逐年增加。</w:t>
      </w:r>
    </w:p>
    <w:p>
      <w:pPr>
        <w:pStyle w:val="7"/>
        <w:keepNext w:val="0"/>
        <w:keepLines w:val="0"/>
        <w:pageBreakBefore w:val="0"/>
        <w:widowControl/>
        <w:numPr>
          <w:ilvl w:val="0"/>
          <w:numId w:val="3"/>
        </w:numPr>
        <w:shd w:val="clear" w:color="auto" w:fill="FFFFFF"/>
        <w:kinsoku/>
        <w:wordWrap/>
        <w:overflowPunct/>
        <w:topLinePunct w:val="0"/>
        <w:autoSpaceDE/>
        <w:autoSpaceDN/>
        <w:bidi w:val="0"/>
        <w:spacing w:before="0" w:beforeAutospacing="0" w:after="0" w:afterAutospacing="0" w:line="560" w:lineRule="exact"/>
        <w:ind w:right="0" w:rightChars="0"/>
        <w:jc w:val="both"/>
        <w:textAlignment w:val="auto"/>
        <w:outlineLvl w:val="9"/>
        <w:rPr>
          <w:rFonts w:ascii="仿宋_GB2312" w:hAnsi="仿宋" w:eastAsia="仿宋_GB2312" w:cs="仿宋"/>
          <w:sz w:val="32"/>
          <w:szCs w:val="32"/>
        </w:rPr>
      </w:pPr>
      <w:r>
        <w:rPr>
          <w:rFonts w:hint="eastAsia" w:ascii="仿宋_GB2312" w:hAnsi="仿宋" w:eastAsia="仿宋_GB2312" w:cs="仿宋"/>
          <w:sz w:val="32"/>
          <w:szCs w:val="32"/>
        </w:rPr>
        <w:t>区城管委：按照国家标准协助开展健康街区建设。</w:t>
      </w:r>
    </w:p>
    <w:p>
      <w:pPr>
        <w:pStyle w:val="7"/>
        <w:keepNext w:val="0"/>
        <w:keepLines w:val="0"/>
        <w:pageBreakBefore w:val="0"/>
        <w:widowControl/>
        <w:numPr>
          <w:ilvl w:val="0"/>
          <w:numId w:val="3"/>
        </w:numPr>
        <w:shd w:val="clear" w:color="auto" w:fill="FFFFFF"/>
        <w:kinsoku/>
        <w:wordWrap/>
        <w:overflowPunct/>
        <w:topLinePunct w:val="0"/>
        <w:autoSpaceDE/>
        <w:autoSpaceDN/>
        <w:bidi w:val="0"/>
        <w:spacing w:before="0" w:beforeAutospacing="0" w:after="0" w:afterAutospacing="0" w:line="560" w:lineRule="exact"/>
        <w:ind w:right="0" w:rightChars="0"/>
        <w:jc w:val="both"/>
        <w:textAlignment w:val="auto"/>
        <w:outlineLvl w:val="9"/>
        <w:rPr>
          <w:rFonts w:ascii="仿宋_GB2312" w:hAnsi="仿宋" w:eastAsia="仿宋_GB2312" w:cs="仿宋"/>
          <w:sz w:val="32"/>
          <w:szCs w:val="32"/>
        </w:rPr>
      </w:pPr>
      <w:r>
        <w:rPr>
          <w:rFonts w:hint="eastAsia" w:ascii="仿宋_GB2312" w:hAnsi="仿宋" w:eastAsia="仿宋_GB2312" w:cs="仿宋"/>
          <w:sz w:val="32"/>
          <w:szCs w:val="32"/>
        </w:rPr>
        <w:t>区文化旅游局：按照国家标准开展健康酒店建设，数量逐年增加；倡导宾馆酒店等配置体重秤；协助</w:t>
      </w:r>
      <w:r>
        <w:rPr>
          <w:rFonts w:hint="eastAsia" w:ascii="仿宋_GB2312" w:hAnsi="仿宋" w:eastAsia="仿宋_GB2312"/>
          <w:sz w:val="32"/>
          <w:szCs w:val="32"/>
        </w:rPr>
        <w:t>推动体重管理科普宣教进宾馆等场所</w:t>
      </w:r>
      <w:r>
        <w:rPr>
          <w:rFonts w:hint="eastAsia" w:ascii="仿宋_GB2312" w:hAnsi="仿宋" w:eastAsia="仿宋_GB2312" w:cs="仿宋"/>
          <w:sz w:val="32"/>
          <w:szCs w:val="32"/>
        </w:rPr>
        <w:t>。</w:t>
      </w:r>
    </w:p>
    <w:p>
      <w:pPr>
        <w:pStyle w:val="7"/>
        <w:keepNext w:val="0"/>
        <w:keepLines w:val="0"/>
        <w:pageBreakBefore w:val="0"/>
        <w:widowControl/>
        <w:numPr>
          <w:ilvl w:val="0"/>
          <w:numId w:val="3"/>
        </w:numPr>
        <w:shd w:val="clear" w:color="auto" w:fill="FFFFFF"/>
        <w:kinsoku/>
        <w:wordWrap/>
        <w:overflowPunct/>
        <w:topLinePunct w:val="0"/>
        <w:autoSpaceDE/>
        <w:autoSpaceDN/>
        <w:bidi w:val="0"/>
        <w:spacing w:before="0" w:beforeAutospacing="0" w:after="0" w:afterAutospacing="0" w:line="560" w:lineRule="exact"/>
        <w:ind w:right="0" w:rightChars="0"/>
        <w:jc w:val="both"/>
        <w:textAlignment w:val="auto"/>
        <w:outlineLvl w:val="9"/>
        <w:rPr>
          <w:rFonts w:ascii="仿宋_GB2312" w:hAnsi="仿宋" w:eastAsia="仿宋_GB2312" w:cs="仿宋"/>
          <w:sz w:val="32"/>
          <w:szCs w:val="32"/>
        </w:rPr>
      </w:pPr>
      <w:r>
        <w:rPr>
          <w:rFonts w:hint="eastAsia" w:ascii="仿宋_GB2312" w:hAnsi="仿宋" w:eastAsia="仿宋_GB2312" w:cs="仿宋"/>
          <w:sz w:val="32"/>
          <w:szCs w:val="32"/>
        </w:rPr>
        <w:t>区机关事务服务中心：按照国家标准开展健康食堂建设，数量逐年增加。</w:t>
      </w:r>
    </w:p>
    <w:p>
      <w:pPr>
        <w:pStyle w:val="7"/>
        <w:keepNext w:val="0"/>
        <w:keepLines w:val="0"/>
        <w:pageBreakBefore w:val="0"/>
        <w:widowControl/>
        <w:numPr>
          <w:ilvl w:val="0"/>
          <w:numId w:val="3"/>
        </w:numPr>
        <w:shd w:val="clear" w:color="auto" w:fill="FFFFFF"/>
        <w:kinsoku/>
        <w:wordWrap/>
        <w:overflowPunct/>
        <w:topLinePunct w:val="0"/>
        <w:autoSpaceDE/>
        <w:autoSpaceDN/>
        <w:bidi w:val="0"/>
        <w:spacing w:before="0" w:beforeAutospacing="0" w:after="0" w:afterAutospacing="0" w:line="560" w:lineRule="exact"/>
        <w:ind w:right="0" w:rightChars="0"/>
        <w:jc w:val="both"/>
        <w:textAlignment w:val="auto"/>
        <w:outlineLvl w:val="9"/>
        <w:rPr>
          <w:rFonts w:hint="eastAsia" w:ascii="仿宋_GB2312" w:hAnsi="仿宋" w:eastAsia="仿宋_GB2312" w:cs="仿宋"/>
          <w:sz w:val="32"/>
          <w:szCs w:val="32"/>
        </w:rPr>
      </w:pPr>
      <w:r>
        <w:rPr>
          <w:rFonts w:hint="eastAsia" w:ascii="仿宋_GB2312" w:hAnsi="仿宋" w:eastAsia="仿宋_GB2312" w:cs="仿宋"/>
          <w:sz w:val="32"/>
          <w:szCs w:val="32"/>
        </w:rPr>
        <w:t>区医保局、区住建委、区妇联、区科委、区科协、区红十字会、区交通支队、区水务局、区应急管理局、区气象局、区交通委、区人力社保局、区经信局、区委综合考评办等：落实成员单位各项指标。</w:t>
      </w:r>
    </w:p>
    <w:p>
      <w:pPr>
        <w:pStyle w:val="7"/>
        <w:keepNext w:val="0"/>
        <w:keepLines w:val="0"/>
        <w:pageBreakBefore w:val="0"/>
        <w:widowControl/>
        <w:numPr>
          <w:ilvl w:val="0"/>
          <w:numId w:val="3"/>
        </w:numPr>
        <w:shd w:val="clear" w:color="auto" w:fill="FFFFFF"/>
        <w:kinsoku/>
        <w:wordWrap/>
        <w:overflowPunct/>
        <w:topLinePunct w:val="0"/>
        <w:autoSpaceDE/>
        <w:autoSpaceDN/>
        <w:bidi w:val="0"/>
        <w:spacing w:before="0" w:beforeAutospacing="0" w:after="0" w:afterAutospacing="0" w:line="560" w:lineRule="exact"/>
        <w:ind w:right="0" w:rightChars="0"/>
        <w:jc w:val="both"/>
        <w:textAlignment w:val="auto"/>
        <w:outlineLvl w:val="9"/>
        <w:rPr>
          <w:rFonts w:hint="eastAsia" w:ascii="仿宋_GB2312" w:hAnsi="仿宋" w:eastAsia="仿宋_GB2312" w:cs="仿宋"/>
          <w:sz w:val="32"/>
          <w:szCs w:val="32"/>
        </w:rPr>
        <w:sectPr>
          <w:headerReference r:id="rId3" w:type="default"/>
          <w:footerReference r:id="rId4" w:type="default"/>
          <w:pgSz w:w="11906" w:h="16838"/>
          <w:pgMar w:top="2098" w:right="1474" w:bottom="1871" w:left="1587" w:header="851" w:footer="992" w:gutter="0"/>
          <w:cols w:space="0" w:num="1"/>
          <w:rtlGutter w:val="0"/>
          <w:docGrid w:type="lines" w:linePitch="312" w:charSpace="0"/>
        </w:sectPr>
      </w:pPr>
      <w:r>
        <w:rPr>
          <w:rFonts w:hint="eastAsia" w:ascii="仿宋_GB2312" w:hAnsi="仿宋" w:eastAsia="仿宋_GB2312" w:cs="仿宋"/>
          <w:sz w:val="32"/>
          <w:szCs w:val="32"/>
        </w:rPr>
        <w:t>各乡镇街道：广泛开展健康教育与健康促进工作，传播慢性病防治、慢性病健康素养知识和技能，开展“三减三健”专项行动，倡导个人掌握体重管理知识与技能，倡导家庭配置体重秤，协助</w:t>
      </w:r>
      <w:r>
        <w:rPr>
          <w:rFonts w:hint="eastAsia" w:ascii="仿宋_GB2312" w:hAnsi="仿宋" w:eastAsia="仿宋_GB2312"/>
          <w:sz w:val="32"/>
          <w:szCs w:val="32"/>
        </w:rPr>
        <w:t>推动体重管理科普宣教进家庭、进社区、进机关企事业单位、进宾馆、进餐馆食堂等；</w:t>
      </w:r>
      <w:r>
        <w:rPr>
          <w:rFonts w:hint="eastAsia" w:ascii="仿宋_GB2312" w:hAnsi="仿宋" w:eastAsia="仿宋_GB2312" w:cs="仿宋"/>
          <w:sz w:val="32"/>
          <w:szCs w:val="32"/>
        </w:rPr>
        <w:t>积极组建社区群众性健身活动团体；推进辖区各类健康支持性环境建设，数量逐年增加。推进社区自助式健康检测点建设；配合开展全人群死因监测、社会因素调查、成人慢性病及其危险因素监测等专项工作。</w:t>
      </w:r>
    </w:p>
    <w:tbl>
      <w:tblPr>
        <w:tblStyle w:val="9"/>
        <w:tblW w:w="15060" w:type="dxa"/>
        <w:tblInd w:w="-81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140"/>
        <w:gridCol w:w="1290"/>
        <w:gridCol w:w="1320"/>
        <w:gridCol w:w="2400"/>
        <w:gridCol w:w="2205"/>
        <w:gridCol w:w="1260"/>
        <w:gridCol w:w="930"/>
        <w:gridCol w:w="720"/>
        <w:gridCol w:w="3135"/>
        <w:gridCol w:w="6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20" w:hRule="atLeast"/>
        </w:trPr>
        <w:tc>
          <w:tcPr>
            <w:tcW w:w="1506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560" w:lineRule="exact"/>
              <w:ind w:right="0" w:rightChars="0"/>
              <w:jc w:val="center"/>
              <w:textAlignment w:val="auto"/>
              <w:outlineLvl w:val="9"/>
              <w:rPr>
                <w:rFonts w:hint="eastAsia" w:ascii="宋体" w:hAnsi="宋体" w:eastAsia="宋体" w:cs="宋体"/>
                <w:b/>
                <w:i w:val="0"/>
                <w:color w:val="000000"/>
                <w:kern w:val="0"/>
                <w:sz w:val="22"/>
                <w:szCs w:val="22"/>
                <w:u w:val="none"/>
                <w:lang w:val="en-US" w:eastAsia="zh-CN" w:bidi="ar"/>
              </w:rPr>
            </w:pPr>
            <w:r>
              <w:rPr>
                <w:rFonts w:hint="eastAsia" w:ascii="仿宋" w:hAnsi="仿宋" w:eastAsia="仿宋_GB2312" w:cs="仿宋_GB2312"/>
                <w:b/>
                <w:bCs/>
                <w:sz w:val="32"/>
                <w:szCs w:val="32"/>
              </w:rPr>
              <w:t>通州区慢性病综合防控示范区建设指标体系任务分解表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20"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分类指引</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建设内容</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建设要点</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评价内容</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评价方式</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负责部门</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协助部门</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Style w:val="12"/>
                <w:sz w:val="22"/>
                <w:szCs w:val="22"/>
                <w:lang w:val="en-US" w:eastAsia="zh-CN" w:bidi="ar"/>
              </w:rPr>
              <w:t>准备材料</w:t>
            </w:r>
            <w:r>
              <w:rPr>
                <w:rStyle w:val="13"/>
                <w:rFonts w:eastAsia="宋体"/>
                <w:sz w:val="22"/>
                <w:szCs w:val="22"/>
                <w:lang w:val="en-US" w:eastAsia="zh-CN" w:bidi="ar"/>
              </w:rPr>
              <w:t>/</w:t>
            </w:r>
            <w:r>
              <w:rPr>
                <w:rStyle w:val="12"/>
                <w:sz w:val="22"/>
                <w:szCs w:val="22"/>
                <w:lang w:val="en-US" w:eastAsia="zh-CN" w:bidi="ar"/>
              </w:rPr>
              <w:t>任务分工</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指标编号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435"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一、政策保障</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1.慢性病防控工作纳入政府经济社会发展规划，强化慢性病防控的政府主导责任。</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辖区政府将慢性病综合防控工作纳入当地经济社会发展规划，并明确各部门职责，推进落实慢性病综合防控各项工作。</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在示范区建设工作中，各有关部门有明确职责，根据工作需要召开领导小组会议，研究部署示范区建设工作，落实部门责任。每年至少召开一次联络员会议，通报示范区建设情况，协调并落实示范区建设存在问题的解决办法；各部门明确一名联络员。</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成立辖区示范区建设领导小组，政府主要领导任组长，明确各部门职责；制定慢性病综合防控示范区建设实施方案；基于辖区社区诊断调查、慢性病监测工作，以及其他相关健康数据撰写慢性病及社会影响因素状况报告。</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查阅示范区工作方案、红头等文件；查阅通州发展纲要；查阅政府工作报告的等资料。</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政府办、区发改委</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各成员单位</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1.各单位提交本单位的慢性病综合防控示范区建设实施方案、慢性病防控规章制度。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2.发改委提交通州最新阶段发展纲要。</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3.区卫健委撰写相关报告，政府办进行公开发布。提交每年区政府工作报告。</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4.各成员单位明确联络员1名。</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325"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一、政策保障</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2.辖区政府按规划、计划提供的示范区建设专项工作经费，专款专用，持续推进示范区建设。</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示范区专项经费专款专用。</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省级、市、区县财政以示范区名义下拨的专项工作经费专用于示范区建设。</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示范区专项经费：省级、市、区县财政以示范区名义下拨的专项工作经费，用于示范区建设的工作经费。在提供佐证材料时拨款凭证上应注明有示范区。</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查阅示范区建设专项工作经费文件资料、各单位专项经费管理相关文件。</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区财政局、区卫生健康委</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各成员单位</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1.财政局提交慢性病防控相关工作的拨款文件、预算、决算管理等财务凭证。</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2.各单位提交本单位慢性病防控相关经费支出凭证。</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620"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一、政策保障</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3.有效落实各项慢性病防控工作任务。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示范区承担的中央转移支付地方等慢性病综合防控项目年度完成情况。</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示范区承担的中央转移支付地方项目完成情况。</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查阅材料</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区卫健委</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2"/>
                <w:szCs w:val="22"/>
                <w:u w:val="none"/>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区卫健委提交各项中央转移地方支付项目年度完成情况报告。</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80" w:hRule="atLeast"/>
        </w:trPr>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二、环境支持</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4.实施健康细胞工程,构建全方位健康支持性环境，提升健康环境建设品质。</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开展健康支持性环境建设，数量逐年增加。</w:t>
            </w:r>
          </w:p>
        </w:tc>
        <w:tc>
          <w:tcPr>
            <w:tcW w:w="24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各类健康支持性环境建设标准按照《全民健康生活方式行动健康支持性环境建设指导方案(2019年修订)》执行。</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健康社区</w:t>
            </w: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查阅健康支持性环境的名单,创建、评估验收及复验等相关工作材料，现场走访检查几项健康支持性环境。</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各乡镇街道</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区卫健委</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1.各乡镇街道提交本辖区社区本底资料，建设健康社区的名单、比例，相应管理制度、实施方案相关等创建材料。</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2.区卫健委提交指导完成健康支持性环境创建材料。推荐复审专家现场走访健康社区1个。</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435" w:hRule="atLeast"/>
        </w:trPr>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2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健康单位、健康食堂</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各成员单位</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2"/>
                <w:szCs w:val="22"/>
                <w:u w:val="none"/>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1.各乡镇街道提交本辖区企事业单位本底资料，建设健康单位、健康食堂的名单，相应管理制度、实施方案等创建材料。</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2.各单位提交本单位建设健康单位、健康食堂的管理制度、实施方案等创建、验收材料。</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3.区卫健委提交指导完成各类健康支持性环境创建材料。推荐复审专家现场走访健康单位、食堂各1个。</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790" w:hRule="atLeast"/>
        </w:trPr>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二、环境支持</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4.实施健康细胞工程,构建全方位健康支持性环境，提升健康环境建设品质。</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开展健康支持性环境建设，数量逐年增加。</w:t>
            </w:r>
          </w:p>
        </w:tc>
        <w:tc>
          <w:tcPr>
            <w:tcW w:w="24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各类健康支持性环境建设标准按照《全民健康生活方式行动健康支持性环境建设指导方案(2019年修订)》执行。</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健康餐厅/酒店</w:t>
            </w: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查阅健康支持性环境的名单,创建、评估验收及复验等相关工作材料，现场走访检查几项健康支持性环境。</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各乡镇街道</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区文旅局、区市场监督管理局、区卫健委</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区文旅局提交全区内设餐厅的酒店（餐厅员工≥15人，且达到食品安全监督量化分级管理等级B级及以上）的本底资料，动员、倡导符合条件的酒店开展创建工作。提交建设健康酒店的名单，相应管理制度、实施方案等创建材料。（指标编号：2.4.3）</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2.区市场监督管理局提交全区餐厅的本底资料，动员、倡导符合条件的餐厅开展创建工作。提交全区健康餐厅常规督导的资料。（指标编号：2.4.5）</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3.各乡镇街道对符合条件的餐厅、酒店开展创建工作，提交建设健康餐厅/酒店的名单，相应管理制度、实施方案等创建材料。（指标编号：酒店2.4.3；餐厅：2.4.5）</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5.区卫健委提交指导完成各类健康支持性环境创建材料。推荐复审专家现场走访健康餐厅/酒店1个。（指标编号：酒店2.4.3；餐厅：2.4.5）</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2.4.3/</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30" w:hRule="atLeast"/>
        </w:trPr>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2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健康超市</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各乡镇街道</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区商务局、区卫健委</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1.各乡镇街道提供辖区内建设健康超市的名单，相应管理制度、实施方案等创建材料。</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2.区商务局提交全区超市的本底资料及注明有条件创建的超市。提交全区健康超市常规督导的资料。</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3.区卫健委提交指导完成各类健康支持性环境创建材料。</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460" w:hRule="atLeast"/>
        </w:trPr>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2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健康学校</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区教委</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区卫生健康委</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1.区教委提交（1）全区中小学及健康学校本底资料并进行创建。（2）全区健康学校常规督导的资料。（3）推荐复审专家现场走访健康学校1个。</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2.区卫生健康委提供支持健康学校创建的材料。</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75" w:hRule="atLeast"/>
        </w:trPr>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2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健康街区</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各乡镇街道</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区城管委、区卫健委</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1.各乡镇街道提交本辖区街区的本底资料及注明有条件创建的街区。提交所管辖的健康街区常态化维护的资料。推荐复审专家现场走访健康街区1个。</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2.区城管委提交协助创建健康街区的管理制度、实施方案等创建过程材料。</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3.区卫健委提交指导完成健康支持性环境创建过程性材料。</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330" w:hRule="atLeast"/>
        </w:trPr>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二、环境支持</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4.实施健康细胞工程,构建全方位健康支持性环境，提升健康环境建设品质。</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开展健康支持性环境建设，数量逐年增加。</w:t>
            </w:r>
          </w:p>
        </w:tc>
        <w:tc>
          <w:tcPr>
            <w:tcW w:w="24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各类健康支持性环境建设标准按照《全民健康生活方式行动健康支持性环境建设指导方案(2019年修订)》执行。</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健康主题公园、健康步道、健康社团</w:t>
            </w: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查阅健康支持性环境的名单,创建、评估验收及复验等相关工作材料，现场走访检查几项健康支持性环境。</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各乡镇街道</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区体育局、区园林绿化局、区卫健委</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1.各乡镇街道提供本辖区公园、步道、社团的本底资料并注明有条件创建的环境。提交所管辖的健康支持性环境常态化维护的资料。</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区体育局提交（1）全区体育公园、步道的本底资料并注明有条件创建的健康主题公园、健康步道。（2）协助乡镇街道开展健康公园、步道创建、验收工作。（3）提供协助所管辖的健康主题公园、健康步道常态化维护的资料。（4）提交健康社团的名单,每年对创建完成社团复验1次，提供复验佐证性材料。</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区园林绿化局提交（1）全区体育休闲公园、步道的本底资料并注明有条件创建的健康主题公园、健康步道。（2）协助乡镇街道开展健康公园、步道创建、验收工作。每年协助对已创建的健康主题公园、步道进行完好性检查并维护1次；（3）提供协助所管辖的健康主题公园、健康步道常态化维护的资料。</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4.区卫健委提交指导完成各类健康支持性环境创建材料。推荐复审专家现场走访健康支持性环境各1个。</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920" w:hRule="atLeast"/>
        </w:trPr>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2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健康小屋</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各乡镇街道</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区卫健委</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1.各乡镇街道提交本辖区有条件创建健康小屋的村、居、企事业单位的名单。提交所管辖的健康小屋常态化维护的资料。</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2.区卫健委提交指导完成各类健康支持性环境创建材料。推荐复审专家现场走访健康小屋1个。</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490" w:hRule="atLeast"/>
        </w:trPr>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5.普及公共体育设施,营造有利于体育活动的支持性环境。</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(1)社区15分钟健身圈/农村行政村体育设施覆盖率；人均体育场地面积</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(1)社区建设15分钟健身圈，农村行政村建设体育设施，且设施完好，提高人均体育场地面积。</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查阅资料，设施覆盖台账及覆盖率100%说明，社区15分钟健身圈设备更新数量、经费情况、全民健身工程管理办法及工作总结，督导记录表。查阅健身设备完好方案、检查记录、总结、设备完好100%说明。查阅人均体育场地2平米的报告、计算方法、数据来源。</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各乡镇街道、区体育局</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2"/>
                <w:szCs w:val="22"/>
                <w:u w:val="none"/>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各乡镇街道提交（1）辖区内社区15分钟健身圈/农村行政村体育设施覆盖台账及覆盖率100%说明，社区15分钟健身圈设备更新数量、经费情况、全民健身工程管理办法及工作总结，督导记录表。（2）健身设备完好方案、设备完好100%说明。（3）人均体育场地2平米的报告、计算方法、数据来源。</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区体育局提交（1）全区社区15分钟健身圈/农村行政村体育设施覆盖台账及覆盖率100%说明，社区15分钟健身圈设备更新数量、经费情况、全民健身工程管理办法及工作总结，督导记录表。（2）健身设备完好方案、设备完好100%说明。（3）人均体育场地2平米的报告、计算方法、数据来源。</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275" w:hRule="atLeast"/>
        </w:trPr>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二、环境支持</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5.普及公共体育设施,营造有利于体育活动的支持性环境。</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(2)公共体育场地、设施免费或低收费开放比例；有条件的单位免费或低收费开放比例。</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(2)公共体育场地、有条件的企事业和学校的体育场地免费或低收费向社区居民开放。</w:t>
            </w:r>
          </w:p>
        </w:tc>
        <w:tc>
          <w:tcPr>
            <w:tcW w:w="22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2"/>
                <w:szCs w:val="22"/>
                <w:u w:val="none"/>
              </w:rPr>
            </w:pP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查阅符合条件的单位、学校体育场地免费或低收费向社区居民开放比例≥30%的工作小结和汇总统计表等资料。</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各成员单位</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2"/>
                <w:szCs w:val="22"/>
                <w:u w:val="none"/>
              </w:rPr>
            </w:pPr>
          </w:p>
        </w:tc>
        <w:tc>
          <w:tcPr>
            <w:tcW w:w="31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1.符合条件的单位提交免费或低收费向社区居民开放的相关佐证材料，包括体育场地照片、收费标准等。若本单位无符合对外开放的公共体育场地、设施，请提交说明。</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2.区体育局提交全区公共体育场地、设施免费或低收费开放的场地汇总表，向社区居民开放情况报告包括体育设施开放的政策/方案、经费投入、覆盖率、开放途径等。</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3.区教委提交学校体育场地免费或低收费开放的场地汇总表，场地简介，工作小结。</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770" w:hRule="atLeast"/>
        </w:trPr>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(3)低收费：指收费低于该区同类私营场地、设施收费50%以上。</w:t>
            </w:r>
          </w:p>
        </w:tc>
        <w:tc>
          <w:tcPr>
            <w:tcW w:w="2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2"/>
                <w:szCs w:val="22"/>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2"/>
                <w:szCs w:val="22"/>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2"/>
                <w:szCs w:val="22"/>
                <w:u w:val="none"/>
              </w:rPr>
            </w:pPr>
          </w:p>
        </w:tc>
        <w:tc>
          <w:tcPr>
            <w:tcW w:w="31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130" w:hRule="atLeast"/>
        </w:trPr>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6.社区卫生服务中心和乡镇卫生院设置自助式健康检测点，并提供个性化健康指导，为群众提供方便、可及的自助式健康检测服务。</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提供个性化健康指导服务率。</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(1)提供个性化健康指导服务率=提供个性化健康指导的社区卫生服务中心和乡镇卫生院数量/辖区内社区卫生服务中心和乡镇卫生院总数×100%。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查阅设置健康监测点文件、资金配置、总结。各社区卫生服务中心健康监测点的基本情况，设备维护添置情况。</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区卫健委</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2"/>
                <w:szCs w:val="22"/>
                <w:u w:val="none"/>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区卫健委提交全区健康监测点建设方案等文件、资金配置、总结、各社区卫生服务中心健康监测点的基本情况，设备维护添置情况、汇总表等材料。</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75" w:hRule="atLeast"/>
        </w:trPr>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2"/>
                <w:szCs w:val="22"/>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2"/>
                <w:szCs w:val="22"/>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(2)检测结果通过信息化终端设备接入等方式进入居民健康档案。</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查阅居民健康档案等材料</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2"/>
                <w:szCs w:val="22"/>
                <w:u w:val="none"/>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区卫健委提交全区自助检测结果进入健康档案的佐证性材料。</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665" w:hRule="atLeast"/>
        </w:trPr>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2"/>
                <w:szCs w:val="22"/>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2"/>
                <w:szCs w:val="22"/>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(3)个性化健康指导：指根据自助检测结果由专业人员提供健康指导建议,并予以解释和指导。</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查阅个性化健康指导方案、工作布置、督导检查、总结；个性化指导工作资料等。</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2"/>
                <w:szCs w:val="22"/>
                <w:u w:val="none"/>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区卫健委提交全区个性化健康指导方案、工作布置、督导检查、总结等个性化指导工作资料等，提交辖区个性化健康指导机构、指导形式和内容及每年服务人次明细表等。</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430" w:hRule="atLeast"/>
        </w:trPr>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三、专项行动</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7.开展烟草控制,持续降低人群吸烟率和二手烟危害。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(1)建设无烟党政机关、无烟医疗卫生机构、无烟学校。</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覆盖率均达100%，抽查发现1个单位不合格，不得分。</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查阅各项建设工作的区级文件、本底资料、技术培训、工作布置、督导检查、总结等。</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各成员单位</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2"/>
                <w:szCs w:val="22"/>
                <w:u w:val="none"/>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1.各单位提交本单位及本系统建设无烟党政机关的管理制度、实施方案等。提交本单位室内公共场所、工作场所全面禁烟的管理制度，设置禁止吸烟警语和标识的照片。</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2.区卫健委提交全区无烟医疗的工作方案、督导、总结(包含覆盖情况)等。</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3.区教委提交无烟学校的工作方案、总结等资料。</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740" w:hRule="atLeast"/>
        </w:trPr>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(2)辖区各级医疗卫生机构开展简短戒烟服务培训并提供简短戒烟服务。</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开展简短戒烟服务培训的医疗机构覆盖率=开展简短戒烟服务培训的一级、二级、三级医疗机构数量/辖区内一级、二级、三级医疗机构总数×100%。（2）一级、二级、三级医疗机构均需要提供简短戒烟服务，其中一级医疗机构（社区卫生服务中心和乡镇卫生院）在日常门诊问诊过程中提供简短戒烟干预服务；二级及以上医疗机构需开设戒烟门诊。</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查阅资料,现场抽查医疗机构提供简短戒烟服务的情况。</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区卫健委</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2"/>
                <w:szCs w:val="22"/>
                <w:u w:val="none"/>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1.提交全区医疗机构开展简短戒烟服务培训材料及培训覆盖率情况等。</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2.提交全区简短戒烟服务的医疗机构覆盖率100%的明细包括服务形式和人次数、服务机构覆盖率等。</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910" w:hRule="atLeast"/>
        </w:trPr>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三、专项行动</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7.开展烟草控制,持续降低人群吸烟率和二手烟危害。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(3)15岁及以上人群吸烟率；二手烟暴露率。</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若区县无法提供 15 岁及以上人群吸烟率，可以用 18 岁及以上人群吸烟率代替。</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查阅降低居民吸烟率、二手烟暴露率工作方案、工作布置、调查现场资料、慢性病与营养监测/社会因素调查/烟草调查报告等材料。</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区卫健委</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2"/>
                <w:szCs w:val="22"/>
                <w:u w:val="none"/>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1.提交全区降低居民吸烟率、二手烟暴露率工作方案、工作布置、调查现场资料；</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2.提交慢性病与营养监测/社会因素调查/烟草调查报告（包含15岁及以上人群吸烟率、二手烟暴露率）。</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0" w:hRule="atLeast"/>
        </w:trPr>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8.开展“体重管理年”活动，预防和控制人群超重肥胖。</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倡导个人掌握体重管理知识与技能；倡导家庭、医疗卫生机构、学校、机关企事业单位、宾馆酒店等配置体重秤；政府编制和发布体重管理权威信息；推动体重管理科普宣教进家庭、进社区、进医疗卫生机构、进机关企事业单位、进宾馆、进餐馆食堂等。</w:t>
            </w:r>
          </w:p>
        </w:tc>
        <w:tc>
          <w:tcPr>
            <w:tcW w:w="24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倡导个人掌握体重管理知识与技能；</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查阅体重管理知识与技能科普活动记录。</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各成员单位</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区卫健委、区总工会</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1.各乡镇街道提交辖区内体重管理知识与技能宣教活动举办记录，与五进活动结合，将体重管理知识与技能宣传覆盖全人群。</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2.各单位提交本单位内体重管理知识与技能宣传活动举办记录，倡导职业人群掌握体重管理知识与技能。</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3.区总工会建立健全职工健康档案，鼓励定期体检，加强职工健康教育，牵头开展争做“职业健康达人”等活动。</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4.区卫健委负责提供技术支持。</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655" w:hRule="atLeast"/>
        </w:trPr>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2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倡导家庭、医疗卫生机构、学校、机关企事业单位、宾馆酒店等配置体重秤；</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查阅各环境配置体重秤台账及倡导记录。</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各成员单位</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2"/>
                <w:szCs w:val="22"/>
                <w:u w:val="none"/>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1.各成员单位提供本单位、本系统内配置体重秤照片；</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2.各乡镇街道提供倡导家庭配置体重秤等宣传倡导证明材料；</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3.区文旅局倡导有条件的宾馆、酒店配置体重秤，并提交相关证明材料。</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4.区教委倡导全区学校配置体重秤，并提交相关证明材料。</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110" w:hRule="atLeast"/>
        </w:trPr>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2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政府编制和发布体重管理权威信息；</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查阅体重管理权威信息留存记录。</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区卫健委</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各成员单位</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1.区卫健委编制、转载体重管理权威信息、科普图文，提交相关证明材料；</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2.各成员单位积极转发，扩大宣传范围。</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140" w:hRule="atLeast"/>
        </w:trPr>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2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推动体重管理科普宣教进家庭、进社区、进医疗卫生机构、进机关企事业单位、进宾馆、进餐馆食堂等。</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查阅体重管理年方案及落实情况、查阅体重管理科普宣教记录。</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各成员单位</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2"/>
                <w:szCs w:val="22"/>
                <w:u w:val="none"/>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1.各单位提交本单位、本系统内体重管理科普宣教活动举办记录。</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2.各乡镇街道提交辖区内各社区（村）、各单位、宾馆、餐馆食堂等举办体重管理科普宣教活动举办记录。</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3.区文旅局协助体重管理科普宣教活动进宾馆、酒店。</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4.区市场监督管理局、区商务局协助体重管理科普宣教活动进餐馆饭店。</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5.区卫健委负责提供体重管理科普宣教技术支持，提交相关证明材料。</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365" w:hRule="atLeast"/>
        </w:trPr>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三、专项行动</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8.开展“体重管理年”活动，预防和控制人群超重肥胖。</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(2)人群超重率、肥胖率的监测和管理。</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查阅降低人群超重率、肥胖率的相关证明材料。</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区卫健委</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2"/>
                <w:szCs w:val="22"/>
                <w:u w:val="none"/>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1.提交成人慢性病危险因素调查报告/营养监测调查报告（包含人群超重率、肥胖率指标）。</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2.提交降低人群超重率、肥胖率的举措及效果。</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3.提交辖区内体重管理门诊台账。</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650" w:hRule="atLeast"/>
        </w:trPr>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9.开展全民健身运动,提升人群身体活动水平。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经常参加体育锻炼人口比例；</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经常参加体育锻炼人口比例=调查发现的经常参加体育锻炼人数/参加调査的总人数×100%。</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经常参加体育锻炼：是指每周参加体育锻炼频度3次及以上，每次体育锻炼持续时间30分钟及以上，每次体育锻炼的运动强度达到中等及以上。</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中等运动强度：是指在运动时心率达到最大心率的64%-76%的运动强度(最大心率等于220减去年龄)</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查阅提高参加体育锻炼人口比例的工作方案、数据计算方法和总结等材料。</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定期开展由社会团体组织、企事业单位承担参与并积极支持的健身活动，查阅组织健身活动的方案、流程、照片和总结等材料。</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区体育局</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2"/>
                <w:szCs w:val="22"/>
                <w:u w:val="none"/>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1.区体育局提交每年经常参加体育锻炼人口比例的指标（包括数据来源、调查对象、抽样方法、样本量、经常锻炼定义、计算方法、统计结果等）和工作总结等材料。</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2.区体育局提交全区社会团体名录及汇总表，各社会团体组织健身活动的材料。（社会团体：是指以非营利为目的的社会组织。重点考察社会团体与企事业单位组织参与健身活动的主动性，行政部门给予支持。）</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3.区体育局提交每年促进全民健身的工作情况，社会体育指导员能力建设情况，包括相关规划/方案、经费投入、健身团队数、集体性健身活动次数、社会体育指导员数等。</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4.区总工会提交工间操推广情况，包括工间健身活动单位覆盖率等。</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370" w:hRule="atLeast"/>
        </w:trPr>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中小学生每天校内体育活动时间不少于1小时的比例。</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中小学生每天校内体育活动时间不少于1小时的比例达到100%。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查阅青少年体育活动促进计划相关红头文件、各学校该文件执行情况资料（课程表、体育活动照片、体育活动总结等）。</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区教委</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2"/>
                <w:szCs w:val="22"/>
                <w:u w:val="none"/>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区教委提交青少年体育活动促进计划相关政策、方案、各学校该文件执行情况资料（课程表、体育活动照片、体育活动总结等）以及中小学生每天校内体育活动时间不少于1小时的比例的支持性材料。</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370" w:hRule="atLeast"/>
        </w:trPr>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10.开展“三减三健”活动，践行文明健康生活方式。</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(1)人均每日食盐摄入量；人均每日食用油摄入量。</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（1）推广使用健康“小三件”（限量盐勺、限量油壶和健康腰围尺）；</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（2）食盐与食用油的摄入量5年下降15%以上，各1分，共2分；10%-15%，各0.5分，共1分；其余0分。</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查阅辖区营养监测调查报告；查阅降低人均每日食盐摄入量、人均每日食用油摄入量的措施与效果证明材料。</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各成员单位</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2"/>
                <w:szCs w:val="22"/>
                <w:u w:val="none"/>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1.区卫健委提交全区成人慢性病危险因素监测报告/营养监测调查报告（包含食盐与食用油的摄入量水平）。</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2.区卫健委提交全区健康生活方式指导员指导员档案，培训材料；提交指导员每年参加的特色活动佐证材料。</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2.各单位提交本单位、本系统开展三减三健宣传和专项活动的文件资料、核心信息宣传资料的制作和使用记录等佐证性材料。</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3.各单位提交本单位、本系统通过传统媒体（报纸、电视、广播等）和新媒体（微博、微信、抖音等）开展或转发三减三健日常宣传的佐证性材料。</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4.各单位提交本单位、本系统健康支持工具的发放使用记录等材料。</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550"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三、专项行动</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10.开展“三减三健”活动，践行文明健康生活方式。</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(2)辖区内儿童窝沟封闭服务覆盖率。</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儿童窝沟封闭服务覆盖率=适龄儿童(6-9岁)接受窝沟封闭服务(含检查)人数/辖区6-9岁儿童总数×100%。如果示范区有儿童窝沟封闭全覆盖项目，则该项默认满分。</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查阅辖区窝沟封闭儿童本底资料、工作方案、工作布置、工作督导、工作总结。</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区卫健委</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2"/>
                <w:szCs w:val="22"/>
                <w:u w:val="none"/>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1.区卫健委提交全区窝沟封闭儿童本底资料、工作方案、工作布置、工作督导、工作总结（包含覆盖率）。</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2.区卫健委提交12岁儿童龋患率情况，包括数据来源、调查对象、抽样方法、样本量、龋患定义、计算方法、统计结果等。</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95" w:hRule="atLeast"/>
        </w:trPr>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四、体系整合</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11.健全疾病预防控制机构、各级医疗卫生机构的医防融合工作机制，实现不同机构间功能协同、信息互联互通。</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(1)明晰各类机构慢性病防控相关职责和要求，加强各级慢性病综合防控队伍建设，创新慢性病协同管理服务模式。</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制定辖区内慢性病防控服务体系建设方案，明确辖区专业公共卫生机构、医院和基层医疗卫生机构在慢性病综合防治中承担的职责，着力做好高血压、糖尿病等慢性病全程健康管理服务。辖区专业公共卫生机构、二级以上医院及专科医院密切合作，各自发挥专业优势履行慢性病综合防治职责，建立强化与基层医疗卫生机构业务指导、培训、信息共享等对口技术支援协作机制，提升综合防治能力。</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查阅材料</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区卫健委</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2"/>
                <w:szCs w:val="22"/>
                <w:u w:val="none"/>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1.制定辖区内慢性病防控服务体系建设方案明确辖区专业公共卫生机构、医院和基层医疗卫生机构在慢性病综合防治中承担的职责。</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2.提交疾控中心、二级及以上医疗机构、基层医疗机构、村卫生室等接受慢病专业培训支持性材料。</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3.提交本部门对口支援、指导计划、实施方案等支持性材料。</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4.提交辖区内慢性病协同管理服务模式方案及效果评价。</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15" w:hRule="atLeast"/>
        </w:trPr>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(2)建立区域卫生健康信息平台，至少涵盖公共卫生机构、各级医疗卫生机构等收集的卫生健康信息，实现辖区内所有专业公共卫生机构、各级医疗卫生机构之间实现互联互通和信息共享。</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查阅材料、现场演示</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区卫健委</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区政数局</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区卫健委提交（1）区域卫生健康信息平台相关的制度及佐证材料。（2）建设区域卫生健康信息平台，现场展示各级医疗卫生机构间互联互通和信息共享方式或途径。（3）提交文件、资金申请、招标、各类会议、试行、计划、总结、现场演示等材料。</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2.区政数局提交卫生健康系统内各种信息化项目前置技术评审、组织专家会及提供技术支撑与服务保障等相关资料。</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565" w:hRule="atLeast"/>
        </w:trPr>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(3)实现居民电子健康档案和电子病历的连续记录和信息共享。辖区内基本公共卫生服务居民电子健康档案和医疗机构诊疗信息共享，实现个人信息的连续记录。</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查阅材料、现场演示</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区卫健委</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2"/>
                <w:szCs w:val="22"/>
                <w:u w:val="none"/>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1.提交辖区内居民电子健康档案维护、电子病历信息共享的制度方案和落实情况。</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2.现场展示居民电子健康档案及电子病历。</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800"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五、健康促进</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12.开展健康教育和健康促进，加大健康知识传播力度，提高居民健康素养水平。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居民重点慢性病核心知识知晓率；健康素养水平；老年人健康素养水平。</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健康素养水平是指具备健康素养的人在监测总人群中所占的比例。计算方法:具备基本健康素养的人数/监测人群总人数×100%。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查阅材料</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各成员单位</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1.区卫健委提交实施方案、红头文件、报告（包含居民重点慢性病核心知识知晓率、居民健康素养水平、老年人健康素养水平）等材料。</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各成员单位提交本单位（1）结合主题日开展健康生活方式宣传活动的资料、活动记录、核心信息宣传资料的制作和使用记录等佐证性材料。(2)至少一次对外平台转发国家、北京市、区级等层面关于全民营养周（5月第三周）、中国减盐周（每年9月15所在的那一周）、世界爱牙日（9月20日）、世界骨质疏松日（10月20日）等“三减三健”相关内容专项宣传的信息，提交转发信息截图等材料。或提交健康主题日现场活动材料，可邀请属地社区卫生服务中心、疾控中心指导。（1)或（2）满足一项即可。</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3.各单位提交开展重点慢性病核心知识宣教、健康素养宣教至少1次的佐证性材料。</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区教委提交幼儿园、中小学校开设健康教育课程佐证材料，包括区级工作方案、各幼儿园、中小学校年度健康教育课程计划（覆盖6个主题）、工作总结、课程表、教材与教参、开展健康教育课汇总情况等材料。主题包括营养均衡、口腔保健、健康体重、视力保护、心理健康、伤害预防（溺水、烧烫伤）等内容。</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5.各乡镇街道提交本辖区范围内社区健康教育活动室明细表及健康宣传栏明细表（包含各社区宣传栏数量，更换时间及宣传内容）。</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305" w:hRule="atLeast"/>
        </w:trPr>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六、全程管理</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13.开展学生、老年人等重点人群和职工定期健康体检和健康指导，提升健康水平。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国家学生体质健康标准达标优良率；</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(1)国家学生体质健康标准达标优良率=学年体质综合评定总分80分及以上学生数/参加评定学生总人数×100%。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学生体质健康标准》是测量学生体质健康状况和锻炼效果的评价标准，实施这一评价标准有利于促进学生积极参加体育锻炼，养成良好的锻炼习惯，提高体质健康水平。计算方法：国家学生体质健康标准达标优良率（%）=学年体质综合评定总分 80 分及以上学生数/参加评定学生总人数×100%。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查阅达标率支持性材料。</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区教委</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2"/>
                <w:szCs w:val="22"/>
                <w:u w:val="none"/>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1.区教委提交学生体育活动的工作材料，包括相关政策、方案、学校执行情况、督导评估等相关材料。</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2.区教委提交学生体质健康监测工作年度报告，报告包括数据来源、调查对象、抽样方法、样本量、评定标准、计算方法、统计结果、学生体质健康标准达标优良率等。</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3.区教委提交学生年度体检数据分析报告。</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305" w:hRule="atLeast"/>
        </w:trPr>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65岁及以上老年人城乡社区规范健康管理服务率</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65岁及以上老年人城乡社区规范健康管理服务率=65岁及以上老年人城乡社区规范健康管理服务人数/辖区内65岁及以上常住居民数×100%。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查阅区级文件、工作布置、督导检查、总结、数据统计、各社区工作资料等材料。</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区卫健委</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2"/>
                <w:szCs w:val="22"/>
                <w:u w:val="none"/>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区卫健委提交区级文件、工作布置、督导检查、总结、数据统计、各社区工作资料等材料。</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565" w:hRule="atLeast"/>
        </w:trPr>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职工定期健康体检</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体检单位覆盖率=每2年1次为职工提供体检的机关、企事业单位数/辖区内机关、企事业单位总数*100%。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查阅材料</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区总工会、区直机关工委</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各成员单位</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1.区总工会提交全区落实职工定期健康体检和健康指导的政策方案、全区机关企事业单位名单、职工定期体检企事业单位名单、全区体检覆盖率等相关工作材料。</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2.各成员单位提交本单位职工定期健康体检和健康指导工作情况，包括通知方案、体检频次（X年/次）、体检项目、反馈指导情况等。</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3.区直机关工委提交落实区直机关职工定期健康体检和健康指导的通知方案、体检频次、体检项目、反馈指导等。</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280" w:hRule="atLeast"/>
        </w:trPr>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六、全程管理</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14.开展心脑血管疾病、癌症、糖尿病、慢性阻塞性肺疾病等重大慢性病的早期发现与管理，提高重大慢性病的早诊早治与管理水平。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(1)医疗机构35岁及以上患者首诊测血压率。</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(1)医疗机构首诊测血压率=年度内首诊 35岁及以上患者中测量血压的人数/年度内首诊35岁及以上患者总数×100%。首诊测血压指全科诊室(内、外、妇科)，慢性病管理机构，中医门诊等科室，把 35岁及以上病人首诊测血压做为常规检查内容，并在门诊日志和病历中记录血压值。本年度第一次到该医疗卫生机构来就诊即为首诊，如果辖区信息平台实现联网，在本年度第一次到辖区医疗卫生机构就诊即为首诊。</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查阅资料，现场评估，抽样调查医疗机构资料（包含私立医疗机构，医疗机构方案、院内督导质控、院内每月小结、工作总结等材料）、信息系统。</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区卫健委</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2"/>
                <w:szCs w:val="22"/>
                <w:u w:val="none"/>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区卫健委提交全区首诊测血压的政策方案及各医疗机构工作方案、院内督导质控、院内每月小结、工作总结等材料。提交全区及各医疗机构关于首诊测血压信息系统设置情况及各级医疗机构首诊测压总数及首诊测血压率等。</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95" w:hRule="atLeast"/>
        </w:trPr>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14.开展心脑血管疾病、癌症、糖尿病、慢性阻塞性肺疾病等重大慢性病的早期发现与管理，提高重大慢性病的早诊早治与管理水平。</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(2)开展心脑血管疾病、重点癌症、糖尿病及其并发症、慢性阻塞性肺疾病等重大慢性病的筛查和早期诊断。</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开展心脑血管疾病、重点癌症、糖尿病及其并发症、慢性阻塞性肺疾病等重大慢性病的筛查和早期诊断：指在辖区内自主开展具有一定规模的重点筛查与早期诊断工作，个别地区(街乡社区)参与的工作，视为未开展。</w:t>
            </w:r>
          </w:p>
        </w:tc>
        <w:tc>
          <w:tcPr>
            <w:tcW w:w="22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2"/>
                <w:szCs w:val="22"/>
                <w:u w:val="none"/>
              </w:rPr>
            </w:pP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查阅妇女两癌筛查、大肠癌筛查、糖尿病、慢阻肺、心血管筛查工作材料。</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区卫健委</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2"/>
                <w:szCs w:val="22"/>
                <w:u w:val="none"/>
              </w:rPr>
            </w:pPr>
          </w:p>
        </w:tc>
        <w:tc>
          <w:tcPr>
            <w:tcW w:w="31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提交全区妇女两癌筛查、大肠癌筛查、肺癌筛查、糖尿病、慢阻肺、心血管筛查工作方案、质控文件、督导表、工作总结（包括目标人群、年筛查人数、筛查发现高危人数、干预指导数及确诊人数等）等支撑性材料。</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2.提交全区社区卫生服务中心具备血糖、血脂、简易肺功能测定和大便隐血检测等4种技术的总结，数据统计、各社区卫生服务中心工作落实情况等工作材料。</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065" w:hRule="atLeast"/>
        </w:trPr>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2"/>
                <w:szCs w:val="22"/>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(3)糖尿病并发症包括糖尿病肾脏病、糖尿病视网膜病变、糖尿病足病等。</w:t>
            </w:r>
          </w:p>
        </w:tc>
        <w:tc>
          <w:tcPr>
            <w:tcW w:w="2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2"/>
                <w:szCs w:val="22"/>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2"/>
                <w:szCs w:val="22"/>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2"/>
                <w:szCs w:val="22"/>
                <w:u w:val="none"/>
              </w:rPr>
            </w:pPr>
          </w:p>
        </w:tc>
        <w:tc>
          <w:tcPr>
            <w:tcW w:w="31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05" w:hRule="atLeast"/>
        </w:trPr>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15.开展高血压、糖尿病、慢阻肺病重点慢性病规范化管理，不断提升知晓率、治疗率和控制率。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高血压患者基层规范管理服务率</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高血压患者基层规范管理服务率=在基层医疗卫生机构按照规范要求提供高血压患者健康管理服务的人数/年内辖区内已管理的高血压患者人数×100%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查阅高血压管理率统计表、工作方案、布置和培训、督导检查、数据统计、工作总结等支持性材料。</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区卫健委</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2"/>
                <w:szCs w:val="22"/>
                <w:u w:val="none"/>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提交全区高血压病规范管理率情况、工作方案、布置和培训、督导检查、数据统计、工作总结等支持性材料。</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370" w:hRule="atLeast"/>
        </w:trPr>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2型糖尿病患者基层规范管理服务率</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2型糖尿病患者基层规范管理服务率=在基层医疗卫生机构按照规范要求提供2型糖尿病患者健康管理服务的人数/年内辖区内已管理的2型糖尿病患者人数×100%。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查阅糖尿病管理率统计表、工作方案、布置和培训、督导检查、数据统计、工作总结等支持性材料。</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区卫健委</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2"/>
                <w:szCs w:val="22"/>
                <w:u w:val="none"/>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提交全区糖尿病规范管理率情况、工作方案、布置和培训、督导检查、数据统计、工作总结等支持性材料。</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35" w:hRule="atLeast"/>
        </w:trPr>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六、全程管理</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15.开展高血压、糖尿病、慢阻肺病重点慢性病规范化管理，不断提升知晓率、治疗率和控制率。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慢阻肺病患者规范健康服务率</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慢阻肺病患者规范健康服务率=按照规范要求进行慢阻肺病患者健康服务人数/年内已接受健康服务的慢阻肺病患者人数×100%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查阅慢阻肺病管理率统计表、工作方案、布置和培训、督导检查、数据统计、工作总结等支持性材料。</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区卫健委</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2"/>
                <w:szCs w:val="22"/>
                <w:u w:val="none"/>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提交全区慢阻肺病规范管理率情况、工作方案、布置和培训、督导检查、数据统计、工作总结等支持性材料。</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655" w:hRule="atLeast"/>
        </w:trPr>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16.中西医并重，发挥中医药在慢性病预防、保健、诊疗、康复中的作用</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老年人中医药健康管理率</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老年人中医药健康管理率=接受中医药健康管理服务65岁及以上居民数/辖区内65岁及以上常住居民数×100%。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查阅老年人中医药健康管理方案、落实等材料。</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区卫健委</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2"/>
                <w:szCs w:val="22"/>
                <w:u w:val="none"/>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1.提交全区乡镇卫生院/社区卫生服务中心提交6类以上、社区卫生服务站/村卫生室提交4类以上中医非药物疗法明细、说明、总结等支持性材料。</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2.提交老年人中医药健康管理方案、落实等材料。</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3.提交文件、中医知识宣传或讲座等支持性材料。</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4.提交区级中医适宜技术推广资料。</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140" w:hRule="atLeast"/>
        </w:trPr>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七、监测评估</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17.规范开展覆盖辖区慢性病及相关危险因素监测，掌握辖区重点慢性病状况、影响因素和疾病负担。</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开展全人群的死因监测、慢性病和营养监测、心脑血管事件监测、慢性阻塞性肺疾病监测、肿瘤随访登记等重大慢性病登记报告达到基本技术指标。</w:t>
            </w:r>
          </w:p>
        </w:tc>
        <w:tc>
          <w:tcPr>
            <w:tcW w:w="24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每项监测要求有监测方案、质量控制、数据库和规范的分析报告</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查阅死因监测报告。</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区卫健委</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2"/>
                <w:szCs w:val="22"/>
                <w:u w:val="none"/>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提交全区死因监测报告（报告包含粗死亡率、三大死因死亡率及构成，主要疾病的死亡率、标化死亡率、顺位，四类主要慢性病死亡率、标化死亡率、早死概率，人均期望寿命等指标等）。</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175" w:hRule="atLeast"/>
        </w:trPr>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2"/>
                <w:szCs w:val="22"/>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2"/>
                <w:szCs w:val="22"/>
                <w:u w:val="none"/>
              </w:rPr>
            </w:pPr>
          </w:p>
        </w:tc>
        <w:tc>
          <w:tcPr>
            <w:tcW w:w="2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查阅慢性病与营养监测（包括慢性病与营养监测、心脑血管事件报告、慢性阻塞性肺部疾病病例报告）报告。</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区卫健委</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2"/>
                <w:szCs w:val="22"/>
                <w:u w:val="none"/>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提交全区慢性病与营养监测报告、心脑血管事件报告、慢性阻塞性肺部疾病病例报告等，附明确的方案、质量控制、数据库说明。</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215" w:hRule="atLeast"/>
        </w:trPr>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2"/>
                <w:szCs w:val="22"/>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2"/>
                <w:szCs w:val="22"/>
                <w:u w:val="none"/>
              </w:rPr>
            </w:pPr>
          </w:p>
        </w:tc>
        <w:tc>
          <w:tcPr>
            <w:tcW w:w="2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查阅肿瘤随访登记报告。</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区卫健委</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2"/>
                <w:szCs w:val="22"/>
                <w:u w:val="none"/>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提交监测方案、培训、质量控制指标达到肿瘤登记要求、规范的年度分析报告。</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15" w:hRule="atLeast"/>
        </w:trPr>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18.开展慢性病综合防控，降低重大慢性病过早死亡率。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重大慢性病过早死亡率</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重大慢性病过早死亡率，即 30～70 岁人群因心脑血管疾病、癌症、慢性呼吸系统疾病和糖尿病导致的过早死亡率：是指 30～70 岁人群因心脑血管疾病、癌症、慢性呼吸系统疾病和糖尿病死亡的概率。</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查阅死因监测报告。</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区卫健委</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2"/>
                <w:szCs w:val="22"/>
                <w:u w:val="none"/>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提交全区死因监测报告（包含重大慢病过早死亡率）</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400" w:hRule="atLeast"/>
        </w:trPr>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八、创新引领</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慢性病综合防控工作有特色、可复制、可推广。</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1.倡导慢性病综合防控工作与当地社会、文化等建设和公共服务、公共产品供给相结合。</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慢性病综合防控工作与辖区社区文化建设、健康城市建设、文明创建、公共服务与公共产品等相关项目有机衔接整合，以达到1+1&gt;2的实际效果。建立协同工作机制并有效衔接。</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有效衔接：指通过认真梳理各项工作的异同之处，在各县区政府层面，形成慢性病综合防控工作与诸如健康城市建设等在工作机制、工作内容、工作模式等方面有机融合，相互结合，避免单打独斗，造成不必要的重复，既可以达到更好的建设效果，也可以减轻基层负担。具体表现为：组织机构、工作方案、实施方案、工作内容与指标、管理督导办法、评价方法等多方面的融合，实现信息的共享。</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（2）协同工作机制：指建立有助于各相关工作有效衔接、共建共享共赢的工作机制。具体体现在：组织机构、工作人员、沟通制度、信息共享等各个方面。</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（3）1+1&gt;2 的实际效果：指通过建立有效衔接和协同工作机制，成本效益和成本效果更优。成本包括但不限于经费、人员的投入。</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查阅工作计划、方案、总结报告等文字资料，需要时查阅数据库并进行现场查询核实。</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各成员单位</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2"/>
                <w:szCs w:val="22"/>
                <w:u w:val="none"/>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各成员单位提交具有有效衔接、协同工作、产生1+1&gt;2实际效果等特点的项目计划书与总结报告（与相关项目有机衔接整合，撰写格式要求：背景、做法、成效、思考，并提交支撑性材料）。</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700" w:hRule="atLeast"/>
        </w:trPr>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慢性病综合防控工作有特色、可复制、可推广。</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2.总结有创新、特色案例。</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区别于创建年份的创新特色案例，案例撰写要求包括：主题鲜明突出防控重点、技术流程清晰逻辑性强、特色突出创新意识明显、易于被推广可操作性强。</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（1）案例撰写要求：案例基本结构应包括标题、正文、分析三部分。正文包括背景材料和案情材料两部分，其中案情是主要部分；案情又包括对象、时间、地点、何事（内容和做法）和如何（效果）共 6 个基本元素。分析是议论部分，也是突出创新和特色的主要部分，必须有 5 篇以上参考材料或文献支撑。每一个案例文本在 4000-5000 字之间，慢性病案例不倡导大量使用统计图、统计表和照片等。</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（2）创新特色案例：指该案例在工作内容、工作模式、实施等方面具有原创性和创新性，位居领先地位，不是对其他地区做法的复制。</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（3）复审时的案例应与创建年份的特色案例不同，否则视为没有，不计分。</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（4）查看案例原始资料，包括：计划、实施过程资料（如原始记录单、统计表、登记表、督导资料、数据库、工作照片等）和有关总结（评估）材料。</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（5）案例中的数据应经得起追源，即数据来源和产生过程有依据，纸质和电子均有效</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查阅案例文件及案例的相关原始素材等资料，现场评估。各成员单位结合本单位情况至少报送一篇特色案例。案例基于全区性工作为宜。</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各成员单位</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2"/>
                <w:szCs w:val="22"/>
                <w:u w:val="none"/>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各成员单位提交慢性病综合防控工作有特色、可复制、可推广的有创新、特色的案例1篇。</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80" w:hRule="atLeast"/>
        </w:trPr>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慢性病综合防控工作有特色、可复制、可推广。</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3.示范区建设成功经验起到示范引领作用。</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（1）成功经验：指示范区建设中的做法已取得成效，具有一定的创新意义与推广价值。</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（2）有效推广：指成功经验已被其他部门、地区所借鉴，并已取得初步成效。</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（3）示范引领：指示范区建设中的成功经验，在本辖区或更广地区，居于领先地位，并发挥了重要的榜样示范和引领作用，更好地推动了工作的发展和效果的取得。</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查阅相关资料进行评分，需查看成功经验、被推广和推广后产生的效果与反响等资料。</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区卫健委</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2"/>
                <w:szCs w:val="22"/>
                <w:u w:val="none"/>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1.提交MMC辖区内、外成功推广的描述文件、反响资料等（参会汇报材料等）。</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2.提交伤害监测开展资料和辖区外推广描述材料（会议参会汇报材料等）。</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8.3</w:t>
            </w:r>
          </w:p>
        </w:tc>
      </w:tr>
    </w:tbl>
    <w:p>
      <w:pPr>
        <w:pStyle w:val="3"/>
        <w:rPr>
          <w:rFonts w:hint="eastAsia" w:ascii="仿宋_GB2312" w:hAnsi="仿宋" w:eastAsia="仿宋_GB2312" w:cs="仿宋"/>
          <w:sz w:val="32"/>
          <w:szCs w:val="32"/>
        </w:rPr>
      </w:pPr>
    </w:p>
    <w:sectPr>
      <w:pgSz w:w="16838" w:h="11906" w:orient="landscape"/>
      <w:pgMar w:top="1587" w:right="2098" w:bottom="1474" w:left="187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ascii="仿宋_GB2312" w:hAnsi="仿宋_GB2312" w:eastAsia="仿宋_GB2312" w:cs="仿宋_GB2312"/>
                              <w:sz w:val="30"/>
                              <w:szCs w:val="30"/>
                            </w:rPr>
                          </w:pP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  \* MERGEFORMAT </w:instrText>
                          </w:r>
                          <w:r>
                            <w:rPr>
                              <w:rFonts w:hint="eastAsia" w:ascii="仿宋_GB2312" w:hAnsi="仿宋_GB2312" w:eastAsia="仿宋_GB2312" w:cs="仿宋_GB2312"/>
                              <w:sz w:val="30"/>
                              <w:szCs w:val="30"/>
                            </w:rPr>
                            <w:fldChar w:fldCharType="separate"/>
                          </w:r>
                          <w:r>
                            <w:rPr>
                              <w:rFonts w:ascii="仿宋_GB2312" w:hAnsi="仿宋_GB2312" w:eastAsia="仿宋_GB2312" w:cs="仿宋_GB2312"/>
                              <w:sz w:val="30"/>
                              <w:szCs w:val="30"/>
                            </w:rPr>
                            <w:t>11</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5"/>
                      <w:rPr>
                        <w:rFonts w:ascii="仿宋_GB2312" w:hAnsi="仿宋_GB2312" w:eastAsia="仿宋_GB2312" w:cs="仿宋_GB2312"/>
                        <w:sz w:val="30"/>
                        <w:szCs w:val="30"/>
                      </w:rPr>
                    </w:pP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  \* MERGEFORMAT </w:instrText>
                    </w:r>
                    <w:r>
                      <w:rPr>
                        <w:rFonts w:hint="eastAsia" w:ascii="仿宋_GB2312" w:hAnsi="仿宋_GB2312" w:eastAsia="仿宋_GB2312" w:cs="仿宋_GB2312"/>
                        <w:sz w:val="30"/>
                        <w:szCs w:val="30"/>
                      </w:rPr>
                      <w:fldChar w:fldCharType="separate"/>
                    </w:r>
                    <w:r>
                      <w:rPr>
                        <w:rFonts w:ascii="仿宋_GB2312" w:hAnsi="仿宋_GB2312" w:eastAsia="仿宋_GB2312" w:cs="仿宋_GB2312"/>
                        <w:sz w:val="30"/>
                        <w:szCs w:val="30"/>
                      </w:rPr>
                      <w:t>11</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eastAsiaTheme="minorEastAsia"/>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96787C"/>
    <w:multiLevelType w:val="singleLevel"/>
    <w:tmpl w:val="6596787C"/>
    <w:lvl w:ilvl="0" w:tentative="0">
      <w:start w:val="1"/>
      <w:numFmt w:val="chineseCounting"/>
      <w:suff w:val="nothing"/>
      <w:lvlText w:val="（%1）"/>
      <w:lvlJc w:val="left"/>
      <w:pPr>
        <w:ind w:left="0" w:firstLine="420"/>
      </w:pPr>
      <w:rPr>
        <w:rFonts w:hint="eastAsia"/>
      </w:rPr>
    </w:lvl>
  </w:abstractNum>
  <w:abstractNum w:abstractNumId="1">
    <w:nsid w:val="659678C0"/>
    <w:multiLevelType w:val="singleLevel"/>
    <w:tmpl w:val="659678C0"/>
    <w:lvl w:ilvl="0" w:tentative="0">
      <w:start w:val="2"/>
      <w:numFmt w:val="chineseCounting"/>
      <w:suff w:val="nothing"/>
      <w:lvlText w:val="（%1）"/>
      <w:lvlJc w:val="left"/>
      <w:pPr>
        <w:ind w:left="0" w:firstLine="420"/>
      </w:pPr>
      <w:rPr>
        <w:rFonts w:hint="eastAsia"/>
      </w:rPr>
    </w:lvl>
  </w:abstractNum>
  <w:abstractNum w:abstractNumId="2">
    <w:nsid w:val="69E840B1"/>
    <w:multiLevelType w:val="singleLevel"/>
    <w:tmpl w:val="69E840B1"/>
    <w:lvl w:ilvl="0" w:tentative="0">
      <w:start w:val="2"/>
      <w:numFmt w:val="chineseCounting"/>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7560493"/>
    <w:rsid w:val="001F7AE7"/>
    <w:rsid w:val="002D3B01"/>
    <w:rsid w:val="003654ED"/>
    <w:rsid w:val="003C24FF"/>
    <w:rsid w:val="00645294"/>
    <w:rsid w:val="006D596E"/>
    <w:rsid w:val="006F601E"/>
    <w:rsid w:val="00737C9C"/>
    <w:rsid w:val="00761BED"/>
    <w:rsid w:val="0098585F"/>
    <w:rsid w:val="00A244D8"/>
    <w:rsid w:val="00A34D42"/>
    <w:rsid w:val="00A525F3"/>
    <w:rsid w:val="00D76B29"/>
    <w:rsid w:val="00E95A9D"/>
    <w:rsid w:val="0DA52A45"/>
    <w:rsid w:val="0E200EC1"/>
    <w:rsid w:val="0ECE570B"/>
    <w:rsid w:val="11131439"/>
    <w:rsid w:val="115E6852"/>
    <w:rsid w:val="15531721"/>
    <w:rsid w:val="1B3107F2"/>
    <w:rsid w:val="20A53730"/>
    <w:rsid w:val="20E64A81"/>
    <w:rsid w:val="241E170C"/>
    <w:rsid w:val="242839A9"/>
    <w:rsid w:val="2932271B"/>
    <w:rsid w:val="2A6F5706"/>
    <w:rsid w:val="3019323E"/>
    <w:rsid w:val="305321C0"/>
    <w:rsid w:val="327E1A6C"/>
    <w:rsid w:val="36852A33"/>
    <w:rsid w:val="3D417B9E"/>
    <w:rsid w:val="41E9396D"/>
    <w:rsid w:val="46736B84"/>
    <w:rsid w:val="4BEB2B1F"/>
    <w:rsid w:val="4C2D2990"/>
    <w:rsid w:val="506165FC"/>
    <w:rsid w:val="54E6403E"/>
    <w:rsid w:val="55E615D2"/>
    <w:rsid w:val="57560493"/>
    <w:rsid w:val="5812508D"/>
    <w:rsid w:val="5E413D91"/>
    <w:rsid w:val="5EBB3B43"/>
    <w:rsid w:val="62AC0A50"/>
    <w:rsid w:val="6BCE4EB6"/>
    <w:rsid w:val="6D057BB1"/>
    <w:rsid w:val="6E2F5047"/>
    <w:rsid w:val="718E1415"/>
    <w:rsid w:val="71C97C49"/>
    <w:rsid w:val="72763CDD"/>
    <w:rsid w:val="77790598"/>
    <w:rsid w:val="7EF4464E"/>
    <w:rsid w:val="7F1963CD"/>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iPriority="99"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unhideWhenUsed/>
    <w:qFormat/>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index 9"/>
    <w:basedOn w:val="1"/>
    <w:next w:val="1"/>
    <w:unhideWhenUsed/>
    <w:qFormat/>
    <w:uiPriority w:val="99"/>
    <w:pPr>
      <w:ind w:left="1600" w:leftChars="1600"/>
    </w:pPr>
  </w:style>
  <w:style w:type="paragraph" w:styleId="3">
    <w:name w:val="Body Text"/>
    <w:basedOn w:val="1"/>
    <w:qFormat/>
    <w:uiPriority w:val="0"/>
    <w:pPr>
      <w:spacing w:line="360" w:lineRule="auto"/>
    </w:pPr>
    <w:rPr>
      <w:rFonts w:ascii="宋体" w:hAnsi="宋体"/>
      <w:sz w:val="28"/>
    </w:rPr>
  </w:style>
  <w:style w:type="paragraph" w:styleId="4">
    <w:name w:val="Balloon Text"/>
    <w:basedOn w:val="1"/>
    <w:link w:val="10"/>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100" w:beforeAutospacing="1" w:after="100" w:afterAutospacing="1"/>
      <w:jc w:val="left"/>
    </w:pPr>
    <w:rPr>
      <w:kern w:val="0"/>
      <w:sz w:val="24"/>
    </w:rPr>
  </w:style>
  <w:style w:type="character" w:customStyle="1" w:styleId="10">
    <w:name w:val="批注框文本 Char"/>
    <w:basedOn w:val="8"/>
    <w:link w:val="4"/>
    <w:qFormat/>
    <w:uiPriority w:val="0"/>
    <w:rPr>
      <w:rFonts w:asciiTheme="minorHAnsi" w:hAnsiTheme="minorHAnsi" w:eastAsiaTheme="minorEastAsia" w:cstheme="minorBidi"/>
      <w:kern w:val="2"/>
      <w:sz w:val="18"/>
      <w:szCs w:val="18"/>
    </w:rPr>
  </w:style>
  <w:style w:type="paragraph" w:customStyle="1" w:styleId="11">
    <w:name w:val="修订1"/>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12">
    <w:name w:val="font71"/>
    <w:basedOn w:val="8"/>
    <w:qFormat/>
    <w:uiPriority w:val="0"/>
    <w:rPr>
      <w:rFonts w:hint="eastAsia" w:ascii="宋体" w:hAnsi="宋体" w:eastAsia="宋体" w:cs="宋体"/>
      <w:b/>
      <w:color w:val="000000"/>
      <w:sz w:val="24"/>
      <w:szCs w:val="24"/>
      <w:u w:val="none"/>
    </w:rPr>
  </w:style>
  <w:style w:type="character" w:customStyle="1" w:styleId="13">
    <w:name w:val="font41"/>
    <w:basedOn w:val="8"/>
    <w:qFormat/>
    <w:uiPriority w:val="0"/>
    <w:rPr>
      <w:rFonts w:hint="default" w:ascii="Times New Roman" w:hAnsi="Times New Roman" w:cs="Times New Roman"/>
      <w:b/>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805</Words>
  <Characters>4593</Characters>
  <Lines>38</Lines>
  <Paragraphs>10</Paragraphs>
  <ScaleCrop>false</ScaleCrop>
  <LinksUpToDate>false</LinksUpToDate>
  <CharactersWithSpaces>5388</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2026-04-07T06:24:00Z</dcterms:created>
  <dc:creator>大光</dc:creator>
  <cp:lastModifiedBy>杨梅</cp:lastModifiedBy>
  <dcterms:modified xsi:type="dcterms:W3CDTF">2026-04-22T03:30:25Z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y fmtid="{D5CDD505-2E9C-101B-9397-08002B2CF9AE}" pid="3" name="ICV">
    <vt:lpwstr>132DA4FA53B2420C8911ACCB84C70438_13</vt:lpwstr>
  </property>
  <property fmtid="{D5CDD505-2E9C-101B-9397-08002B2CF9AE}" pid="4" name="KSOTemplateDocerSaveRecord">
    <vt:lpwstr>eyJoZGlkIjoiYmM0NTZlYmE5YzliMzFhZTcyZTc4MTNhM2M3ODI5NGEiLCJ1c2VySWQiOiIxOTgxNjE3MjIifQ==</vt:lpwstr>
  </property>
</Properties>
</file>