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2C92F">
      <w:pPr>
        <w:keepNext w:val="0"/>
        <w:keepLines w:val="0"/>
        <w:widowControl/>
        <w:suppressLineNumbers w:val="0"/>
        <w:autoSpaceDE w:val="0"/>
        <w:autoSpaceDN/>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kern w:val="0"/>
          <w:sz w:val="44"/>
          <w:szCs w:val="44"/>
        </w:rPr>
      </w:pPr>
      <w:r>
        <w:rPr>
          <w:rFonts w:hint="eastAsia" w:ascii="方正小标宋简体" w:hAnsi="方正小标宋简体" w:eastAsia="方正小标宋简体" w:cs="方正小标宋简体"/>
          <w:kern w:val="0"/>
          <w:sz w:val="44"/>
          <w:szCs w:val="44"/>
          <w:lang w:val="en-US" w:eastAsia="zh-CN" w:bidi="ar"/>
        </w:rPr>
        <w:t>北京城市副中心促进游戏电竞行业高质量发展的若干措施</w:t>
      </w:r>
    </w:p>
    <w:p w14:paraId="17A73505">
      <w:pPr>
        <w:keepNext w:val="0"/>
        <w:keepLines w:val="0"/>
        <w:widowControl/>
        <w:suppressLineNumbers w:val="0"/>
        <w:autoSpaceDE w:val="0"/>
        <w:autoSpaceDN/>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kern w:val="0"/>
          <w:sz w:val="44"/>
          <w:szCs w:val="44"/>
        </w:rPr>
      </w:pPr>
      <w:r>
        <w:rPr>
          <w:rFonts w:hint="eastAsia" w:ascii="方正小标宋简体" w:hAnsi="方正小标宋简体" w:eastAsia="方正小标宋简体" w:cs="方正小标宋简体"/>
          <w:kern w:val="0"/>
          <w:sz w:val="44"/>
          <w:szCs w:val="44"/>
          <w:lang w:val="en-US" w:eastAsia="zh-CN" w:bidi="ar"/>
        </w:rPr>
        <w:t>（征求意见稿</w:t>
      </w:r>
      <w:bookmarkStart w:id="0" w:name="_GoBack"/>
      <w:bookmarkEnd w:id="0"/>
      <w:r>
        <w:rPr>
          <w:rFonts w:hint="eastAsia" w:ascii="方正小标宋简体" w:hAnsi="方正小标宋简体" w:eastAsia="方正小标宋简体" w:cs="方正小标宋简体"/>
          <w:kern w:val="0"/>
          <w:sz w:val="44"/>
          <w:szCs w:val="44"/>
          <w:lang w:val="en-US" w:eastAsia="zh-CN" w:bidi="ar"/>
        </w:rPr>
        <w:t>）</w:t>
      </w:r>
    </w:p>
    <w:p w14:paraId="370E6506">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14:paraId="18DFDE56">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为贯彻落实《国务院关于支持北京城市副中心高质量发展的意见》、《关于促进北京市游戏电竞行业高质量发展的支持办法（暂行）》，加快发展文化领域新质生产力，大力培育新业态，构建特色鲜明、业态完善、充满活力的</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游戏电竞</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文旅</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产业生态，服务全国文化中心建设，制定本措施。</w:t>
      </w:r>
    </w:p>
    <w:p w14:paraId="27966FD1">
      <w:pPr>
        <w:pStyle w:val="2"/>
        <w:keepNext/>
        <w:keepLines/>
        <w:widowControl w:val="0"/>
        <w:suppressLineNumbers w:val="0"/>
        <w:autoSpaceDE w:val="0"/>
        <w:autoSpaceDN/>
        <w:adjustRightInd w:val="0"/>
        <w:snapToGrid w:val="0"/>
        <w:spacing w:before="0" w:beforeLines="0" w:beforeAutospacing="0" w:after="0" w:afterLines="0" w:afterAutospacing="0" w:line="560" w:lineRule="exact"/>
        <w:ind w:left="0" w:firstLine="640" w:firstLineChars="200"/>
        <w:jc w:val="both"/>
        <w:rPr>
          <w:rFonts w:hint="default" w:ascii="Times New Roman" w:hAnsi="Times New Roman" w:eastAsia="黑体" w:cs="Times New Roman"/>
          <w:b w:val="0"/>
          <w:bCs/>
          <w:kern w:val="44"/>
          <w:sz w:val="32"/>
          <w:szCs w:val="32"/>
        </w:rPr>
      </w:pPr>
      <w:r>
        <w:rPr>
          <w:rFonts w:hint="eastAsia" w:ascii="黑体" w:hAnsi="宋体" w:eastAsia="黑体" w:cs="黑体"/>
          <w:b w:val="0"/>
          <w:bCs/>
          <w:kern w:val="44"/>
          <w:sz w:val="32"/>
          <w:szCs w:val="32"/>
        </w:rPr>
        <w:t>一、支持产业集聚发展</w:t>
      </w:r>
    </w:p>
    <w:p w14:paraId="23CB2195">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支持游戏电竞企业发展，完善产业链生态。对于在国际、全国职业电竞赛事中拥有固定席位的电竞俱乐部主场落户，经评审认定，给予最高</w:t>
      </w:r>
      <w:r>
        <w:rPr>
          <w:rFonts w:hint="default" w:ascii="Times New Roman" w:hAnsi="Times New Roman" w:eastAsia="仿宋_GB2312" w:cs="Times New Roman"/>
          <w:kern w:val="0"/>
          <w:sz w:val="32"/>
          <w:szCs w:val="32"/>
          <w:lang w:val="en-US" w:eastAsia="zh-CN" w:bidi="ar"/>
        </w:rPr>
        <w:t>500</w:t>
      </w:r>
      <w:r>
        <w:rPr>
          <w:rFonts w:hint="eastAsia" w:ascii="仿宋_GB2312" w:hAnsi="Times New Roman" w:eastAsia="仿宋_GB2312" w:cs="仿宋_GB2312"/>
          <w:kern w:val="0"/>
          <w:sz w:val="32"/>
          <w:szCs w:val="32"/>
          <w:lang w:val="en-US" w:eastAsia="zh-CN" w:bidi="ar"/>
        </w:rPr>
        <w:t>万元支持。对于在国际、全国职业电竞赛事中取得优异成绩的职业电竞俱乐部，经评审认定，每年给予最高</w:t>
      </w:r>
      <w:r>
        <w:rPr>
          <w:rFonts w:hint="default" w:ascii="Times New Roman" w:hAnsi="Times New Roman" w:eastAsia="仿宋_GB2312" w:cs="Times New Roman"/>
          <w:kern w:val="0"/>
          <w:sz w:val="32"/>
          <w:szCs w:val="32"/>
          <w:lang w:val="en-US" w:eastAsia="zh-CN" w:bidi="ar"/>
        </w:rPr>
        <w:t>200</w:t>
      </w:r>
      <w:r>
        <w:rPr>
          <w:rFonts w:hint="eastAsia" w:ascii="仿宋_GB2312" w:hAnsi="Times New Roman" w:eastAsia="仿宋_GB2312" w:cs="仿宋_GB2312"/>
          <w:kern w:val="0"/>
          <w:sz w:val="32"/>
          <w:szCs w:val="32"/>
          <w:lang w:val="en-US" w:eastAsia="zh-CN" w:bidi="ar"/>
        </w:rPr>
        <w:t>万元支持。</w:t>
      </w:r>
    </w:p>
    <w:p w14:paraId="1C527264">
      <w:pPr>
        <w:pStyle w:val="2"/>
        <w:keepNext/>
        <w:keepLines/>
        <w:widowControl w:val="0"/>
        <w:suppressLineNumbers w:val="0"/>
        <w:autoSpaceDE w:val="0"/>
        <w:autoSpaceDN/>
        <w:adjustRightInd w:val="0"/>
        <w:snapToGrid w:val="0"/>
        <w:spacing w:before="0" w:beforeLines="0" w:beforeAutospacing="0" w:after="0" w:afterLines="0" w:afterAutospacing="0" w:line="520" w:lineRule="exact"/>
        <w:ind w:left="0" w:firstLine="640" w:firstLineChars="200"/>
        <w:jc w:val="both"/>
        <w:rPr>
          <w:rFonts w:hint="default" w:ascii="Times New Roman" w:hAnsi="Times New Roman" w:eastAsia="黑体" w:cs="Times New Roman"/>
          <w:b w:val="0"/>
          <w:bCs/>
          <w:kern w:val="44"/>
          <w:sz w:val="32"/>
          <w:szCs w:val="32"/>
        </w:rPr>
      </w:pPr>
      <w:r>
        <w:rPr>
          <w:rFonts w:hint="eastAsia" w:ascii="黑体" w:hAnsi="宋体" w:eastAsia="黑体" w:cs="黑体"/>
          <w:b w:val="0"/>
          <w:bCs/>
          <w:kern w:val="44"/>
          <w:sz w:val="32"/>
          <w:szCs w:val="32"/>
        </w:rPr>
        <w:t>二、支持申报游戏版号</w:t>
      </w:r>
    </w:p>
    <w:p w14:paraId="034CAC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CFDFD"/>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fill="FCFDFD"/>
        </w:rPr>
      </w:pPr>
      <w:r>
        <w:rPr>
          <w:rFonts w:hint="eastAsia" w:ascii="仿宋_GB2312" w:hAnsi="Times New Roman" w:eastAsia="仿宋_GB2312" w:cs="仿宋_GB2312"/>
          <w:kern w:val="0"/>
          <w:sz w:val="32"/>
          <w:szCs w:val="32"/>
          <w:shd w:val="clear" w:fill="FCFDFD"/>
          <w:lang w:val="en-US" w:eastAsia="zh-CN" w:bidi="ar"/>
        </w:rPr>
        <w:t>加强对出版国产网络游戏的申报辅导，增加游戏专家审读力量，有效提升审核能力，提高审核质量。积极推动将受理出版国产网络游戏作品申报等事项纳入北京城市副中心综合窗口。</w:t>
      </w:r>
    </w:p>
    <w:p w14:paraId="581EF3C5">
      <w:pPr>
        <w:pStyle w:val="2"/>
        <w:keepNext/>
        <w:keepLines/>
        <w:widowControl w:val="0"/>
        <w:suppressLineNumbers w:val="0"/>
        <w:autoSpaceDE w:val="0"/>
        <w:autoSpaceDN/>
        <w:adjustRightInd w:val="0"/>
        <w:snapToGrid w:val="0"/>
        <w:spacing w:before="0" w:beforeLines="0" w:beforeAutospacing="0" w:after="0" w:afterLines="0" w:afterAutospacing="0" w:line="560" w:lineRule="exact"/>
        <w:ind w:left="0" w:firstLine="640" w:firstLineChars="200"/>
        <w:jc w:val="both"/>
        <w:rPr>
          <w:rFonts w:hint="default" w:ascii="Times New Roman" w:hAnsi="Times New Roman" w:eastAsia="黑体" w:cs="Times New Roman"/>
          <w:b w:val="0"/>
          <w:bCs/>
          <w:kern w:val="44"/>
          <w:sz w:val="32"/>
          <w:szCs w:val="32"/>
        </w:rPr>
      </w:pPr>
      <w:r>
        <w:rPr>
          <w:rFonts w:hint="eastAsia" w:ascii="黑体" w:hAnsi="宋体" w:eastAsia="黑体" w:cs="黑体"/>
          <w:b w:val="0"/>
          <w:bCs/>
          <w:kern w:val="44"/>
          <w:sz w:val="32"/>
          <w:szCs w:val="32"/>
        </w:rPr>
        <w:t>三、支持创作精品游戏</w:t>
      </w:r>
    </w:p>
    <w:p w14:paraId="382239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CFDFD"/>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fill="FCFDFD"/>
        </w:rPr>
      </w:pPr>
      <w:r>
        <w:rPr>
          <w:rFonts w:hint="eastAsia" w:ascii="仿宋_GB2312" w:hAnsi="Times New Roman" w:eastAsia="仿宋_GB2312" w:cs="仿宋_GB2312"/>
          <w:kern w:val="0"/>
          <w:sz w:val="32"/>
          <w:szCs w:val="32"/>
          <w:shd w:val="clear" w:fill="FCFDFD"/>
          <w:lang w:val="en-US" w:eastAsia="zh-CN" w:bidi="ar"/>
        </w:rPr>
        <w:t>支持弘扬正能量、价值导向正确，国际、国内市场竞争力强，社会影响力大的游戏精品创作。对正式上线运营（含海外市场）且符合条件的精品游戏项目，经评审认定，给予最高</w:t>
      </w:r>
      <w:r>
        <w:rPr>
          <w:rFonts w:hint="default" w:ascii="Times New Roman" w:hAnsi="Times New Roman" w:eastAsia="仿宋_GB2312" w:cs="Times New Roman"/>
          <w:kern w:val="0"/>
          <w:sz w:val="32"/>
          <w:szCs w:val="32"/>
          <w:shd w:val="clear" w:fill="FCFDFD"/>
          <w:lang w:val="en-US" w:eastAsia="zh-CN" w:bidi="ar"/>
        </w:rPr>
        <w:t>200</w:t>
      </w:r>
      <w:r>
        <w:rPr>
          <w:rFonts w:hint="eastAsia" w:ascii="仿宋_GB2312" w:hAnsi="Times New Roman" w:eastAsia="仿宋_GB2312" w:cs="仿宋_GB2312"/>
          <w:kern w:val="0"/>
          <w:sz w:val="32"/>
          <w:szCs w:val="32"/>
          <w:shd w:val="clear" w:fill="FCFDFD"/>
          <w:lang w:val="en-US" w:eastAsia="zh-CN" w:bidi="ar"/>
        </w:rPr>
        <w:t>万元支持；对正式上线运营（含海外市场）且符合条件的优质游戏项目，经评审认定，给予最高</w:t>
      </w:r>
      <w:r>
        <w:rPr>
          <w:rFonts w:hint="default" w:ascii="Times New Roman" w:hAnsi="Times New Roman" w:eastAsia="仿宋_GB2312" w:cs="Times New Roman"/>
          <w:kern w:val="0"/>
          <w:sz w:val="32"/>
          <w:szCs w:val="32"/>
          <w:shd w:val="clear" w:fill="FCFDFD"/>
          <w:lang w:val="en-US" w:eastAsia="zh-CN" w:bidi="ar"/>
        </w:rPr>
        <w:t>30</w:t>
      </w:r>
      <w:r>
        <w:rPr>
          <w:rFonts w:hint="eastAsia" w:ascii="仿宋_GB2312" w:hAnsi="Times New Roman" w:eastAsia="仿宋_GB2312" w:cs="仿宋_GB2312"/>
          <w:kern w:val="0"/>
          <w:sz w:val="32"/>
          <w:szCs w:val="32"/>
          <w:shd w:val="clear" w:fill="FCFDFD"/>
          <w:lang w:val="en-US" w:eastAsia="zh-CN" w:bidi="ar"/>
        </w:rPr>
        <w:t>万元支持；对获得国际级、国家级奖项荣誉或获得北京市奖励的作品，给予额外奖励。</w:t>
      </w:r>
    </w:p>
    <w:p w14:paraId="426636D2">
      <w:pPr>
        <w:pStyle w:val="2"/>
        <w:keepNext/>
        <w:keepLines/>
        <w:widowControl w:val="0"/>
        <w:suppressLineNumbers w:val="0"/>
        <w:autoSpaceDE w:val="0"/>
        <w:autoSpaceDN/>
        <w:adjustRightInd w:val="0"/>
        <w:snapToGrid w:val="0"/>
        <w:spacing w:before="0" w:beforeLines="0" w:beforeAutospacing="0" w:after="0" w:afterLines="0" w:afterAutospacing="0" w:line="560" w:lineRule="exact"/>
        <w:ind w:left="0" w:firstLine="640" w:firstLineChars="200"/>
        <w:jc w:val="both"/>
        <w:rPr>
          <w:rFonts w:hint="default" w:ascii="Times New Roman" w:hAnsi="Times New Roman" w:eastAsia="黑体" w:cs="Times New Roman"/>
          <w:b w:val="0"/>
          <w:bCs/>
          <w:kern w:val="44"/>
          <w:sz w:val="32"/>
          <w:szCs w:val="32"/>
        </w:rPr>
      </w:pPr>
      <w:r>
        <w:rPr>
          <w:rFonts w:hint="eastAsia" w:ascii="黑体" w:hAnsi="宋体" w:eastAsia="黑体" w:cs="黑体"/>
          <w:b w:val="0"/>
          <w:bCs/>
          <w:kern w:val="44"/>
          <w:sz w:val="32"/>
          <w:szCs w:val="32"/>
        </w:rPr>
        <w:t>四、支持举办电竞赛事</w:t>
      </w:r>
      <w:r>
        <w:rPr>
          <w:rFonts w:hint="default" w:ascii="Times New Roman" w:hAnsi="Times New Roman" w:eastAsia="黑体" w:cs="Times New Roman"/>
          <w:b w:val="0"/>
          <w:bCs/>
          <w:kern w:val="44"/>
          <w:sz w:val="32"/>
          <w:szCs w:val="32"/>
        </w:rPr>
        <w:t xml:space="preserve"> </w:t>
      </w:r>
    </w:p>
    <w:p w14:paraId="6FB8922B">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支持企业或机构引进国际顶级电竞赛事，加快打造具有全球影响力的自有品牌赛事体系，推动顶级赛事与本地赛事</w:t>
      </w:r>
      <w:r>
        <w:rPr>
          <w:rFonts w:hint="default" w:ascii="Times New Roman" w:hAnsi="Times New Roman" w:eastAsia="仿宋_GB2312" w:cs="Times New Roman"/>
          <w:kern w:val="2"/>
          <w:sz w:val="32"/>
          <w:szCs w:val="32"/>
          <w:lang w:val="en-US" w:eastAsia="zh-CN" w:bidi="ar"/>
        </w:rPr>
        <w:t>IP</w:t>
      </w:r>
      <w:r>
        <w:rPr>
          <w:rFonts w:hint="eastAsia" w:ascii="仿宋_GB2312" w:hAnsi="Times New Roman" w:eastAsia="仿宋_GB2312" w:cs="仿宋_GB2312"/>
          <w:kern w:val="2"/>
          <w:sz w:val="32"/>
          <w:szCs w:val="32"/>
          <w:lang w:val="en-US" w:eastAsia="zh-CN" w:bidi="ar"/>
        </w:rPr>
        <w:t>相互促进。对于在北京城市副中心举办的国际、全国性职业电竞赛事，经评审认定，每年给予最高</w:t>
      </w:r>
      <w:r>
        <w:rPr>
          <w:rFonts w:hint="default" w:ascii="Times New Roman" w:hAnsi="Times New Roman" w:eastAsia="仿宋_GB2312" w:cs="Times New Roman"/>
          <w:kern w:val="2"/>
          <w:sz w:val="32"/>
          <w:szCs w:val="32"/>
          <w:lang w:val="en-US" w:eastAsia="zh-CN" w:bidi="ar"/>
        </w:rPr>
        <w:t>500</w:t>
      </w:r>
      <w:r>
        <w:rPr>
          <w:rFonts w:hint="eastAsia" w:ascii="仿宋_GB2312" w:hAnsi="Times New Roman" w:eastAsia="仿宋_GB2312" w:cs="仿宋_GB2312"/>
          <w:kern w:val="2"/>
          <w:sz w:val="32"/>
          <w:szCs w:val="32"/>
          <w:lang w:val="en-US" w:eastAsia="zh-CN" w:bidi="ar"/>
        </w:rPr>
        <w:t>万元支持。对于将电竞赛事活动与北京城市副中心文旅资源相结合，组织</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观赛</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游览</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消费</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的“票根经济”活动的，给予协助对接</w:t>
      </w:r>
      <w:r>
        <w:rPr>
          <w:rFonts w:hint="eastAsia" w:ascii="仿宋_GB2312" w:hAnsi="Times New Roman" w:eastAsia="仿宋_GB2312" w:cs="仿宋_GB2312"/>
          <w:kern w:val="0"/>
          <w:sz w:val="32"/>
          <w:szCs w:val="32"/>
          <w:lang w:val="en-US" w:eastAsia="zh-CN" w:bidi="ar"/>
        </w:rPr>
        <w:t>旅游景区、度假区、休闲街区、酒店民宿</w:t>
      </w:r>
      <w:r>
        <w:rPr>
          <w:rFonts w:hint="eastAsia" w:ascii="仿宋_GB2312" w:hAnsi="Times New Roman" w:eastAsia="仿宋_GB2312" w:cs="仿宋_GB2312"/>
          <w:kern w:val="2"/>
          <w:sz w:val="32"/>
          <w:szCs w:val="32"/>
          <w:lang w:val="en-US" w:eastAsia="zh-CN" w:bidi="ar"/>
        </w:rPr>
        <w:t>等消费场景资源，支持开展宣传推广等服务支撑。</w:t>
      </w:r>
    </w:p>
    <w:p w14:paraId="16A27507">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Times New Roman" w:hAnsi="Times New Roman" w:eastAsia="黑体" w:cs="Times New Roman"/>
          <w:b w:val="0"/>
          <w:bCs/>
          <w:kern w:val="2"/>
          <w:sz w:val="32"/>
          <w:szCs w:val="32"/>
        </w:rPr>
      </w:pPr>
      <w:r>
        <w:rPr>
          <w:rFonts w:hint="eastAsia" w:ascii="黑体" w:hAnsi="宋体" w:eastAsia="黑体" w:cs="黑体"/>
          <w:b w:val="0"/>
          <w:bCs/>
          <w:kern w:val="2"/>
          <w:sz w:val="32"/>
          <w:szCs w:val="32"/>
          <w:lang w:val="en-US" w:eastAsia="zh-CN" w:bidi="ar"/>
        </w:rPr>
        <w:t>五、支持建设运营场馆</w:t>
      </w:r>
      <w:r>
        <w:rPr>
          <w:rFonts w:hint="eastAsia" w:ascii="Times New Roman" w:hAnsi="Times New Roman" w:eastAsia="黑体" w:cs="Times New Roman"/>
          <w:b w:val="0"/>
          <w:bCs/>
          <w:kern w:val="2"/>
          <w:sz w:val="32"/>
          <w:szCs w:val="32"/>
          <w:lang w:val="en-US" w:eastAsia="zh-CN" w:bidi="ar"/>
        </w:rPr>
        <w:t xml:space="preserve"> </w:t>
      </w:r>
    </w:p>
    <w:p w14:paraId="7ECA7D8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CFDFD"/>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fill="FCFDFD"/>
        </w:rPr>
      </w:pPr>
      <w:r>
        <w:rPr>
          <w:rFonts w:hint="eastAsia" w:ascii="仿宋_GB2312" w:hAnsi="Times New Roman" w:eastAsia="仿宋_GB2312" w:cs="仿宋_GB2312"/>
          <w:kern w:val="0"/>
          <w:sz w:val="32"/>
          <w:szCs w:val="32"/>
          <w:shd w:val="clear" w:fill="FCFDFD"/>
          <w:lang w:val="en-US" w:eastAsia="zh-CN" w:bidi="ar"/>
        </w:rPr>
        <w:t>在符合各级各类国土空间规划要求下，支持做好电竞场馆建设立项审批、土地规划、场馆改造等工作服务。对于新建（改建）可承办职业电竞赛事场馆的，经评审认定，给予最高</w:t>
      </w:r>
      <w:r>
        <w:rPr>
          <w:rFonts w:hint="default" w:ascii="Times New Roman" w:hAnsi="Times New Roman" w:eastAsia="仿宋_GB2312" w:cs="Times New Roman"/>
          <w:kern w:val="0"/>
          <w:sz w:val="32"/>
          <w:szCs w:val="32"/>
          <w:shd w:val="clear" w:fill="FCFDFD"/>
          <w:lang w:val="en-US" w:eastAsia="zh-CN" w:bidi="ar"/>
        </w:rPr>
        <w:t>500</w:t>
      </w:r>
      <w:r>
        <w:rPr>
          <w:rFonts w:hint="eastAsia" w:ascii="仿宋_GB2312" w:hAnsi="Times New Roman" w:eastAsia="仿宋_GB2312" w:cs="仿宋_GB2312"/>
          <w:kern w:val="0"/>
          <w:sz w:val="32"/>
          <w:szCs w:val="32"/>
          <w:shd w:val="clear" w:fill="FCFDFD"/>
          <w:lang w:val="en-US" w:eastAsia="zh-CN" w:bidi="ar"/>
        </w:rPr>
        <w:t>万元支持。对于年度承办职业电竞赛事</w:t>
      </w:r>
      <w:r>
        <w:rPr>
          <w:rFonts w:hint="default" w:ascii="Times New Roman" w:hAnsi="Times New Roman" w:eastAsia="仿宋_GB2312" w:cs="Times New Roman"/>
          <w:kern w:val="0"/>
          <w:sz w:val="32"/>
          <w:szCs w:val="32"/>
          <w:shd w:val="clear" w:fill="FCFDFD"/>
          <w:lang w:val="en-US" w:eastAsia="zh-CN" w:bidi="ar"/>
        </w:rPr>
        <w:t>50</w:t>
      </w:r>
      <w:r>
        <w:rPr>
          <w:rFonts w:hint="eastAsia" w:ascii="仿宋_GB2312" w:hAnsi="Times New Roman" w:eastAsia="仿宋_GB2312" w:cs="仿宋_GB2312"/>
          <w:kern w:val="0"/>
          <w:sz w:val="32"/>
          <w:szCs w:val="32"/>
          <w:shd w:val="clear" w:fill="FCFDFD"/>
          <w:lang w:val="en-US" w:eastAsia="zh-CN" w:bidi="ar"/>
        </w:rPr>
        <w:t>场次以上的场馆，给予每年最高</w:t>
      </w:r>
      <w:r>
        <w:rPr>
          <w:rFonts w:hint="default" w:ascii="Times New Roman" w:hAnsi="Times New Roman" w:eastAsia="仿宋_GB2312" w:cs="Times New Roman"/>
          <w:kern w:val="0"/>
          <w:sz w:val="32"/>
          <w:szCs w:val="32"/>
          <w:shd w:val="clear" w:fill="FCFDFD"/>
          <w:lang w:val="en-US" w:eastAsia="zh-CN" w:bidi="ar"/>
        </w:rPr>
        <w:t>200</w:t>
      </w:r>
      <w:r>
        <w:rPr>
          <w:rFonts w:hint="eastAsia" w:ascii="仿宋_GB2312" w:hAnsi="Times New Roman" w:eastAsia="仿宋_GB2312" w:cs="仿宋_GB2312"/>
          <w:kern w:val="0"/>
          <w:sz w:val="32"/>
          <w:szCs w:val="32"/>
          <w:shd w:val="clear" w:fill="FCFDFD"/>
          <w:lang w:val="en-US" w:eastAsia="zh-CN" w:bidi="ar"/>
        </w:rPr>
        <w:t>万元支持。</w:t>
      </w:r>
    </w:p>
    <w:p w14:paraId="2DDF6029">
      <w:pPr>
        <w:pStyle w:val="2"/>
        <w:keepNext/>
        <w:keepLines/>
        <w:widowControl w:val="0"/>
        <w:suppressLineNumbers w:val="0"/>
        <w:autoSpaceDE w:val="0"/>
        <w:autoSpaceDN/>
        <w:adjustRightInd w:val="0"/>
        <w:snapToGrid w:val="0"/>
        <w:spacing w:before="0" w:beforeLines="0" w:beforeAutospacing="0" w:after="0" w:afterLines="0" w:afterAutospacing="0" w:line="560" w:lineRule="exact"/>
        <w:ind w:left="0" w:firstLine="640" w:firstLineChars="200"/>
        <w:jc w:val="both"/>
        <w:rPr>
          <w:rFonts w:hint="default" w:ascii="Times New Roman" w:hAnsi="Times New Roman" w:eastAsia="黑体" w:cs="Times New Roman"/>
          <w:b w:val="0"/>
          <w:bCs/>
          <w:kern w:val="44"/>
          <w:sz w:val="32"/>
          <w:szCs w:val="32"/>
        </w:rPr>
      </w:pPr>
      <w:r>
        <w:rPr>
          <w:rFonts w:hint="eastAsia" w:ascii="黑体" w:hAnsi="宋体" w:eastAsia="黑体" w:cs="黑体"/>
          <w:b w:val="0"/>
          <w:bCs/>
          <w:kern w:val="44"/>
          <w:sz w:val="32"/>
          <w:szCs w:val="32"/>
        </w:rPr>
        <w:t>六、加强产业人才保障</w:t>
      </w:r>
    </w:p>
    <w:p w14:paraId="1A370B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CFDFD"/>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fill="FCFDFD"/>
        </w:rPr>
      </w:pPr>
      <w:r>
        <w:rPr>
          <w:rFonts w:hint="eastAsia" w:ascii="仿宋_GB2312" w:hAnsi="Times New Roman" w:eastAsia="仿宋_GB2312" w:cs="仿宋_GB2312"/>
          <w:kern w:val="0"/>
          <w:sz w:val="32"/>
          <w:szCs w:val="32"/>
          <w:shd w:val="clear" w:fill="FCFDFD"/>
          <w:lang w:val="en-US" w:eastAsia="zh-CN" w:bidi="ar"/>
        </w:rPr>
        <w:t>支持游戏电竞重点企业纳入北京市级人才引进重点保障目录清单，应办尽办、随报随办；企业创始人、核心团队人员直接纳入</w:t>
      </w:r>
      <w:r>
        <w:rPr>
          <w:rFonts w:hint="default" w:ascii="Times New Roman" w:hAnsi="Times New Roman" w:eastAsia="仿宋_GB2312" w:cs="Times New Roman"/>
          <w:kern w:val="0"/>
          <w:sz w:val="32"/>
          <w:szCs w:val="32"/>
          <w:shd w:val="clear" w:fill="FCFDFD"/>
          <w:lang w:val="en-US" w:eastAsia="zh-CN" w:bidi="ar"/>
        </w:rPr>
        <w:t>“</w:t>
      </w:r>
      <w:r>
        <w:rPr>
          <w:rFonts w:hint="eastAsia" w:ascii="仿宋_GB2312" w:hAnsi="Times New Roman" w:eastAsia="仿宋_GB2312" w:cs="仿宋_GB2312"/>
          <w:kern w:val="0"/>
          <w:sz w:val="32"/>
          <w:szCs w:val="32"/>
          <w:shd w:val="clear" w:fill="FCFDFD"/>
          <w:lang w:val="en-US" w:eastAsia="zh-CN" w:bidi="ar"/>
        </w:rPr>
        <w:t>运河英才</w:t>
      </w:r>
      <w:r>
        <w:rPr>
          <w:rFonts w:hint="default" w:ascii="Times New Roman" w:hAnsi="Times New Roman" w:eastAsia="仿宋_GB2312" w:cs="Times New Roman"/>
          <w:kern w:val="0"/>
          <w:sz w:val="32"/>
          <w:szCs w:val="32"/>
          <w:shd w:val="clear" w:fill="FCFDFD"/>
          <w:lang w:val="en-US" w:eastAsia="zh-CN" w:bidi="ar"/>
        </w:rPr>
        <w:t>”</w:t>
      </w:r>
      <w:r>
        <w:rPr>
          <w:rFonts w:hint="eastAsia" w:ascii="仿宋_GB2312" w:hAnsi="Times New Roman" w:eastAsia="仿宋_GB2312" w:cs="仿宋_GB2312"/>
          <w:kern w:val="0"/>
          <w:sz w:val="32"/>
          <w:szCs w:val="32"/>
          <w:shd w:val="clear" w:fill="FCFDFD"/>
          <w:lang w:val="en-US" w:eastAsia="zh-CN" w:bidi="ar"/>
        </w:rPr>
        <w:t>政策服务保障体系，在资金奖励、人才安居、科技创新、公共服务等方面予以支持。</w:t>
      </w:r>
    </w:p>
    <w:p w14:paraId="60D3E69F">
      <w:pPr>
        <w:pStyle w:val="2"/>
        <w:keepNext/>
        <w:keepLines/>
        <w:widowControl w:val="0"/>
        <w:suppressLineNumbers w:val="0"/>
        <w:autoSpaceDE w:val="0"/>
        <w:autoSpaceDN/>
        <w:adjustRightInd w:val="0"/>
        <w:snapToGrid w:val="0"/>
        <w:spacing w:before="0" w:beforeLines="0" w:beforeAutospacing="0" w:after="0" w:afterLines="0" w:afterAutospacing="0" w:line="560" w:lineRule="exact"/>
        <w:ind w:left="0" w:firstLine="640" w:firstLineChars="200"/>
        <w:jc w:val="both"/>
        <w:rPr>
          <w:rFonts w:hint="default" w:ascii="Times New Roman" w:hAnsi="Times New Roman" w:eastAsia="黑体" w:cs="Times New Roman"/>
          <w:b w:val="0"/>
          <w:bCs/>
          <w:kern w:val="44"/>
          <w:sz w:val="32"/>
          <w:szCs w:val="32"/>
        </w:rPr>
      </w:pPr>
      <w:r>
        <w:rPr>
          <w:rFonts w:hint="eastAsia" w:ascii="黑体" w:hAnsi="宋体" w:eastAsia="黑体" w:cs="黑体"/>
          <w:b w:val="0"/>
          <w:bCs/>
          <w:kern w:val="44"/>
          <w:sz w:val="32"/>
          <w:szCs w:val="32"/>
        </w:rPr>
        <w:t>七、附则</w:t>
      </w:r>
    </w:p>
    <w:p w14:paraId="09E1C7E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CFDFD"/>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fill="FCFDFD"/>
        </w:rPr>
      </w:pPr>
      <w:r>
        <w:rPr>
          <w:rFonts w:hint="eastAsia" w:ascii="仿宋_GB2312" w:hAnsi="Times New Roman" w:eastAsia="仿宋_GB2312" w:cs="仿宋_GB2312"/>
          <w:kern w:val="0"/>
          <w:sz w:val="32"/>
          <w:szCs w:val="32"/>
          <w:shd w:val="clear" w:fill="FCFDFD"/>
          <w:lang w:val="en-US" w:eastAsia="zh-CN" w:bidi="ar"/>
        </w:rPr>
        <w:t>本措施各支持条款中企业同时符合市级政策条件的，支持同步申请。同时符合北京城市副中心其他同类型支持政策的</w:t>
      </w:r>
      <w:r>
        <w:rPr>
          <w:rFonts w:hint="default" w:ascii="Times New Roman" w:hAnsi="Times New Roman" w:eastAsia="仿宋_GB2312" w:cs="Times New Roman"/>
          <w:kern w:val="0"/>
          <w:sz w:val="32"/>
          <w:szCs w:val="32"/>
          <w:shd w:val="clear" w:fill="FCFDFD"/>
          <w:lang w:val="en-US" w:eastAsia="zh-CN" w:bidi="ar"/>
        </w:rPr>
        <w:t>,</w:t>
      </w:r>
      <w:r>
        <w:rPr>
          <w:rFonts w:hint="eastAsia" w:ascii="仿宋_GB2312" w:hAnsi="Times New Roman" w:eastAsia="仿宋_GB2312" w:cs="仿宋_GB2312"/>
          <w:kern w:val="0"/>
          <w:sz w:val="32"/>
          <w:szCs w:val="32"/>
          <w:shd w:val="clear" w:fill="FCFDFD"/>
          <w:lang w:val="en-US" w:eastAsia="zh-CN" w:bidi="ar"/>
        </w:rPr>
        <w:t>按照</w:t>
      </w:r>
      <w:r>
        <w:rPr>
          <w:rFonts w:hint="default" w:ascii="Times New Roman" w:hAnsi="Times New Roman" w:eastAsia="仿宋_GB2312" w:cs="Times New Roman"/>
          <w:kern w:val="0"/>
          <w:sz w:val="32"/>
          <w:szCs w:val="32"/>
          <w:shd w:val="clear" w:fill="FCFDFD"/>
          <w:lang w:val="en-US" w:eastAsia="zh-CN" w:bidi="ar"/>
        </w:rPr>
        <w:t>“</w:t>
      </w:r>
      <w:r>
        <w:rPr>
          <w:rFonts w:hint="eastAsia" w:ascii="仿宋_GB2312" w:hAnsi="Times New Roman" w:eastAsia="仿宋_GB2312" w:cs="仿宋_GB2312"/>
          <w:kern w:val="0"/>
          <w:sz w:val="32"/>
          <w:szCs w:val="32"/>
          <w:shd w:val="clear" w:fill="FCFDFD"/>
          <w:lang w:val="en-US" w:eastAsia="zh-CN" w:bidi="ar"/>
        </w:rPr>
        <w:t>择优不重复</w:t>
      </w:r>
      <w:r>
        <w:rPr>
          <w:rFonts w:hint="default" w:ascii="Times New Roman" w:hAnsi="Times New Roman" w:eastAsia="仿宋_GB2312" w:cs="Times New Roman"/>
          <w:kern w:val="0"/>
          <w:sz w:val="32"/>
          <w:szCs w:val="32"/>
          <w:shd w:val="clear" w:fill="FCFDFD"/>
          <w:lang w:val="en-US" w:eastAsia="zh-CN" w:bidi="ar"/>
        </w:rPr>
        <w:t>”</w:t>
      </w:r>
      <w:r>
        <w:rPr>
          <w:rFonts w:hint="eastAsia" w:ascii="仿宋_GB2312" w:hAnsi="Times New Roman" w:eastAsia="仿宋_GB2312" w:cs="仿宋_GB2312"/>
          <w:kern w:val="0"/>
          <w:sz w:val="32"/>
          <w:szCs w:val="32"/>
          <w:shd w:val="clear" w:fill="FCFDFD"/>
          <w:lang w:val="en-US" w:eastAsia="zh-CN" w:bidi="ar"/>
        </w:rPr>
        <w:t>原则开展支持。</w:t>
      </w:r>
    </w:p>
    <w:p w14:paraId="4622C01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CFDFD"/>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fill="FCFDFD"/>
        </w:rPr>
      </w:pPr>
      <w:r>
        <w:rPr>
          <w:rFonts w:hint="eastAsia" w:ascii="仿宋_GB2312" w:hAnsi="Times New Roman" w:eastAsia="仿宋_GB2312" w:cs="仿宋_GB2312"/>
          <w:kern w:val="0"/>
          <w:sz w:val="32"/>
          <w:szCs w:val="32"/>
          <w:shd w:val="clear" w:fill="FCFDFD"/>
          <w:lang w:val="en-US" w:eastAsia="zh-CN" w:bidi="ar"/>
        </w:rPr>
        <w:t>本措施纳入通亦协同工作机制，与亦庄新城服务资源联动，协同支持游戏电竞行业高质量发展。</w:t>
      </w:r>
    </w:p>
    <w:p w14:paraId="2518550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CFDFD"/>
        <w:autoSpaceDE w:val="0"/>
        <w:autoSpaceDN/>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fill="FCFDFD"/>
        </w:rPr>
      </w:pPr>
      <w:r>
        <w:rPr>
          <w:rFonts w:hint="eastAsia" w:ascii="仿宋_GB2312" w:hAnsi="Times New Roman" w:eastAsia="仿宋_GB2312" w:cs="仿宋_GB2312"/>
          <w:kern w:val="0"/>
          <w:sz w:val="32"/>
          <w:szCs w:val="32"/>
          <w:shd w:val="clear" w:fill="FCFDFD"/>
          <w:lang w:val="en-US" w:eastAsia="zh-CN" w:bidi="ar"/>
        </w:rPr>
        <w:t>本措施由北京市通州区文化和旅游局负责解释，自发布之日起实施，有效期三年。执行期间，法律、法规、规章另有规定或遇政策调整的，从其规定。</w:t>
      </w:r>
    </w:p>
    <w:p w14:paraId="27EC45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F61BA3"/>
    <w:multiLevelType w:val="multilevel"/>
    <w:tmpl w:val="45F61BA3"/>
    <w:lvl w:ilvl="0" w:tentative="0">
      <w:start w:val="1"/>
      <w:numFmt w:val="chineseCounting"/>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D3471"/>
    <w:rsid w:val="1EC07929"/>
    <w:rsid w:val="328D3471"/>
    <w:rsid w:val="47DA7AB0"/>
    <w:rsid w:val="4AD131A7"/>
    <w:rsid w:val="7A2C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uppressAutoHyphens/>
      <w:spacing w:before="0" w:beforeAutospacing="0" w:after="0" w:afterAutospacing="0" w:line="600" w:lineRule="exact"/>
      <w:ind w:left="0" w:right="0"/>
      <w:jc w:val="center"/>
      <w:outlineLvl w:val="0"/>
    </w:pPr>
    <w:rPr>
      <w:rFonts w:hint="default" w:ascii="Times New Roman" w:hAnsi="Times New Roman" w:eastAsia="方正小标宋简体" w:cs="Times New Roman"/>
      <w:b/>
      <w:bCs/>
      <w:kern w:val="44"/>
      <w:sz w:val="44"/>
      <w:szCs w:val="44"/>
      <w:lang w:val="en-US" w:eastAsia="zh-CN" w:bidi="ar"/>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customStyle="1" w:styleId="14">
    <w:name w:val="公文正文"/>
    <w:basedOn w:val="1"/>
    <w:qFormat/>
    <w:uiPriority w:val="0"/>
    <w:pPr>
      <w:spacing w:line="560" w:lineRule="exact"/>
      <w:ind w:firstLine="640" w:firstLineChars="200"/>
    </w:pPr>
    <w:rPr>
      <w:rFonts w:hint="eastAsia" w:ascii="仿宋_GB2312" w:hAnsi="仿宋_GB2312" w:eastAsia="仿宋_GB2312" w:cs="Times New Roman"/>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1163</Words>
  <Characters>1178</Characters>
  <Lines>1</Lines>
  <Paragraphs>1</Paragraphs>
  <TotalTime>1</TotalTime>
  <ScaleCrop>false</ScaleCrop>
  <LinksUpToDate>false</LinksUpToDate>
  <CharactersWithSpaces>1181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2026-02-04T03:33:00Z</dcterms:created>
  <dc:creator>佟硕</dc:creator>
  <cp:lastModifiedBy>佟硕</cp:lastModifiedBy>
  <dcterms:modified xsi:type="dcterms:W3CDTF">2026-02-05T01:13:13Z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DB8C627230D24A31854541E8FADE363B_11</vt:lpwstr>
  </property>
  <property fmtid="{D5CDD505-2E9C-101B-9397-08002B2CF9AE}" pid="4" name="KSOTemplateDocerSaveRecord">
    <vt:lpwstr>eyJoZGlkIjoiMGI5OTFlMmRhMjZjZDY2N2EyNjdmZjE3MDk1OWFmYzkiLCJ1c2VySWQiOiIyNTIzNTYzNjQifQ==</vt:lpwstr>
  </property>
</Properties>
</file>