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640" w:lineRule="exact"/>
        <w:jc w:val="both"/>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1-7</w:t>
      </w:r>
    </w:p>
    <w:p>
      <w:pPr>
        <w:pStyle w:val="3"/>
        <w:keepNext w:val="0"/>
        <w:keepLines w:val="0"/>
        <w:pageBreakBefore w:val="0"/>
        <w:widowControl w:val="0"/>
        <w:kinsoku/>
        <w:wordWrap/>
        <w:overflowPunct/>
        <w:topLinePunct w:val="0"/>
        <w:autoSpaceDE/>
        <w:autoSpaceDN/>
        <w:bidi w:val="0"/>
        <w:adjustRightInd/>
        <w:snapToGrid/>
        <w:spacing w:before="157" w:beforeLines="50" w:after="0"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eastAsia="zh-CN" w:bidi="ar"/>
        </w:rPr>
        <w:t>深化协同多元共治</w:t>
      </w:r>
      <w:r>
        <w:rPr>
          <w:rFonts w:hint="eastAsia" w:ascii="方正小标宋简体" w:hAnsi="方正小标宋简体" w:eastAsia="方正小标宋简体" w:cs="方正小标宋简体"/>
          <w:color w:val="000000"/>
          <w:kern w:val="0"/>
          <w:sz w:val="44"/>
          <w:szCs w:val="44"/>
          <w:lang w:val="en-US" w:eastAsia="zh-CN" w:bidi="ar"/>
        </w:rPr>
        <w:t>2026年行动计划</w:t>
      </w:r>
    </w:p>
    <w:p>
      <w:pPr>
        <w:pStyle w:val="3"/>
        <w:keepNext w:val="0"/>
        <w:keepLines w:val="0"/>
        <w:pageBreakBefore w:val="0"/>
        <w:widowControl w:val="0"/>
        <w:kinsoku/>
        <w:wordWrap/>
        <w:overflowPunct/>
        <w:topLinePunct w:val="0"/>
        <w:autoSpaceDE/>
        <w:autoSpaceDN/>
        <w:bidi w:val="0"/>
        <w:adjustRightInd/>
        <w:snapToGrid/>
        <w:spacing w:before="157" w:beforeLines="50" w:after="0" w:line="560" w:lineRule="exact"/>
        <w:jc w:val="center"/>
        <w:textAlignment w:val="auto"/>
        <w:rPr>
          <w:rFonts w:hint="eastAsia" w:ascii="方正小标宋简体" w:hAnsi="黑体" w:eastAsia="方正小标宋简体" w:cs="方正小标宋简体"/>
          <w:sz w:val="44"/>
          <w:szCs w:val="44"/>
          <w:lang w:val="en-US" w:eastAsia="zh-CN"/>
        </w:rPr>
      </w:pPr>
      <w:r>
        <w:rPr>
          <w:rFonts w:hint="eastAsia" w:ascii="方正小标宋简体" w:hAnsi="方正小标宋简体" w:eastAsia="方正小标宋简体" w:cs="方正小标宋简体"/>
          <w:color w:val="000000"/>
          <w:kern w:val="0"/>
          <w:sz w:val="44"/>
          <w:szCs w:val="44"/>
          <w:lang w:val="en-US" w:eastAsia="zh-CN" w:bidi="ar"/>
        </w:rPr>
        <w:t>（区域协同建设京津冀美丽中国先行区）（审议稿）</w:t>
      </w:r>
    </w:p>
    <w:p>
      <w:pPr>
        <w:pStyle w:val="10"/>
        <w:rPr>
          <w:rFonts w:hint="eastAsia"/>
          <w:lang w:eastAsia="zh-CN"/>
        </w:rPr>
      </w:pPr>
    </w:p>
    <w:tbl>
      <w:tblPr>
        <w:tblStyle w:val="11"/>
        <w:tblW w:w="14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191"/>
        <w:gridCol w:w="5669"/>
        <w:gridCol w:w="964"/>
        <w:gridCol w:w="964"/>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510" w:type="dxa"/>
            <w:tcBorders>
              <w:tl2br w:val="nil"/>
              <w:tr2bl w:val="nil"/>
            </w:tcBorders>
            <w:noWrap w:val="0"/>
            <w:vAlign w:val="center"/>
          </w:tcPr>
          <w:p>
            <w:pPr>
              <w:snapToGrid w:val="0"/>
              <w:spacing w:line="320" w:lineRule="exact"/>
              <w:jc w:val="center"/>
              <w:rPr>
                <w:rFonts w:ascii="黑体" w:hAnsi="黑体" w:eastAsia="黑体" w:cs="黑体"/>
                <w:sz w:val="28"/>
                <w:szCs w:val="28"/>
              </w:rPr>
            </w:pPr>
            <w:r>
              <w:rPr>
                <w:rFonts w:hint="eastAsia" w:ascii="黑体" w:hAnsi="黑体" w:eastAsia="黑体"/>
                <w:color w:val="000000"/>
                <w:sz w:val="28"/>
                <w:szCs w:val="28"/>
              </w:rPr>
              <w:t>序号</w:t>
            </w:r>
          </w:p>
        </w:tc>
        <w:tc>
          <w:tcPr>
            <w:tcW w:w="1191" w:type="dxa"/>
            <w:tcBorders>
              <w:tl2br w:val="nil"/>
              <w:tr2bl w:val="nil"/>
            </w:tcBorders>
            <w:noWrap w:val="0"/>
            <w:vAlign w:val="center"/>
          </w:tcPr>
          <w:p>
            <w:pPr>
              <w:snapToGrid w:val="0"/>
              <w:spacing w:line="320" w:lineRule="exact"/>
              <w:jc w:val="center"/>
              <w:rPr>
                <w:rFonts w:ascii="黑体" w:hAnsi="黑体" w:eastAsia="黑体"/>
                <w:color w:val="000000"/>
                <w:sz w:val="28"/>
                <w:szCs w:val="28"/>
              </w:rPr>
            </w:pPr>
            <w:r>
              <w:rPr>
                <w:rFonts w:hint="eastAsia" w:ascii="黑体" w:hAnsi="黑体" w:eastAsia="黑体"/>
                <w:color w:val="000000"/>
                <w:sz w:val="28"/>
                <w:szCs w:val="28"/>
              </w:rPr>
              <w:t>重点</w:t>
            </w:r>
          </w:p>
          <w:p>
            <w:pPr>
              <w:snapToGrid w:val="0"/>
              <w:spacing w:line="320" w:lineRule="exact"/>
              <w:jc w:val="center"/>
              <w:rPr>
                <w:rFonts w:ascii="黑体" w:hAnsi="黑体" w:eastAsia="黑体" w:cs="黑体"/>
                <w:sz w:val="28"/>
                <w:szCs w:val="28"/>
              </w:rPr>
            </w:pPr>
            <w:r>
              <w:rPr>
                <w:rFonts w:hint="eastAsia" w:ascii="黑体" w:hAnsi="黑体" w:eastAsia="黑体"/>
                <w:color w:val="000000"/>
                <w:sz w:val="28"/>
                <w:szCs w:val="28"/>
              </w:rPr>
              <w:t>任务</w:t>
            </w:r>
          </w:p>
        </w:tc>
        <w:tc>
          <w:tcPr>
            <w:tcW w:w="5669" w:type="dxa"/>
            <w:tcBorders>
              <w:tl2br w:val="nil"/>
              <w:tr2bl w:val="nil"/>
            </w:tcBorders>
            <w:noWrap w:val="0"/>
            <w:vAlign w:val="center"/>
          </w:tcPr>
          <w:p>
            <w:pPr>
              <w:snapToGrid w:val="0"/>
              <w:spacing w:line="320" w:lineRule="exact"/>
              <w:jc w:val="center"/>
              <w:rPr>
                <w:rFonts w:ascii="黑体" w:hAnsi="黑体" w:eastAsia="黑体" w:cs="黑体"/>
                <w:sz w:val="28"/>
                <w:szCs w:val="28"/>
              </w:rPr>
            </w:pPr>
            <w:r>
              <w:rPr>
                <w:rFonts w:hint="eastAsia" w:ascii="黑体" w:hAnsi="黑体" w:eastAsia="黑体"/>
                <w:color w:val="000000"/>
                <w:sz w:val="28"/>
                <w:szCs w:val="28"/>
              </w:rPr>
              <w:t>工作措施</w:t>
            </w:r>
          </w:p>
        </w:tc>
        <w:tc>
          <w:tcPr>
            <w:tcW w:w="964" w:type="dxa"/>
            <w:tcBorders>
              <w:tl2br w:val="nil"/>
              <w:tr2bl w:val="nil"/>
            </w:tcBorders>
            <w:noWrap w:val="0"/>
            <w:vAlign w:val="center"/>
          </w:tcPr>
          <w:p>
            <w:pPr>
              <w:snapToGrid w:val="0"/>
              <w:spacing w:line="320" w:lineRule="exact"/>
              <w:jc w:val="center"/>
              <w:rPr>
                <w:rFonts w:ascii="黑体" w:hAnsi="黑体" w:eastAsia="黑体"/>
                <w:color w:val="000000"/>
                <w:sz w:val="28"/>
                <w:szCs w:val="28"/>
              </w:rPr>
            </w:pPr>
            <w:r>
              <w:rPr>
                <w:rFonts w:hint="eastAsia" w:ascii="黑体" w:hAnsi="黑体" w:eastAsia="黑体"/>
                <w:color w:val="000000"/>
                <w:sz w:val="28"/>
                <w:szCs w:val="28"/>
              </w:rPr>
              <w:t>完成</w:t>
            </w:r>
          </w:p>
          <w:p>
            <w:pPr>
              <w:snapToGrid w:val="0"/>
              <w:spacing w:line="320" w:lineRule="exact"/>
              <w:jc w:val="center"/>
              <w:rPr>
                <w:rFonts w:ascii="黑体" w:hAnsi="黑体" w:eastAsia="黑体" w:cs="黑体"/>
                <w:sz w:val="28"/>
                <w:szCs w:val="28"/>
              </w:rPr>
            </w:pPr>
            <w:r>
              <w:rPr>
                <w:rFonts w:hint="eastAsia" w:ascii="黑体" w:hAnsi="黑体" w:eastAsia="黑体"/>
                <w:color w:val="000000"/>
                <w:sz w:val="28"/>
                <w:szCs w:val="28"/>
              </w:rPr>
              <w:t>时限</w:t>
            </w:r>
          </w:p>
        </w:tc>
        <w:tc>
          <w:tcPr>
            <w:tcW w:w="964" w:type="dxa"/>
            <w:tcBorders>
              <w:tl2br w:val="nil"/>
              <w:tr2bl w:val="nil"/>
            </w:tcBorders>
            <w:noWrap w:val="0"/>
            <w:vAlign w:val="center"/>
          </w:tcPr>
          <w:p>
            <w:pPr>
              <w:snapToGrid w:val="0"/>
              <w:spacing w:line="320" w:lineRule="exact"/>
              <w:jc w:val="center"/>
              <w:rPr>
                <w:rFonts w:ascii="黑体" w:hAnsi="黑体" w:eastAsia="黑体"/>
                <w:color w:val="000000"/>
                <w:sz w:val="28"/>
                <w:szCs w:val="28"/>
              </w:rPr>
            </w:pPr>
            <w:r>
              <w:rPr>
                <w:rFonts w:hint="eastAsia" w:ascii="黑体" w:hAnsi="黑体" w:eastAsia="黑体"/>
                <w:color w:val="000000"/>
                <w:sz w:val="28"/>
                <w:szCs w:val="28"/>
              </w:rPr>
              <w:t>牵头</w:t>
            </w:r>
          </w:p>
          <w:p>
            <w:pPr>
              <w:snapToGrid w:val="0"/>
              <w:spacing w:line="320" w:lineRule="exact"/>
              <w:jc w:val="center"/>
              <w:rPr>
                <w:rFonts w:ascii="黑体" w:hAnsi="黑体" w:eastAsia="黑体" w:cs="黑体"/>
                <w:sz w:val="28"/>
                <w:szCs w:val="28"/>
              </w:rPr>
            </w:pPr>
            <w:r>
              <w:rPr>
                <w:rFonts w:hint="eastAsia" w:ascii="黑体" w:hAnsi="黑体" w:eastAsia="黑体"/>
                <w:color w:val="000000"/>
                <w:sz w:val="28"/>
                <w:szCs w:val="28"/>
              </w:rPr>
              <w:t>领导</w:t>
            </w:r>
          </w:p>
        </w:tc>
        <w:tc>
          <w:tcPr>
            <w:tcW w:w="2835" w:type="dxa"/>
            <w:tcBorders>
              <w:tl2br w:val="nil"/>
              <w:tr2bl w:val="nil"/>
            </w:tcBorders>
            <w:noWrap w:val="0"/>
            <w:vAlign w:val="center"/>
          </w:tcPr>
          <w:p>
            <w:pPr>
              <w:snapToGrid w:val="0"/>
              <w:spacing w:line="320" w:lineRule="exact"/>
              <w:jc w:val="center"/>
              <w:rPr>
                <w:rFonts w:ascii="黑体" w:hAnsi="黑体" w:eastAsia="黑体" w:cs="黑体"/>
                <w:sz w:val="28"/>
                <w:szCs w:val="28"/>
                <w:lang w:eastAsia="zh-Hans"/>
              </w:rPr>
            </w:pPr>
            <w:r>
              <w:rPr>
                <w:rFonts w:hint="eastAsia" w:ascii="黑体" w:hAnsi="黑体" w:eastAsia="黑体"/>
                <w:color w:val="000000"/>
                <w:sz w:val="28"/>
                <w:szCs w:val="28"/>
              </w:rPr>
              <w:t>主责单位</w:t>
            </w:r>
          </w:p>
        </w:tc>
        <w:tc>
          <w:tcPr>
            <w:tcW w:w="2835" w:type="dxa"/>
            <w:tcBorders>
              <w:tl2br w:val="nil"/>
              <w:tr2bl w:val="nil"/>
            </w:tcBorders>
            <w:noWrap w:val="0"/>
            <w:vAlign w:val="center"/>
          </w:tcPr>
          <w:p>
            <w:pPr>
              <w:snapToGrid w:val="0"/>
              <w:spacing w:line="320" w:lineRule="exact"/>
              <w:jc w:val="center"/>
              <w:rPr>
                <w:rFonts w:ascii="黑体" w:hAnsi="黑体" w:eastAsia="黑体" w:cs="黑体"/>
                <w:sz w:val="28"/>
                <w:szCs w:val="28"/>
              </w:rPr>
            </w:pPr>
            <w:r>
              <w:rPr>
                <w:rFonts w:hint="eastAsia" w:ascii="黑体" w:hAnsi="黑体" w:eastAsia="黑体"/>
                <w:color w:val="000000"/>
                <w:sz w:val="28"/>
                <w:szCs w:val="28"/>
              </w:rPr>
              <w:t>协办单位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968" w:type="dxa"/>
            <w:gridSpan w:val="7"/>
            <w:tcBorders>
              <w:tl2br w:val="nil"/>
              <w:tr2bl w:val="nil"/>
            </w:tcBorders>
            <w:noWrap w:val="0"/>
            <w:vAlign w:val="center"/>
          </w:tcPr>
          <w:p>
            <w:pPr>
              <w:snapToGrid w:val="0"/>
              <w:spacing w:line="360" w:lineRule="exact"/>
              <w:jc w:val="center"/>
              <w:rPr>
                <w:rFonts w:hint="eastAsia" w:ascii="宋体" w:hAnsi="宋体" w:eastAsia="黑体" w:cs="宋体"/>
                <w:szCs w:val="21"/>
                <w:lang w:eastAsia="zh-CN"/>
              </w:rPr>
            </w:pPr>
            <w:r>
              <w:rPr>
                <w:rFonts w:hint="eastAsia" w:ascii="黑体" w:hAnsi="黑体" w:eastAsia="黑体" w:cs="黑体"/>
                <w:sz w:val="28"/>
                <w:szCs w:val="28"/>
                <w:lang w:eastAsia="zh-CN"/>
              </w:rPr>
              <w:t>一、区域协同建设京津冀美丽中国先行区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968" w:type="dxa"/>
            <w:gridSpan w:val="7"/>
            <w:tcBorders>
              <w:tl2br w:val="nil"/>
              <w:tr2bl w:val="nil"/>
            </w:tcBorders>
            <w:noWrap w:val="0"/>
            <w:vAlign w:val="center"/>
          </w:tcPr>
          <w:p>
            <w:pPr>
              <w:snapToGrid w:val="0"/>
              <w:spacing w:line="360" w:lineRule="exact"/>
              <w:jc w:val="center"/>
              <w:rPr>
                <w:rFonts w:hint="eastAsia" w:ascii="黑体" w:hAnsi="黑体" w:eastAsia="黑体" w:cs="黑体"/>
                <w:sz w:val="24"/>
                <w:szCs w:val="24"/>
                <w:lang w:eastAsia="zh-CN"/>
              </w:rPr>
            </w:pPr>
            <w:r>
              <w:rPr>
                <w:rFonts w:hint="eastAsia" w:ascii="黑体" w:hAnsi="黑体" w:eastAsia="黑体" w:cs="黑体"/>
                <w:sz w:val="24"/>
                <w:szCs w:val="24"/>
                <w:lang w:eastAsia="zh-CN"/>
              </w:rPr>
              <w:t>（一）建设绿色低碳转型先行区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510" w:type="dxa"/>
            <w:tcBorders>
              <w:tl2br w:val="nil"/>
              <w:tr2bl w:val="nil"/>
            </w:tcBorders>
            <w:noWrap w:val="0"/>
            <w:vAlign w:val="center"/>
          </w:tcPr>
          <w:p>
            <w:pPr>
              <w:snapToGrid w:val="0"/>
              <w:spacing w:line="36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191" w:type="dxa"/>
            <w:vMerge w:val="restart"/>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持续推动重点领域绿色低碳转型</w:t>
            </w:r>
          </w:p>
        </w:tc>
        <w:tc>
          <w:tcPr>
            <w:tcW w:w="5669" w:type="dxa"/>
            <w:tcBorders>
              <w:tl2br w:val="nil"/>
              <w:tr2bl w:val="nil"/>
            </w:tcBorders>
            <w:noWrap w:val="0"/>
            <w:vAlign w:val="center"/>
          </w:tcPr>
          <w:p>
            <w:pPr>
              <w:jc w:val="left"/>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积极开发利用本地可再生能</w:t>
            </w:r>
            <w:r>
              <w:rPr>
                <w:rFonts w:hint="eastAsia" w:ascii="仿宋_GB2312" w:hAnsi="仿宋_GB2312" w:eastAsia="仿宋_GB2312" w:cs="仿宋_GB2312"/>
                <w:color w:val="auto"/>
                <w:sz w:val="24"/>
                <w:szCs w:val="24"/>
                <w:u w:val="none"/>
                <w:vertAlign w:val="baseline"/>
                <w:lang w:val="en-US" w:eastAsia="zh-CN"/>
              </w:rPr>
              <w:t>源，</w:t>
            </w:r>
            <w:r>
              <w:rPr>
                <w:rFonts w:hint="eastAsia" w:ascii="仿宋_GB2312" w:hAnsi="仿宋_GB2312" w:eastAsia="仿宋_GB2312" w:cs="仿宋_GB2312"/>
                <w:color w:val="auto"/>
                <w:sz w:val="24"/>
                <w:szCs w:val="24"/>
                <w:vertAlign w:val="baseline"/>
                <w:lang w:val="en-US" w:eastAsia="zh-CN"/>
              </w:rPr>
              <w:t>持续提高绿电消纳规模。</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Hans" w:bidi="ar-SA"/>
              </w:rPr>
            </w:pPr>
            <w:r>
              <w:rPr>
                <w:rFonts w:hint="eastAsia" w:ascii="仿宋_GB2312" w:hAnsi="仿宋_GB2312" w:eastAsia="仿宋_GB2312" w:cs="仿宋_GB2312"/>
                <w:color w:val="auto"/>
                <w:sz w:val="24"/>
                <w:szCs w:val="24"/>
                <w:vertAlign w:val="baseline"/>
                <w:lang w:eastAsia="zh-CN"/>
              </w:rPr>
              <w:t>李先侠</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Hans" w:bidi="ar-SA"/>
              </w:rPr>
            </w:pPr>
            <w:r>
              <w:rPr>
                <w:rFonts w:hint="eastAsia" w:ascii="仿宋_GB2312" w:hAnsi="仿宋_GB2312" w:eastAsia="仿宋_GB2312" w:cs="仿宋_GB2312"/>
                <w:color w:val="auto"/>
                <w:sz w:val="24"/>
                <w:szCs w:val="24"/>
                <w:vertAlign w:val="baseline"/>
                <w:lang w:eastAsia="zh-CN"/>
              </w:rPr>
              <w:t>区发展改革委</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宋体" w:hAnsi="宋体" w:eastAsia="宋体" w:cs="宋体"/>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510"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1191" w:type="dxa"/>
            <w:vMerge w:val="continue"/>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p>
        </w:tc>
        <w:tc>
          <w:tcPr>
            <w:tcW w:w="5669" w:type="dxa"/>
            <w:tcBorders>
              <w:tl2br w:val="nil"/>
              <w:tr2bl w:val="nil"/>
            </w:tcBorders>
            <w:noWrap w:val="0"/>
            <w:vAlign w:val="center"/>
          </w:tcPr>
          <w:p>
            <w:pPr>
              <w:jc w:val="left"/>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深入推进产业协同发展，推动通武廊交界区域产业创新发展。</w:t>
            </w:r>
          </w:p>
          <w:p>
            <w:pPr>
              <w:jc w:val="left"/>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strike w:val="0"/>
                <w:dstrike w:val="0"/>
                <w:color w:val="auto"/>
                <w:sz w:val="24"/>
                <w:szCs w:val="24"/>
                <w:u w:val="none"/>
                <w:vertAlign w:val="baseline"/>
                <w:lang w:val="en-US" w:eastAsia="zh-CN"/>
              </w:rPr>
              <w:t>培育绿色工厂、美丽工厂，助力实现碳达峰碳中和目标，提升产业整体可持续发展水平。</w:t>
            </w:r>
          </w:p>
        </w:tc>
        <w:tc>
          <w:tcPr>
            <w:tcW w:w="964" w:type="dxa"/>
            <w:tcBorders>
              <w:tl2br w:val="nil"/>
              <w:tr2bl w:val="nil"/>
            </w:tcBorders>
            <w:noWrap w:val="0"/>
            <w:vAlign w:val="center"/>
          </w:tcPr>
          <w:p>
            <w:pPr>
              <w:jc w:val="center"/>
              <w:rPr>
                <w:rFonts w:hint="default"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李先侠吴孔安</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区发展改革委</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区经济和信息化局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510"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1191" w:type="dxa"/>
            <w:vMerge w:val="continue"/>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p>
        </w:tc>
        <w:tc>
          <w:tcPr>
            <w:tcW w:w="5669" w:type="dxa"/>
            <w:tcBorders>
              <w:tl2br w:val="nil"/>
              <w:tr2bl w:val="nil"/>
            </w:tcBorders>
            <w:noWrap w:val="0"/>
            <w:vAlign w:val="center"/>
          </w:tcPr>
          <w:p>
            <w:pPr>
              <w:jc w:val="left"/>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积极推进跨省零排放货运通道建设，在京津等高速公路、普通国</w:t>
            </w:r>
            <w:r>
              <w:rPr>
                <w:rFonts w:hint="eastAsia" w:ascii="仿宋_GB2312" w:hAnsi="仿宋_GB2312" w:eastAsia="仿宋_GB2312" w:cs="仿宋_GB2312"/>
                <w:color w:val="auto"/>
                <w:sz w:val="24"/>
                <w:szCs w:val="24"/>
                <w:highlight w:val="none"/>
                <w:vertAlign w:val="baseline"/>
                <w:lang w:val="en-US" w:eastAsia="zh-CN"/>
              </w:rPr>
              <w:t>省干线等因地制宜建设重型货车充换电站、加氢站，积极配合市级部门推进零排放货运通道建设。</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韩</w:t>
            </w:r>
            <w:r>
              <w:rPr>
                <w:rFonts w:hint="eastAsia" w:ascii="仿宋_GB2312" w:hAnsi="仿宋_GB2312" w:eastAsia="仿宋_GB2312" w:cs="仿宋_GB2312"/>
                <w:color w:val="auto"/>
                <w:sz w:val="24"/>
                <w:szCs w:val="24"/>
                <w:vertAlign w:val="baseline"/>
                <w:lang w:val="en-US" w:eastAsia="zh-CN"/>
              </w:rPr>
              <w:t xml:space="preserve">  </w:t>
            </w:r>
            <w:r>
              <w:rPr>
                <w:rFonts w:hint="eastAsia" w:ascii="仿宋_GB2312" w:hAnsi="仿宋_GB2312" w:eastAsia="仿宋_GB2312" w:cs="仿宋_GB2312"/>
                <w:color w:val="auto"/>
                <w:sz w:val="24"/>
                <w:szCs w:val="24"/>
                <w:vertAlign w:val="baseline"/>
                <w:lang w:eastAsia="zh-CN"/>
              </w:rPr>
              <w:t>松</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区交通委</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区城市管理委</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宋体" w:hAnsi="宋体" w:eastAsia="宋体" w:cs="宋体"/>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510"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1191"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强化减污降碳协同创新</w:t>
            </w:r>
          </w:p>
        </w:tc>
        <w:tc>
          <w:tcPr>
            <w:tcW w:w="5669"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高标准保障全国温室气体自愿减排交易（CCER）机构运行，支持丰富和完善CCER方法学，支持符合条件的项目申报CCER项目。</w:t>
            </w:r>
            <w:r>
              <w:rPr>
                <w:rFonts w:hint="eastAsia" w:ascii="仿宋_GB2312" w:hAnsi="仿宋_GB2312" w:eastAsia="仿宋_GB2312" w:cs="仿宋_GB2312"/>
                <w:sz w:val="24"/>
                <w:szCs w:val="24"/>
                <w:highlight w:val="none"/>
                <w:lang w:eastAsia="zh-CN"/>
              </w:rPr>
              <w:t>配合市级部门推进区域碳足迹核算标准和技术规范研究。</w:t>
            </w:r>
          </w:p>
        </w:tc>
        <w:tc>
          <w:tcPr>
            <w:tcW w:w="964" w:type="dxa"/>
            <w:tcBorders>
              <w:tl2br w:val="nil"/>
              <w:tr2bl w:val="nil"/>
            </w:tcBorders>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李先侠</w:t>
            </w:r>
          </w:p>
          <w:p>
            <w:pPr>
              <w:jc w:val="center"/>
              <w:rPr>
                <w:rFonts w:ascii="仿宋_GB2312" w:hAnsi="仿宋_GB2312" w:eastAsia="仿宋_GB2312" w:cs="仿宋_GB2312"/>
                <w:color w:val="000000"/>
                <w:spacing w:val="-14"/>
                <w:sz w:val="24"/>
                <w:szCs w:val="24"/>
                <w:lang w:eastAsia="zh-Hans"/>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auto"/>
                <w:sz w:val="24"/>
                <w:szCs w:val="24"/>
                <w:vertAlign w:val="baseline"/>
                <w:lang w:eastAsia="zh-CN"/>
              </w:rPr>
              <w:t>区发展改革委</w:t>
            </w:r>
          </w:p>
        </w:tc>
        <w:tc>
          <w:tcPr>
            <w:tcW w:w="2835"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北京绿色交易所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968" w:type="dxa"/>
            <w:gridSpan w:val="7"/>
            <w:tcBorders>
              <w:tl2br w:val="nil"/>
              <w:tr2bl w:val="nil"/>
            </w:tcBorders>
            <w:noWrap w:val="0"/>
            <w:vAlign w:val="center"/>
          </w:tcPr>
          <w:p>
            <w:pPr>
              <w:snapToGrid w:val="0"/>
              <w:spacing w:line="360" w:lineRule="exact"/>
              <w:jc w:val="center"/>
              <w:rPr>
                <w:rFonts w:ascii="黑体" w:hAnsi="黑体" w:eastAsia="黑体" w:cs="黑体"/>
                <w:sz w:val="24"/>
                <w:szCs w:val="24"/>
                <w:lang w:eastAsia="zh-Hans"/>
              </w:rPr>
            </w:pPr>
            <w:r>
              <w:rPr>
                <w:rFonts w:hint="eastAsia" w:ascii="黑体" w:hAnsi="黑体" w:eastAsia="黑体" w:cs="黑体"/>
                <w:sz w:val="24"/>
                <w:szCs w:val="24"/>
                <w:lang w:eastAsia="zh-CN"/>
              </w:rPr>
              <w:t>（二）建设环境质量改善先行区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8"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强化大气污染联防联控</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深化“通武廊”区域大气污染防治联防联控，完善秋冬季长时间大范围污染过程区域联动减排机制，加强空气重污染期间大气状况预判，联动应对中重度污染天气，在重污染天气预警、重点时期和重大活动期间，积极落实各项应急响应机制，联合做好空气质量保障工作。</w:t>
            </w:r>
          </w:p>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持续推动廊坊市北三县全域按照北京市扬尘污染防控相关政策标准开展精细化管控。</w:t>
            </w:r>
          </w:p>
        </w:tc>
        <w:tc>
          <w:tcPr>
            <w:tcW w:w="964" w:type="dxa"/>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kern w:val="2"/>
                <w:sz w:val="24"/>
                <w:szCs w:val="24"/>
                <w:lang w:val="en-US" w:eastAsia="zh-Hans"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spacing w:line="360" w:lineRule="exact"/>
              <w:jc w:val="center"/>
              <w:rPr>
                <w:rFonts w:hint="eastAsia" w:ascii="仿宋_GB2312" w:hAnsi="仿宋_GB2312" w:eastAsia="仿宋_GB2312" w:cs="仿宋_GB2312"/>
                <w:color w:val="auto"/>
                <w:kern w:val="2"/>
                <w:sz w:val="24"/>
                <w:szCs w:val="24"/>
                <w:vertAlign w:val="baseline"/>
                <w:lang w:val="en-US" w:eastAsia="zh-Hans" w:bidi="ar-SA"/>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sz w:val="24"/>
                <w:szCs w:val="24"/>
                <w:lang w:eastAsia="zh-CN"/>
              </w:rPr>
              <w:t>各街道乡镇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highlight w:val="none"/>
                <w:shd w:val="clear"/>
                <w:lang w:eastAsia="zh-CN"/>
              </w:rPr>
              <w:t>配合市级部门开展环保绩效创A行动。完</w:t>
            </w:r>
            <w:r>
              <w:rPr>
                <w:rFonts w:hint="eastAsia" w:ascii="仿宋_GB2312" w:hAnsi="仿宋_GB2312" w:eastAsia="仿宋_GB2312" w:cs="仿宋_GB2312"/>
                <w:sz w:val="24"/>
                <w:szCs w:val="24"/>
                <w:lang w:eastAsia="zh-CN"/>
              </w:rPr>
              <w:t>善重点行业企业空气重污染绩效分级管理，更新完善应急减排清单，按照绩效分级实施差异化减排措施。</w:t>
            </w:r>
          </w:p>
        </w:tc>
        <w:tc>
          <w:tcPr>
            <w:tcW w:w="964" w:type="dxa"/>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吴孔安</w:t>
            </w:r>
          </w:p>
          <w:p>
            <w:pPr>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韩</w:t>
            </w:r>
            <w:r>
              <w:rPr>
                <w:rFonts w:hint="eastAsia" w:ascii="仿宋_GB2312" w:hAnsi="仿宋_GB2312" w:eastAsia="仿宋_GB2312" w:cs="仿宋_GB2312"/>
                <w:color w:val="auto"/>
                <w:sz w:val="24"/>
                <w:szCs w:val="24"/>
                <w:vertAlign w:val="baseline"/>
                <w:lang w:val="en-US" w:eastAsia="zh-CN"/>
              </w:rPr>
              <w:t xml:space="preserve">  </w:t>
            </w:r>
            <w:r>
              <w:rPr>
                <w:rFonts w:hint="eastAsia" w:ascii="仿宋_GB2312" w:hAnsi="仿宋_GB2312" w:eastAsia="仿宋_GB2312" w:cs="仿宋_GB2312"/>
                <w:color w:val="auto"/>
                <w:sz w:val="24"/>
                <w:szCs w:val="24"/>
                <w:vertAlign w:val="baseline"/>
                <w:lang w:eastAsia="zh-CN"/>
              </w:rPr>
              <w:t>松</w:t>
            </w:r>
          </w:p>
          <w:p>
            <w:pPr>
              <w:spacing w:line="360" w:lineRule="exact"/>
              <w:jc w:val="center"/>
              <w:rPr>
                <w:rFonts w:hint="eastAsia"/>
                <w:sz w:val="24"/>
                <w:szCs w:val="24"/>
                <w:lang w:eastAsia="zh-CN"/>
              </w:rPr>
            </w:pPr>
            <w:r>
              <w:rPr>
                <w:rFonts w:hint="eastAsia" w:ascii="仿宋_GB2312" w:hAnsi="仿宋_GB2312" w:eastAsia="仿宋_GB2312" w:cs="仿宋_GB2312"/>
                <w:color w:val="auto"/>
                <w:sz w:val="24"/>
                <w:szCs w:val="24"/>
                <w:vertAlign w:val="baseline"/>
                <w:lang w:eastAsia="zh-CN"/>
              </w:rPr>
              <w:t>姚伟龙</w:t>
            </w:r>
          </w:p>
          <w:p>
            <w:pPr>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区生态环境局</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区经济和信息化局</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区住房城乡建设委</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区交通委</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区委宣传部</w:t>
            </w:r>
          </w:p>
        </w:tc>
        <w:tc>
          <w:tcPr>
            <w:tcW w:w="2835" w:type="dxa"/>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区空气重污染应急指挥部成员单位</w:t>
            </w:r>
          </w:p>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各街道乡镇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强化大气污染联防联控</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严格秸秆露天焚烧监管，综合利用率稳定保持在99%以上。严格露天焚烧监管，整治“三烧”问题，并配合市级部门探索推进区域秸秆焚烧管控协同。</w:t>
            </w:r>
          </w:p>
        </w:tc>
        <w:tc>
          <w:tcPr>
            <w:tcW w:w="964" w:type="dxa"/>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姚伟龙</w:t>
            </w:r>
          </w:p>
          <w:p>
            <w:pPr>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区农业农村局</w:t>
            </w:r>
          </w:p>
          <w:p>
            <w:pPr>
              <w:snapToGrid w:val="0"/>
              <w:spacing w:line="360" w:lineRule="exact"/>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区城市管理委</w:t>
            </w:r>
          </w:p>
          <w:p>
            <w:pPr>
              <w:snapToGrid w:val="0"/>
              <w:spacing w:line="360" w:lineRule="exact"/>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区城管执法局</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区生态环境局</w:t>
            </w:r>
          </w:p>
        </w:tc>
        <w:tc>
          <w:tcPr>
            <w:tcW w:w="2835" w:type="dxa"/>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各街道乡镇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空气污染过程应对，重点用车单位、施工工地在空气污染应对期间使用新能源或国六排放标准车辆（特种车辆、危化品车辆等除外），使用新能源或国四排放标准非道路移动机械（紧急检修作业机械除外）。鼓励签订用车（械）合同时优先选择新能源车或国六排放标准车、新能源或国四排放标准非道路移动机械。</w:t>
            </w:r>
          </w:p>
        </w:tc>
        <w:tc>
          <w:tcPr>
            <w:tcW w:w="964" w:type="dxa"/>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spacing w:line="360" w:lineRule="exact"/>
              <w:jc w:val="center"/>
              <w:rPr>
                <w:rFonts w:hint="eastAsia"/>
                <w:sz w:val="24"/>
                <w:szCs w:val="24"/>
                <w:lang w:eastAsia="zh-CN"/>
              </w:rPr>
            </w:pPr>
            <w:r>
              <w:rPr>
                <w:rFonts w:hint="eastAsia" w:ascii="仿宋_GB2312" w:hAnsi="仿宋_GB2312" w:eastAsia="仿宋_GB2312" w:cs="仿宋_GB2312"/>
                <w:color w:val="auto"/>
                <w:sz w:val="24"/>
                <w:szCs w:val="24"/>
                <w:vertAlign w:val="baseline"/>
                <w:lang w:eastAsia="zh-CN"/>
              </w:rPr>
              <w:t>吴孔安韩</w:t>
            </w:r>
            <w:r>
              <w:rPr>
                <w:rFonts w:hint="eastAsia" w:ascii="仿宋_GB2312" w:hAnsi="仿宋_GB2312" w:eastAsia="仿宋_GB2312" w:cs="仿宋_GB2312"/>
                <w:color w:val="auto"/>
                <w:sz w:val="24"/>
                <w:szCs w:val="24"/>
                <w:vertAlign w:val="baseline"/>
                <w:lang w:val="en-US" w:eastAsia="zh-CN"/>
              </w:rPr>
              <w:t xml:space="preserve">  </w:t>
            </w:r>
            <w:r>
              <w:rPr>
                <w:rFonts w:hint="eastAsia" w:ascii="仿宋_GB2312" w:hAnsi="仿宋_GB2312" w:eastAsia="仿宋_GB2312" w:cs="仿宋_GB2312"/>
                <w:color w:val="auto"/>
                <w:sz w:val="24"/>
                <w:szCs w:val="24"/>
                <w:vertAlign w:val="baseline"/>
                <w:lang w:eastAsia="zh-CN"/>
              </w:rPr>
              <w:t>松</w:t>
            </w:r>
          </w:p>
          <w:p>
            <w:pPr>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林正航</w:t>
            </w:r>
          </w:p>
          <w:p>
            <w:pPr>
              <w:spacing w:line="360" w:lineRule="exact"/>
              <w:jc w:val="center"/>
              <w:rPr>
                <w:rFonts w:hint="eastAsia"/>
                <w:sz w:val="24"/>
                <w:szCs w:val="24"/>
                <w:lang w:eastAsia="zh-CN"/>
              </w:rPr>
            </w:pPr>
            <w:r>
              <w:rPr>
                <w:rFonts w:hint="eastAsia" w:ascii="仿宋_GB2312" w:hAnsi="仿宋_GB2312" w:eastAsia="仿宋_GB2312" w:cs="仿宋_GB2312"/>
                <w:color w:val="auto"/>
                <w:sz w:val="24"/>
                <w:szCs w:val="24"/>
                <w:vertAlign w:val="baseline"/>
                <w:lang w:eastAsia="zh-CN"/>
              </w:rPr>
              <w:t>姚伟龙</w:t>
            </w:r>
          </w:p>
          <w:p>
            <w:pPr>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区经济和信息化局</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区住房城乡建设委</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区城市管理委</w:t>
            </w:r>
          </w:p>
          <w:p>
            <w:pPr>
              <w:snapToGrid w:val="0"/>
              <w:spacing w:line="360" w:lineRule="exact"/>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区城管执法局</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区交通委</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区水务局</w:t>
            </w:r>
          </w:p>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区园林绿化局</w:t>
            </w:r>
          </w:p>
        </w:tc>
        <w:tc>
          <w:tcPr>
            <w:tcW w:w="2835" w:type="dxa"/>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区空气重污染应急指挥部成员单位</w:t>
            </w:r>
          </w:p>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各街道乡镇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1191"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强化水环境联保共治</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加强上下游协作共治。落实好河湖长工作机制,加强北运河、潮白河流域污染治理；加大对交界区域重点流域涉水环境问题联合执法力度及河流水生态修复、入河排污口监管、园区和涉水企业的监测监管力度；开展排污口规范化整治和溯源工作，加大执法检查力度，严查涉水违法行为，推进跨界断面水质持续向好。</w:t>
            </w:r>
            <w:r>
              <w:rPr>
                <w:rFonts w:hint="eastAsia" w:ascii="仿宋_GB2312" w:hAnsi="仿宋_GB2312" w:eastAsia="仿宋_GB2312" w:cs="仿宋_GB2312"/>
                <w:sz w:val="24"/>
                <w:szCs w:val="24"/>
                <w:highlight w:val="none"/>
                <w:lang w:eastAsia="zh-CN"/>
              </w:rPr>
              <w:t>并积极配合市级部门开展流域横向生态保护补偿工作。</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李先侠</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区水务局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区财政局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区发改委</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相关街道乡镇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深化土壤污染管控</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kern w:val="2"/>
                <w:sz w:val="24"/>
                <w:szCs w:val="24"/>
                <w:highlight w:val="none"/>
                <w:lang w:val="en-US" w:eastAsia="zh-CN" w:bidi="ar-SA"/>
              </w:rPr>
              <w:t>配合市级部门促进危险废物资源化利用，探索“点对点”定向利用试点。</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相关街道乡镇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持续完善北京城市副中心土壤污染防治体系。加强原东方化工厂地块绿色防控，探索“自然恢复+人工修复”实现路径。</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姚伟龙</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市规划自然资源委通州分局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相关街道乡镇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968" w:type="dxa"/>
            <w:gridSpan w:val="7"/>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黑体" w:hAnsi="黑体" w:eastAsia="黑体" w:cs="黑体"/>
                <w:sz w:val="24"/>
                <w:szCs w:val="24"/>
                <w:lang w:eastAsia="zh-CN"/>
              </w:rPr>
              <w:t>（三）建设生态保护修复先行区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12</w:t>
            </w:r>
          </w:p>
        </w:tc>
        <w:tc>
          <w:tcPr>
            <w:tcW w:w="1191" w:type="dxa"/>
            <w:tcBorders>
              <w:tl2br w:val="nil"/>
              <w:tr2bl w:val="nil"/>
            </w:tcBorders>
            <w:noWrap w:val="0"/>
            <w:vAlign w:val="center"/>
          </w:tcPr>
          <w:p>
            <w:pPr>
              <w:snapToGrid w:val="0"/>
              <w:spacing w:line="240" w:lineRule="auto"/>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eastAsia="zh-CN"/>
              </w:rPr>
              <w:t>共筑区域绿色生态屏障</w:t>
            </w:r>
          </w:p>
        </w:tc>
        <w:tc>
          <w:tcPr>
            <w:tcW w:w="5669" w:type="dxa"/>
            <w:tcBorders>
              <w:tl2br w:val="nil"/>
              <w:tr2bl w:val="nil"/>
            </w:tcBorders>
            <w:noWrap w:val="0"/>
            <w:vAlign w:val="center"/>
          </w:tcPr>
          <w:p>
            <w:pPr>
              <w:snapToGrid w:val="0"/>
              <w:spacing w:line="240" w:lineRule="auto"/>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eastAsia="zh-CN"/>
              </w:rPr>
              <w:t>深入实施“三北”六期重点工程，开展潮白河流域中下游生态综合治理工程和退化林修复工程。</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林正航</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区园林绿化局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highlight w:val="none"/>
                <w:vertAlign w:val="baseline"/>
                <w:lang w:eastAsia="zh-CN"/>
              </w:rPr>
              <w:t>区水务局</w:t>
            </w:r>
          </w:p>
        </w:tc>
        <w:tc>
          <w:tcPr>
            <w:tcW w:w="2835" w:type="dxa"/>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color w:val="auto"/>
                <w:sz w:val="24"/>
                <w:szCs w:val="24"/>
                <w:vertAlign w:val="baseline"/>
                <w:lang w:eastAsia="zh-CN"/>
              </w:rPr>
              <w:t>相关街道乡镇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968" w:type="dxa"/>
            <w:gridSpan w:val="7"/>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黑体" w:hAnsi="黑体" w:eastAsia="黑体" w:cs="黑体"/>
                <w:sz w:val="24"/>
                <w:szCs w:val="24"/>
                <w:lang w:eastAsia="zh-CN"/>
              </w:rPr>
              <w:t>（四）建设生态安全保障先行区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强化生态安全保障</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提升极端天气气候事件监测预警能力，强化应急预案和部门联动工作机制，区域协同做好极端天气事件的信息共享和过程应对。</w:t>
            </w:r>
          </w:p>
          <w:p>
            <w:pPr>
              <w:snapToGrid w:val="0"/>
              <w:spacing w:line="360" w:lineRule="exact"/>
              <w:rPr>
                <w:rFonts w:hint="eastAsia" w:ascii="仿宋_GB2312" w:hAnsi="仿宋_GB2312" w:eastAsia="仿宋_GB2312" w:cs="仿宋_GB2312"/>
                <w:sz w:val="24"/>
                <w:szCs w:val="24"/>
                <w:highlight w:val="yellow"/>
                <w:lang w:eastAsia="zh-CN"/>
              </w:rPr>
            </w:pPr>
            <w:r>
              <w:rPr>
                <w:rFonts w:hint="eastAsia" w:ascii="仿宋_GB2312" w:hAnsi="仿宋_GB2312" w:eastAsia="仿宋_GB2312" w:cs="仿宋_GB2312"/>
                <w:sz w:val="24"/>
                <w:szCs w:val="24"/>
                <w:highlight w:val="none"/>
                <w:lang w:eastAsia="zh-CN"/>
              </w:rPr>
              <w:t>针对可能对对通州和廊坊市北三县产生影响的环境应急事件，及时通报，研判决定是否启动应急预案，采取应对措施，降低或消除环境污染。</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姚伟龙</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区气象局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区应急局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区水务局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市规划自然资源委通州分局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区城市管理委</w:t>
            </w:r>
          </w:p>
          <w:p>
            <w:pPr>
              <w:jc w:val="center"/>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color w:val="auto"/>
                <w:sz w:val="24"/>
                <w:szCs w:val="24"/>
                <w:highlight w:val="none"/>
                <w:vertAlign w:val="baseline"/>
                <w:lang w:eastAsia="zh-CN"/>
              </w:rPr>
              <w:t>区城管执法局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highlight w:val="yellow"/>
                <w:lang w:eastAsia="zh-CN"/>
              </w:rPr>
            </w:pPr>
            <w:r>
              <w:rPr>
                <w:rFonts w:hint="eastAsia" w:ascii="仿宋_GB2312" w:hAnsi="仿宋_GB2312" w:eastAsia="仿宋_GB2312" w:cs="仿宋_GB2312"/>
                <w:sz w:val="24"/>
                <w:szCs w:val="24"/>
                <w:highlight w:val="none"/>
                <w:lang w:eastAsia="zh-CN"/>
              </w:rPr>
              <w:t>配合市级有关部门完善潮白河、北运河等主要河流重点防洪工程，加强上下游协同。</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区水务局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相关街道乡镇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1191"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强化生态安全保障</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highlight w:val="none"/>
                <w:lang w:eastAsia="zh-CN"/>
              </w:rPr>
              <w:t>深入实施适应气候变化行动。深化气候适应型城市试点建设。</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李先侠</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各相关单位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5"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完善环境风险应急体系</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持续深化流域上下游突发水污染事件联防联控，落实《北京市通州区 天津市武清区 河北省廊坊市跨省流域上下游突发水污染事件联防联控合作协议》、《北京市通州区生态环境局 廊坊市生态环境局三河市分局突发水污染事件联防联控机制合作协议》，协同治理水污染、保护水环境，并配合市级机构联合开展环境风险隐患排查和突发环境事件协同应急演练。</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区水务局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1"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健全完善跨区域辐射事故协同处置和应急支援工作，配合市级部门开展区域辐射应急演练。</w:t>
            </w:r>
            <w:r>
              <w:rPr>
                <w:rFonts w:hint="eastAsia" w:ascii="仿宋_GB2312" w:hAnsi="仿宋_GB2312" w:eastAsia="仿宋_GB2312" w:cs="仿宋_GB2312"/>
                <w:sz w:val="24"/>
                <w:szCs w:val="24"/>
                <w:highlight w:val="none"/>
                <w:lang w:eastAsia="zh-CN"/>
              </w:rPr>
              <w:t>落实市级部门关于京津冀重大活动期间核与辐射安全联合保障、辐射事故应急处置救援及废旧金属夹带放射性物质跨区域协同处置方案、辐射安全技术保障协同发展合作协议，提升辐射安全保障能力。</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kern w:val="2"/>
                <w:sz w:val="24"/>
                <w:szCs w:val="24"/>
                <w:vertAlign w:val="baseli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968" w:type="dxa"/>
            <w:gridSpan w:val="7"/>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黑体" w:hAnsi="黑体" w:eastAsia="黑体" w:cs="黑体"/>
                <w:sz w:val="24"/>
                <w:szCs w:val="24"/>
                <w:lang w:eastAsia="zh-CN"/>
              </w:rPr>
              <w:t>（五）建设美丽样板实践先行区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5"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18</w:t>
            </w:r>
          </w:p>
        </w:tc>
        <w:tc>
          <w:tcPr>
            <w:tcW w:w="1191"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打造绿色发展协作新模式</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北京城市副中心大力发展可再生能源和余热利用。建设国家绿色技术交易中心，打造绿色金融和可持续金融中心，</w:t>
            </w:r>
            <w:r>
              <w:rPr>
                <w:rFonts w:hint="eastAsia" w:ascii="仿宋_GB2312" w:hAnsi="仿宋_GB2312" w:eastAsia="仿宋_GB2312" w:cs="仿宋_GB2312"/>
                <w:sz w:val="24"/>
                <w:szCs w:val="24"/>
                <w:highlight w:val="none"/>
                <w:lang w:eastAsia="zh-CN"/>
              </w:rPr>
              <w:t>加快推进气候投融资试点建设。</w:t>
            </w:r>
          </w:p>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highlight w:val="none"/>
                <w:lang w:eastAsia="zh-CN"/>
              </w:rPr>
              <w:t>打造“通武廊”产业创新发展先行区，推动廊坊北三县与北京城市副中心一体化发展，加强交界地区空间管控。</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李先侠</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区发展改革委</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北京绿色交易所</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相关街道乡镇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5"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w:t>
            </w:r>
          </w:p>
        </w:tc>
        <w:tc>
          <w:tcPr>
            <w:tcW w:w="1191"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打造美丽城市样板</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highlight w:val="none"/>
                <w:lang w:eastAsia="zh-CN"/>
              </w:rPr>
              <w:t>落实美丽城市建设实施方案等要求，结合功能定位、辖区特点等，以绿色低碳、环境优美、生态宜居、安全健康、智慧高效为导向，研究谋划“十五五”时期重点任务措施，梯次推进美丽城市建设。</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李先侠</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吴孔安</w:t>
            </w:r>
          </w:p>
          <w:p>
            <w:pPr>
              <w:jc w:val="center"/>
              <w:rPr>
                <w:rFonts w:hint="eastAsia"/>
                <w:sz w:val="24"/>
                <w:szCs w:val="24"/>
                <w:lang w:eastAsia="zh-CN"/>
              </w:rPr>
            </w:pPr>
            <w:r>
              <w:rPr>
                <w:rFonts w:hint="eastAsia" w:ascii="仿宋_GB2312" w:hAnsi="仿宋_GB2312" w:eastAsia="仿宋_GB2312" w:cs="仿宋_GB2312"/>
                <w:color w:val="auto"/>
                <w:sz w:val="24"/>
                <w:szCs w:val="24"/>
                <w:vertAlign w:val="baseline"/>
                <w:lang w:eastAsia="zh-CN"/>
              </w:rPr>
              <w:t>韩</w:t>
            </w:r>
            <w:r>
              <w:rPr>
                <w:rFonts w:hint="eastAsia" w:ascii="仿宋_GB2312" w:hAnsi="仿宋_GB2312" w:eastAsia="仿宋_GB2312" w:cs="仿宋_GB2312"/>
                <w:color w:val="auto"/>
                <w:sz w:val="24"/>
                <w:szCs w:val="24"/>
                <w:vertAlign w:val="baseline"/>
                <w:lang w:val="en-US" w:eastAsia="zh-CN"/>
              </w:rPr>
              <w:t xml:space="preserve">  </w:t>
            </w:r>
            <w:r>
              <w:rPr>
                <w:rFonts w:hint="eastAsia" w:ascii="仿宋_GB2312" w:hAnsi="仿宋_GB2312" w:eastAsia="仿宋_GB2312" w:cs="仿宋_GB2312"/>
                <w:color w:val="auto"/>
                <w:sz w:val="24"/>
                <w:szCs w:val="24"/>
                <w:vertAlign w:val="baseline"/>
                <w:lang w:eastAsia="zh-CN"/>
              </w:rPr>
              <w:t>松</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林正航姚伟龙邹海涛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区发展改革委</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区经济信息化局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区财政局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市规划自然资源委通州分局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区住房城乡建设委</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区交通委</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区文化和旅游局</w:t>
            </w:r>
          </w:p>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区金融办</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建设美丽乡村</w:t>
            </w:r>
          </w:p>
        </w:tc>
        <w:tc>
          <w:tcPr>
            <w:tcW w:w="5669" w:type="dxa"/>
            <w:tcBorders>
              <w:tl2br w:val="nil"/>
              <w:tr2bl w:val="nil"/>
            </w:tcBorders>
            <w:noWrap w:val="0"/>
            <w:vAlign w:val="center"/>
          </w:tcPr>
          <w:p>
            <w:pPr>
              <w:keepNext w:val="0"/>
              <w:keepLines w:val="0"/>
              <w:pageBreakBefore w:val="0"/>
              <w:widowControl/>
              <w:kinsoku/>
              <w:wordWrap/>
              <w:overflowPunct/>
              <w:topLinePunct w:val="0"/>
              <w:autoSpaceDE/>
              <w:autoSpaceDN/>
              <w:bidi w:val="0"/>
              <w:snapToGrid w:val="0"/>
              <w:spacing w:line="300" w:lineRule="exact"/>
              <w:jc w:val="lef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Cs/>
                <w:kern w:val="0"/>
                <w:sz w:val="24"/>
                <w:szCs w:val="24"/>
                <w:highlight w:val="none"/>
              </w:rPr>
              <w:t>深入推进农村环境整治。</w:t>
            </w:r>
            <w:r>
              <w:rPr>
                <w:rFonts w:hint="eastAsia" w:ascii="仿宋_GB2312" w:hAnsi="仿宋_GB2312" w:eastAsia="仿宋_GB2312" w:cs="仿宋_GB2312"/>
                <w:bCs/>
                <w:kern w:val="0"/>
                <w:sz w:val="24"/>
                <w:szCs w:val="24"/>
                <w:highlight w:val="none"/>
                <w:lang w:val="en-US" w:eastAsia="zh-CN"/>
              </w:rPr>
              <w:t>涉农乡镇</w:t>
            </w:r>
            <w:r>
              <w:rPr>
                <w:rFonts w:hint="eastAsia" w:ascii="仿宋_GB2312" w:hAnsi="仿宋_GB2312" w:eastAsia="仿宋_GB2312" w:cs="仿宋_GB2312"/>
                <w:bCs/>
                <w:kern w:val="0"/>
                <w:sz w:val="24"/>
                <w:szCs w:val="24"/>
                <w:highlight w:val="none"/>
              </w:rPr>
              <w:t>完成农村环境整治任务，持续巩固整治成效，实现</w:t>
            </w:r>
            <w:r>
              <w:rPr>
                <w:rFonts w:hint="eastAsia" w:ascii="仿宋_GB2312" w:hAnsi="仿宋_GB2312" w:eastAsia="仿宋_GB2312" w:cs="仿宋_GB2312"/>
                <w:bCs/>
                <w:kern w:val="0"/>
                <w:sz w:val="24"/>
                <w:szCs w:val="24"/>
                <w:highlight w:val="none"/>
                <w:lang w:val="en-US" w:eastAsia="zh-CN"/>
              </w:rPr>
              <w:t>基本看不到“脏乱差”、基本闻不到臭味、基本听不到村民怨言。</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textAlignment w:val="auto"/>
              <w:outlineLvl w:val="9"/>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sz w:val="24"/>
                <w:szCs w:val="24"/>
                <w:highlight w:val="none"/>
              </w:rPr>
              <w:t>年底前</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林正航</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姚伟龙</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kern w:val="0"/>
                <w:sz w:val="24"/>
                <w:szCs w:val="24"/>
                <w:highlight w:val="none"/>
                <w:lang w:eastAsia="zh-CN"/>
              </w:rPr>
              <w:t>邹海涛</w:t>
            </w:r>
          </w:p>
        </w:tc>
        <w:tc>
          <w:tcPr>
            <w:tcW w:w="2835" w:type="dxa"/>
            <w:tcBorders>
              <w:tl2br w:val="nil"/>
              <w:tr2bl w:val="nil"/>
            </w:tcBorders>
            <w:noWrap w:val="0"/>
            <w:vAlign w:val="center"/>
          </w:tcPr>
          <w:p>
            <w:pPr>
              <w:pStyle w:val="5"/>
              <w:spacing w:line="32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区生态环境局</w:t>
            </w:r>
          </w:p>
          <w:p>
            <w:pPr>
              <w:pStyle w:val="5"/>
              <w:spacing w:line="32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区水务局</w:t>
            </w:r>
          </w:p>
          <w:p>
            <w:pPr>
              <w:pStyle w:val="5"/>
              <w:spacing w:line="32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区农业农村局</w:t>
            </w:r>
          </w:p>
          <w:p>
            <w:pPr>
              <w:snapToGrid w:val="0"/>
              <w:spacing w:line="360" w:lineRule="exact"/>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区城市管理委</w:t>
            </w:r>
          </w:p>
          <w:p>
            <w:pPr>
              <w:snapToGrid w:val="0"/>
              <w:spacing w:line="360" w:lineRule="exact"/>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sz w:val="24"/>
                <w:szCs w:val="24"/>
                <w:highlight w:val="none"/>
                <w:lang w:eastAsia="zh-CN"/>
              </w:rPr>
              <w:t>区城管执法局</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sz w:val="24"/>
                <w:szCs w:val="24"/>
                <w:highlight w:val="none"/>
                <w:lang w:eastAsia="zh-CN"/>
              </w:rPr>
              <w:t>相关乡镇政府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21</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keepNext w:val="0"/>
              <w:keepLines w:val="0"/>
              <w:pageBreakBefore w:val="0"/>
              <w:widowControl/>
              <w:suppressLineNumbers w:val="0"/>
              <w:kinsoku/>
              <w:wordWrap/>
              <w:overflowPunct/>
              <w:topLinePunct w:val="0"/>
              <w:autoSpaceDE/>
              <w:autoSpaceDN/>
              <w:bidi w:val="0"/>
              <w:spacing w:line="300" w:lineRule="exact"/>
              <w:jc w:val="left"/>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color w:val="auto"/>
                <w:kern w:val="2"/>
                <w:sz w:val="24"/>
                <w:szCs w:val="24"/>
                <w:highlight w:val="none"/>
                <w:u w:val="none"/>
                <w:lang w:val="en-US" w:eastAsia="zh-CN" w:bidi="ar-SA"/>
              </w:rPr>
              <w:t>强化农村黑臭水体治理。落实《北京市农村黑臭水体治理工作方案》，动态更新清单，实现农村黑臭水体动态销账。</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textAlignment w:val="auto"/>
              <w:outlineLvl w:val="9"/>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sz w:val="24"/>
                <w:szCs w:val="24"/>
                <w:highlight w:val="none"/>
                <w:lang w:val="en-US" w:eastAsia="zh-CN"/>
              </w:rPr>
              <w:t>年底前</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姚伟龙</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kern w:val="0"/>
                <w:sz w:val="24"/>
                <w:szCs w:val="24"/>
                <w:highlight w:val="none"/>
                <w:lang w:eastAsia="zh-CN"/>
              </w:rPr>
              <w:t>邹海涛</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区</w:t>
            </w:r>
            <w:r>
              <w:rPr>
                <w:rFonts w:hint="eastAsia" w:ascii="仿宋_GB2312" w:hAnsi="仿宋_GB2312" w:eastAsia="仿宋_GB2312" w:cs="仿宋_GB2312"/>
                <w:sz w:val="24"/>
                <w:szCs w:val="24"/>
                <w:highlight w:val="none"/>
              </w:rPr>
              <w:t>生态环境局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区</w:t>
            </w:r>
            <w:r>
              <w:rPr>
                <w:rFonts w:hint="eastAsia" w:ascii="仿宋_GB2312" w:hAnsi="仿宋_GB2312" w:eastAsia="仿宋_GB2312" w:cs="仿宋_GB2312"/>
                <w:sz w:val="24"/>
                <w:szCs w:val="24"/>
                <w:highlight w:val="none"/>
              </w:rPr>
              <w:t>水务局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区</w:t>
            </w:r>
            <w:r>
              <w:rPr>
                <w:rFonts w:hint="eastAsia" w:ascii="仿宋_GB2312" w:hAnsi="仿宋_GB2312" w:eastAsia="仿宋_GB2312" w:cs="仿宋_GB2312"/>
                <w:sz w:val="24"/>
                <w:szCs w:val="24"/>
                <w:highlight w:val="none"/>
              </w:rPr>
              <w:t>农业农村局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区</w:t>
            </w:r>
            <w:r>
              <w:rPr>
                <w:rFonts w:hint="eastAsia" w:ascii="仿宋_GB2312" w:hAnsi="仿宋_GB2312" w:eastAsia="仿宋_GB2312" w:cs="仿宋_GB2312"/>
                <w:sz w:val="24"/>
                <w:szCs w:val="24"/>
                <w:highlight w:val="none"/>
              </w:rPr>
              <w:t>城市管理委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sz w:val="24"/>
                <w:szCs w:val="24"/>
                <w:highlight w:val="none"/>
                <w:lang w:eastAsia="zh-CN"/>
              </w:rPr>
              <w:t>区城管执法局</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sz w:val="24"/>
                <w:szCs w:val="24"/>
                <w:highlight w:val="none"/>
                <w:lang w:eastAsia="zh-CN"/>
              </w:rPr>
              <w:t>相关乡镇政府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1"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22</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pStyle w:val="3"/>
              <w:keepNext w:val="0"/>
              <w:keepLines w:val="0"/>
              <w:pageBreakBefore w:val="0"/>
              <w:kinsoku/>
              <w:wordWrap/>
              <w:overflowPunct/>
              <w:topLinePunct w:val="0"/>
              <w:autoSpaceDE/>
              <w:autoSpaceDN/>
              <w:bidi w:val="0"/>
              <w:spacing w:after="0" w:line="300" w:lineRule="exact"/>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bCs/>
                <w:kern w:val="0"/>
                <w:sz w:val="24"/>
                <w:szCs w:val="24"/>
                <w:highlight w:val="none"/>
                <w:lang w:val="en-US" w:eastAsia="zh-CN" w:bidi="ar-SA"/>
              </w:rPr>
              <w:t>落实市级制定印发的《北京市美丽乡村巩固提升目标指引》，进一步夯实农业农村现代化的生态环境基础。</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textAlignment w:val="auto"/>
              <w:outlineLvl w:val="9"/>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color w:val="auto"/>
                <w:kern w:val="2"/>
                <w:sz w:val="24"/>
                <w:szCs w:val="24"/>
                <w:highlight w:val="none"/>
                <w:lang w:val="en-US" w:eastAsia="zh-CN" w:bidi="ar-SA"/>
              </w:rPr>
              <w:t>年底前</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李先侠</w:t>
            </w:r>
          </w:p>
          <w:p>
            <w:pPr>
              <w:keepNext w:val="0"/>
              <w:keepLines w:val="0"/>
              <w:pageBreakBefore w:val="0"/>
              <w:kinsoku/>
              <w:wordWrap/>
              <w:overflowPunct/>
              <w:topLinePunct w:val="0"/>
              <w:autoSpaceDE/>
              <w:autoSpaceDN/>
              <w:bidi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林正航</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姚伟龙</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邹海涛</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区生态环境局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区农业农村局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区发展改革委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区财政局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市规划自然资源委</w:t>
            </w:r>
          </w:p>
          <w:p>
            <w:pPr>
              <w:pStyle w:val="2"/>
              <w:keepNext w:val="0"/>
              <w:keepLines w:val="0"/>
              <w:pageBreakBefore w:val="0"/>
              <w:kinsoku/>
              <w:wordWrap/>
              <w:overflowPunct/>
              <w:topLinePunct w:val="0"/>
              <w:autoSpaceDE/>
              <w:autoSpaceDN/>
              <w:bidi w:val="0"/>
              <w:ind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highlight w:val="none"/>
                <w:lang w:val="en-US" w:eastAsia="zh-CN" w:bidi="ar-SA"/>
              </w:rPr>
              <w:t>通州分局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区住房城乡建设委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区城市管理委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区水务局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区市场监管局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kern w:val="2"/>
                <w:sz w:val="24"/>
                <w:szCs w:val="24"/>
                <w:highlight w:val="none"/>
                <w:lang w:val="en-US" w:eastAsia="zh-CN" w:bidi="ar-SA"/>
              </w:rPr>
              <w:t>区园林绿化局</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ind w:firstLine="0" w:firstLineChars="0"/>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相关乡镇政府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23</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建设美丽乡村</w:t>
            </w:r>
          </w:p>
        </w:tc>
        <w:tc>
          <w:tcPr>
            <w:tcW w:w="5669" w:type="dxa"/>
            <w:tcBorders>
              <w:tl2br w:val="nil"/>
              <w:tr2bl w:val="nil"/>
            </w:tcBorders>
            <w:noWrap w:val="0"/>
            <w:vAlign w:val="center"/>
          </w:tcPr>
          <w:p>
            <w:pPr>
              <w:pStyle w:val="3"/>
              <w:keepNext w:val="0"/>
              <w:keepLines w:val="0"/>
              <w:pageBreakBefore w:val="0"/>
              <w:kinsoku/>
              <w:wordWrap/>
              <w:overflowPunct/>
              <w:topLinePunct w:val="0"/>
              <w:autoSpaceDE/>
              <w:autoSpaceDN/>
              <w:bidi w:val="0"/>
              <w:spacing w:after="0" w:line="300" w:lineRule="exac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color w:val="auto"/>
                <w:kern w:val="2"/>
                <w:sz w:val="24"/>
                <w:szCs w:val="24"/>
                <w:highlight w:val="none"/>
                <w:u w:val="none"/>
                <w:lang w:val="en-US" w:eastAsia="zh-CN" w:bidi="ar-SA"/>
              </w:rPr>
              <w:t>片区化推进美丽乡村建设。配合市级部门在全市范围内优中选优，选择3个基础条件好、基层组织积极性高、群众意愿强的乡镇，开展美丽乡村先行先试应用场景的宣传推介。</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textAlignment w:val="auto"/>
              <w:outlineLvl w:val="9"/>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kern w:val="2"/>
                <w:sz w:val="24"/>
                <w:szCs w:val="24"/>
                <w:highlight w:val="none"/>
                <w:lang w:val="en-US" w:eastAsia="zh-CN" w:bidi="ar-SA"/>
              </w:rPr>
              <w:t>年底前</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李先侠</w:t>
            </w:r>
          </w:p>
          <w:p>
            <w:pPr>
              <w:keepNext w:val="0"/>
              <w:keepLines w:val="0"/>
              <w:pageBreakBefore w:val="0"/>
              <w:kinsoku/>
              <w:wordWrap/>
              <w:overflowPunct/>
              <w:topLinePunct w:val="0"/>
              <w:autoSpaceDE/>
              <w:autoSpaceDN/>
              <w:bidi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林正航</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姚伟龙</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kern w:val="0"/>
                <w:sz w:val="24"/>
                <w:szCs w:val="24"/>
                <w:highlight w:val="none"/>
                <w:lang w:eastAsia="zh-CN"/>
              </w:rPr>
              <w:t>邹海涛</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sz w:val="24"/>
                <w:szCs w:val="24"/>
                <w:highlight w:val="none"/>
                <w:lang w:eastAsia="zh-CN"/>
              </w:rPr>
              <w:t>相关乡镇政府</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区生态环境局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区农业农村局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区发展改革委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区财政局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市规划自然资源委</w:t>
            </w:r>
          </w:p>
          <w:p>
            <w:pPr>
              <w:pStyle w:val="2"/>
              <w:keepNext w:val="0"/>
              <w:keepLines w:val="0"/>
              <w:pageBreakBefore w:val="0"/>
              <w:kinsoku/>
              <w:wordWrap/>
              <w:overflowPunct/>
              <w:topLinePunct w:val="0"/>
              <w:autoSpaceDE/>
              <w:autoSpaceDN/>
              <w:bidi w:val="0"/>
              <w:ind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highlight w:val="none"/>
                <w:lang w:val="en-US" w:eastAsia="zh-CN" w:bidi="ar-SA"/>
              </w:rPr>
              <w:t>通州分局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区住房城乡建设委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区城市管理委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区水务局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区市场监管局</w:t>
            </w:r>
          </w:p>
          <w:p>
            <w:pPr>
              <w:keepNext w:val="0"/>
              <w:keepLines w:val="0"/>
              <w:pageBreakBefore w:val="0"/>
              <w:kinsoku/>
              <w:wordWrap/>
              <w:overflowPunct/>
              <w:topLinePunct w:val="0"/>
              <w:autoSpaceDE/>
              <w:autoSpaceDN/>
              <w:bidi w:val="0"/>
              <w:ind w:firstLine="0" w:firstLineChars="0"/>
              <w:jc w:val="center"/>
              <w:textAlignment w:val="auto"/>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kern w:val="2"/>
                <w:sz w:val="24"/>
                <w:szCs w:val="24"/>
                <w:highlight w:val="none"/>
                <w:lang w:val="en-US" w:eastAsia="zh-CN" w:bidi="ar-SA"/>
              </w:rPr>
              <w:t>区园林绿化局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2"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24</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pStyle w:val="3"/>
              <w:keepNext w:val="0"/>
              <w:keepLines w:val="0"/>
              <w:pageBreakBefore w:val="0"/>
              <w:kinsoku/>
              <w:wordWrap/>
              <w:overflowPunct/>
              <w:topLinePunct w:val="0"/>
              <w:autoSpaceDE/>
              <w:autoSpaceDN/>
              <w:bidi w:val="0"/>
              <w:spacing w:after="0" w:line="300" w:lineRule="exac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color w:val="auto"/>
                <w:kern w:val="2"/>
                <w:sz w:val="24"/>
                <w:szCs w:val="24"/>
                <w:highlight w:val="none"/>
                <w:u w:val="none"/>
                <w:lang w:val="en-US" w:eastAsia="zh-CN" w:bidi="ar-SA"/>
              </w:rPr>
              <w:t>加强工作统筹谋划。9月底前，对照目标指引，结合工作实际，确定下一年度重点村庄补短板任务、整区推进建设任务和拟推介美丽乡村先行先试片区名单等。</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textAlignment w:val="auto"/>
              <w:outlineLvl w:val="9"/>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kern w:val="2"/>
                <w:sz w:val="24"/>
                <w:szCs w:val="24"/>
                <w:highlight w:val="none"/>
                <w:lang w:val="en-US" w:eastAsia="zh-CN" w:bidi="ar-SA"/>
              </w:rPr>
              <w:t>9月底</w:t>
            </w:r>
          </w:p>
        </w:tc>
        <w:tc>
          <w:tcPr>
            <w:tcW w:w="964"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李先侠</w:t>
            </w:r>
          </w:p>
          <w:p>
            <w:pPr>
              <w:keepNext w:val="0"/>
              <w:keepLines w:val="0"/>
              <w:pageBreakBefore w:val="0"/>
              <w:kinsoku/>
              <w:wordWrap/>
              <w:overflowPunct/>
              <w:topLinePunct w:val="0"/>
              <w:autoSpaceDE/>
              <w:autoSpaceDN/>
              <w:bidi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林正航</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姚伟龙</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kern w:val="0"/>
                <w:sz w:val="24"/>
                <w:szCs w:val="24"/>
                <w:highlight w:val="none"/>
                <w:lang w:eastAsia="zh-CN"/>
              </w:rPr>
              <w:t>邹海涛</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sz w:val="24"/>
                <w:szCs w:val="24"/>
                <w:highlight w:val="none"/>
                <w:lang w:eastAsia="zh-CN"/>
              </w:rPr>
              <w:t>相关乡镇政府</w:t>
            </w:r>
          </w:p>
        </w:tc>
        <w:tc>
          <w:tcPr>
            <w:tcW w:w="2835"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区生态环境局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区农业农村局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区发展改革委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区财政局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市规划自然资源委</w:t>
            </w:r>
          </w:p>
          <w:p>
            <w:pPr>
              <w:pStyle w:val="2"/>
              <w:keepNext w:val="0"/>
              <w:keepLines w:val="0"/>
              <w:pageBreakBefore w:val="0"/>
              <w:kinsoku/>
              <w:wordWrap/>
              <w:overflowPunct/>
              <w:topLinePunct w:val="0"/>
              <w:autoSpaceDE/>
              <w:autoSpaceDN/>
              <w:bidi w:val="0"/>
              <w:ind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2"/>
                <w:sz w:val="24"/>
                <w:szCs w:val="24"/>
                <w:highlight w:val="none"/>
                <w:lang w:val="en-US" w:eastAsia="zh-CN" w:bidi="ar-SA"/>
              </w:rPr>
              <w:t>通州分局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区住房城乡建设委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区城市管理委</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区水务局</w:t>
            </w:r>
          </w:p>
          <w:p>
            <w:pPr>
              <w:keepNext w:val="0"/>
              <w:keepLines w:val="0"/>
              <w:pageBreakBefore w:val="0"/>
              <w:kinsoku/>
              <w:wordWrap/>
              <w:overflowPunct/>
              <w:topLinePunct w:val="0"/>
              <w:autoSpaceDE/>
              <w:autoSpaceDN/>
              <w:bidi w:val="0"/>
              <w:adjustRightInd w:val="0"/>
              <w:snapToGrid w:val="0"/>
              <w:spacing w:line="300" w:lineRule="exact"/>
              <w:ind w:left="-105" w:leftChars="-50" w:right="-105" w:rightChars="-50" w:firstLine="0" w:firstLineChars="0"/>
              <w:jc w:val="center"/>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区市场监管局</w:t>
            </w:r>
          </w:p>
          <w:p>
            <w:pPr>
              <w:keepNext w:val="0"/>
              <w:keepLines w:val="0"/>
              <w:pageBreakBefore w:val="0"/>
              <w:kinsoku/>
              <w:wordWrap/>
              <w:overflowPunct/>
              <w:topLinePunct w:val="0"/>
              <w:autoSpaceDE/>
              <w:autoSpaceDN/>
              <w:bidi w:val="0"/>
              <w:adjustRightInd w:val="0"/>
              <w:snapToGrid w:val="0"/>
              <w:spacing w:line="300" w:lineRule="exact"/>
              <w:ind w:right="-105" w:rightChars="-50"/>
              <w:jc w:val="center"/>
              <w:textAlignment w:val="auto"/>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kern w:val="2"/>
                <w:sz w:val="24"/>
                <w:szCs w:val="24"/>
                <w:highlight w:val="none"/>
                <w:lang w:val="en-US" w:eastAsia="zh-CN" w:bidi="ar-SA"/>
              </w:rPr>
              <w:t>区园林绿化局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968" w:type="dxa"/>
            <w:gridSpan w:val="7"/>
            <w:tcBorders>
              <w:tl2br w:val="nil"/>
              <w:tr2bl w:val="nil"/>
            </w:tcBorders>
            <w:noWrap w:val="0"/>
            <w:vAlign w:val="center"/>
          </w:tcPr>
          <w:p>
            <w:pPr>
              <w:snapToGrid w:val="0"/>
              <w:spacing w:line="360" w:lineRule="exact"/>
              <w:ind w:left="-105" w:leftChars="-50" w:right="-105" w:rightChars="-50"/>
              <w:jc w:val="center"/>
              <w:rPr>
                <w:rFonts w:hint="eastAsia" w:ascii="仿宋_GB2312" w:hAnsi="仿宋_GB2312" w:eastAsia="仿宋_GB2312" w:cs="仿宋_GB2312"/>
                <w:sz w:val="24"/>
                <w:szCs w:val="24"/>
                <w:lang w:eastAsia="zh-CN"/>
              </w:rPr>
            </w:pPr>
            <w:r>
              <w:rPr>
                <w:rFonts w:hint="eastAsia" w:ascii="黑体" w:hAnsi="黑体" w:eastAsia="黑体" w:cs="黑体"/>
                <w:sz w:val="24"/>
                <w:szCs w:val="24"/>
                <w:lang w:eastAsia="zh-CN"/>
              </w:rPr>
              <w:t>（六）</w:t>
            </w:r>
            <w:r>
              <w:rPr>
                <w:rFonts w:hint="eastAsia" w:ascii="黑体" w:hAnsi="黑体" w:eastAsia="黑体" w:cs="黑体"/>
                <w:sz w:val="24"/>
                <w:szCs w:val="24"/>
              </w:rPr>
              <w:t>建设科技创新引领先行区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10" w:type="dxa"/>
            <w:tcBorders>
              <w:tl2br w:val="nil"/>
              <w:tr2bl w:val="nil"/>
            </w:tcBorders>
            <w:noWrap w:val="0"/>
            <w:vAlign w:val="center"/>
          </w:tcPr>
          <w:p>
            <w:pPr>
              <w:snapToGrid w:val="0"/>
              <w:spacing w:line="360" w:lineRule="exact"/>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25</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强化生态环境领域科技支撑</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依托京津冀环境综合治理国家科技重大专项，配合市级部门加强区域生态环境项目实施，加快新技术应用推广示范及科技人才培养，强化成果交流。</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区水务局</w:t>
            </w:r>
          </w:p>
        </w:tc>
        <w:tc>
          <w:tcPr>
            <w:tcW w:w="2835" w:type="dxa"/>
            <w:tcBorders>
              <w:tl2br w:val="nil"/>
              <w:tr2bl w:val="nil"/>
            </w:tcBorders>
            <w:noWrap w:val="0"/>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26</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依托通州区生态环境局决策指挥平台，系统开展7×24小时环境问题巡查工作。</w:t>
            </w:r>
          </w:p>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加强我区与河北省廊坊市、天津市武清区的数据共享能力，探索推进“通武廊”区域大气污染、超标车辆信息等领域数据的自动分享与推送。</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kern w:val="2"/>
                <w:sz w:val="24"/>
                <w:szCs w:val="24"/>
                <w:vertAlign w:val="baseline"/>
                <w:lang w:val="en-US" w:eastAsia="zh-CN" w:bidi="ar-SA"/>
              </w:rPr>
            </w:pP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27</w:t>
            </w:r>
          </w:p>
        </w:tc>
        <w:tc>
          <w:tcPr>
            <w:tcW w:w="1191"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健全法规体系</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配合推动出台北京城市副中心条例。</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highlight w:val="none"/>
                <w:vertAlign w:val="baseline"/>
                <w:lang w:val="en-US" w:eastAsia="zh-CN"/>
              </w:rPr>
            </w:pPr>
            <w:r>
              <w:rPr>
                <w:rFonts w:hint="eastAsia" w:ascii="仿宋_GB2312" w:hAnsi="仿宋_GB2312" w:eastAsia="仿宋_GB2312" w:cs="仿宋_GB2312"/>
                <w:color w:val="auto"/>
                <w:sz w:val="24"/>
                <w:szCs w:val="24"/>
                <w:highlight w:val="none"/>
                <w:vertAlign w:val="baseline"/>
                <w:lang w:val="en-US" w:eastAsia="zh-CN"/>
              </w:rPr>
              <w:t>9月底</w:t>
            </w:r>
          </w:p>
        </w:tc>
        <w:tc>
          <w:tcPr>
            <w:tcW w:w="964"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sz w:val="24"/>
                <w:szCs w:val="24"/>
                <w:highlight w:val="none"/>
                <w:lang w:eastAsia="zh-CN"/>
              </w:rPr>
              <w:t>吴孔安</w:t>
            </w:r>
          </w:p>
        </w:tc>
        <w:tc>
          <w:tcPr>
            <w:tcW w:w="2835"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color w:val="auto"/>
                <w:sz w:val="24"/>
                <w:szCs w:val="24"/>
                <w:highlight w:val="none"/>
                <w:vertAlign w:val="baseline"/>
                <w:lang w:eastAsia="zh-CN"/>
              </w:rPr>
            </w:pPr>
            <w:r>
              <w:rPr>
                <w:rFonts w:hint="eastAsia" w:ascii="仿宋_GB2312" w:hAnsi="仿宋_GB2312" w:eastAsia="仿宋_GB2312" w:cs="仿宋_GB2312"/>
                <w:sz w:val="24"/>
                <w:szCs w:val="24"/>
                <w:highlight w:val="none"/>
                <w:lang w:eastAsia="zh-CN"/>
              </w:rPr>
              <w:t>区司法局</w:t>
            </w:r>
          </w:p>
        </w:tc>
        <w:tc>
          <w:tcPr>
            <w:tcW w:w="2835" w:type="dxa"/>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深化区域协作机制</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在京津冀协同发展机制框架下，充分发挥</w:t>
            </w:r>
            <w:bookmarkStart w:id="0" w:name="OLE_LINK1"/>
            <w:r>
              <w:rPr>
                <w:rFonts w:hint="eastAsia" w:ascii="仿宋_GB2312" w:hAnsi="仿宋_GB2312" w:eastAsia="仿宋_GB2312" w:cs="仿宋_GB2312"/>
                <w:sz w:val="24"/>
                <w:szCs w:val="24"/>
                <w:lang w:eastAsia="zh-CN"/>
              </w:rPr>
              <w:t>生态协同专题工作组</w:t>
            </w:r>
            <w:bookmarkEnd w:id="0"/>
            <w:r>
              <w:rPr>
                <w:rFonts w:hint="eastAsia" w:ascii="仿宋_GB2312" w:hAnsi="仿宋_GB2312" w:eastAsia="仿宋_GB2312" w:cs="仿宋_GB2312"/>
                <w:sz w:val="24"/>
                <w:szCs w:val="24"/>
                <w:lang w:eastAsia="zh-CN"/>
              </w:rPr>
              <w:t>作用，加强生态环境信息共享、工作交流，不断推进生态环境联建联防联治走深走实。</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李先侠</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林正航</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区发展改革委</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区园林绿化局</w:t>
            </w:r>
          </w:p>
        </w:tc>
        <w:tc>
          <w:tcPr>
            <w:tcW w:w="2835" w:type="dxa"/>
            <w:tcBorders>
              <w:tl2br w:val="nil"/>
              <w:tr2bl w:val="nil"/>
            </w:tcBorders>
            <w:noWrap w:val="0"/>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29</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继续落实京津冀生态环境联动执法工作机制，聚焦重点区域、重点领域、重点时段等，开展联合联动执法，打击违法行为。</w:t>
            </w:r>
          </w:p>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聚焦进京口、跨境断面等加强与津冀交界市（区、县）日常工作联动、执法信息共享，不断形成工作合力。</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谭强</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区公安分局</w:t>
            </w:r>
          </w:p>
        </w:tc>
        <w:tc>
          <w:tcPr>
            <w:tcW w:w="2835" w:type="dxa"/>
            <w:tcBorders>
              <w:tl2br w:val="nil"/>
              <w:tr2bl w:val="nil"/>
            </w:tcBorders>
            <w:noWrap w:val="0"/>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30</w:t>
            </w:r>
          </w:p>
        </w:tc>
        <w:tc>
          <w:tcPr>
            <w:tcW w:w="1191" w:type="dxa"/>
            <w:vMerge w:val="restart"/>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深化区域协作机制</w:t>
            </w: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落实生态环境损害赔偿案件协同办理机制，组织跨区域相关工作，推动建设或划定生态环境损害综合性修复区域。</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510" w:type="dxa"/>
            <w:tcBorders>
              <w:tl2br w:val="nil"/>
              <w:tr2bl w:val="nil"/>
            </w:tcBorders>
            <w:noWrap w:val="0"/>
            <w:vAlign w:val="center"/>
          </w:tcPr>
          <w:p>
            <w:pPr>
              <w:snapToGrid w:val="0"/>
              <w:spacing w:line="36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31</w:t>
            </w:r>
          </w:p>
        </w:tc>
        <w:tc>
          <w:tcPr>
            <w:tcW w:w="1191" w:type="dxa"/>
            <w:vMerge w:val="continue"/>
            <w:tcBorders>
              <w:tl2br w:val="nil"/>
              <w:tr2bl w:val="nil"/>
            </w:tcBorders>
            <w:noWrap w:val="0"/>
            <w:vAlign w:val="center"/>
          </w:tcPr>
          <w:p>
            <w:pPr>
              <w:snapToGrid w:val="0"/>
              <w:spacing w:line="360" w:lineRule="exact"/>
              <w:jc w:val="center"/>
              <w:rPr>
                <w:rFonts w:hint="eastAsia" w:ascii="仿宋_GB2312" w:hAnsi="仿宋_GB2312" w:eastAsia="仿宋_GB2312" w:cs="仿宋_GB2312"/>
                <w:sz w:val="24"/>
                <w:szCs w:val="24"/>
                <w:lang w:eastAsia="zh-CN"/>
              </w:rPr>
            </w:pPr>
          </w:p>
        </w:tc>
        <w:tc>
          <w:tcPr>
            <w:tcW w:w="5669" w:type="dxa"/>
            <w:tcBorders>
              <w:tl2br w:val="nil"/>
              <w:tr2bl w:val="nil"/>
            </w:tcBorders>
            <w:noWrap w:val="0"/>
            <w:vAlign w:val="center"/>
          </w:tcPr>
          <w:p>
            <w:pPr>
              <w:snapToGrid w:val="0"/>
              <w:spacing w:line="36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强化区域环境影响评价会商，推动京津冀生态环境分区管控协同机制建设。结合辖区实际选取典型生态环境管控单元开展重点攻关，提升辖区生态环境分区管控水平。协同做好跨区域生态环境信访投诉举报问题调查处理。</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9月底</w:t>
            </w:r>
          </w:p>
        </w:tc>
        <w:tc>
          <w:tcPr>
            <w:tcW w:w="964"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邹海涛</w:t>
            </w:r>
          </w:p>
        </w:tc>
        <w:tc>
          <w:tcPr>
            <w:tcW w:w="2835" w:type="dxa"/>
            <w:tcBorders>
              <w:tl2br w:val="nil"/>
              <w:tr2bl w:val="nil"/>
            </w:tcBorders>
            <w:noWrap w:val="0"/>
            <w:vAlign w:val="center"/>
          </w:tcPr>
          <w:p>
            <w:pPr>
              <w:jc w:val="center"/>
              <w:rPr>
                <w:rFonts w:hint="eastAsia" w:ascii="仿宋_GB2312" w:hAnsi="仿宋_GB2312" w:eastAsia="仿宋_GB2312" w:cs="仿宋_GB2312"/>
                <w:color w:val="auto"/>
                <w:sz w:val="24"/>
                <w:szCs w:val="24"/>
                <w:vertAlign w:val="baseline"/>
                <w:lang w:eastAsia="zh-CN"/>
              </w:rPr>
            </w:pPr>
            <w:r>
              <w:rPr>
                <w:rFonts w:hint="eastAsia" w:ascii="仿宋_GB2312" w:hAnsi="仿宋_GB2312" w:eastAsia="仿宋_GB2312" w:cs="仿宋_GB2312"/>
                <w:color w:val="auto"/>
                <w:sz w:val="24"/>
                <w:szCs w:val="24"/>
                <w:vertAlign w:val="baseline"/>
                <w:lang w:eastAsia="zh-CN"/>
              </w:rPr>
              <w:t>区生态环境局</w:t>
            </w:r>
          </w:p>
        </w:tc>
        <w:tc>
          <w:tcPr>
            <w:tcW w:w="2835" w:type="dxa"/>
            <w:tcBorders>
              <w:tl2br w:val="nil"/>
              <w:tr2bl w:val="nil"/>
            </w:tcBorders>
            <w:noWrap w:val="0"/>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p>
        </w:tc>
      </w:tr>
    </w:tbl>
    <w:p/>
    <w:sectPr>
      <w:headerReference r:id="rId3" w:type="default"/>
      <w:footerReference r:id="rId4" w:type="default"/>
      <w:pgSz w:w="16838" w:h="11906" w:orient="landscape"/>
      <w:pgMar w:top="1800" w:right="1440" w:bottom="1800"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bookmarkStart w:id="1" w:name="_GoBack"/>
    <w:bookmarkEnd w:id="1"/>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50273"/>
    <w:rsid w:val="05133C63"/>
    <w:rsid w:val="0A250B8F"/>
    <w:rsid w:val="0BD849EE"/>
    <w:rsid w:val="0EB47B4B"/>
    <w:rsid w:val="0EDC6606"/>
    <w:rsid w:val="0EE16670"/>
    <w:rsid w:val="0F5D6CE1"/>
    <w:rsid w:val="0FD10279"/>
    <w:rsid w:val="10631AC3"/>
    <w:rsid w:val="10784689"/>
    <w:rsid w:val="12853ED2"/>
    <w:rsid w:val="1406417A"/>
    <w:rsid w:val="141B0244"/>
    <w:rsid w:val="14352853"/>
    <w:rsid w:val="14CB61E9"/>
    <w:rsid w:val="15BD62B6"/>
    <w:rsid w:val="16B70D2F"/>
    <w:rsid w:val="16BE5F3E"/>
    <w:rsid w:val="172C5712"/>
    <w:rsid w:val="17A12EA4"/>
    <w:rsid w:val="18353A57"/>
    <w:rsid w:val="18C969BD"/>
    <w:rsid w:val="1A1B2451"/>
    <w:rsid w:val="1B351FAC"/>
    <w:rsid w:val="1C2D4890"/>
    <w:rsid w:val="1C331406"/>
    <w:rsid w:val="1DD74BDC"/>
    <w:rsid w:val="1E861FF2"/>
    <w:rsid w:val="1EB2F147"/>
    <w:rsid w:val="1F357F6A"/>
    <w:rsid w:val="1FAC6F81"/>
    <w:rsid w:val="20632E69"/>
    <w:rsid w:val="22017784"/>
    <w:rsid w:val="224A0D13"/>
    <w:rsid w:val="25017F82"/>
    <w:rsid w:val="25E7320E"/>
    <w:rsid w:val="26096977"/>
    <w:rsid w:val="261465EB"/>
    <w:rsid w:val="27395588"/>
    <w:rsid w:val="29FA65BE"/>
    <w:rsid w:val="2AA16847"/>
    <w:rsid w:val="2B080935"/>
    <w:rsid w:val="2BCA0CB3"/>
    <w:rsid w:val="2C5E03BC"/>
    <w:rsid w:val="2C7F56C9"/>
    <w:rsid w:val="2DD83DD6"/>
    <w:rsid w:val="2E083F3B"/>
    <w:rsid w:val="2E3670F3"/>
    <w:rsid w:val="2E7F9E47"/>
    <w:rsid w:val="2E8964A3"/>
    <w:rsid w:val="2E9E3859"/>
    <w:rsid w:val="2EFF0ADF"/>
    <w:rsid w:val="30C6522A"/>
    <w:rsid w:val="3118538F"/>
    <w:rsid w:val="311B493C"/>
    <w:rsid w:val="319A302B"/>
    <w:rsid w:val="32171A02"/>
    <w:rsid w:val="32C6748C"/>
    <w:rsid w:val="32E17783"/>
    <w:rsid w:val="33B233A2"/>
    <w:rsid w:val="33E76131"/>
    <w:rsid w:val="34663754"/>
    <w:rsid w:val="36DE4581"/>
    <w:rsid w:val="37564794"/>
    <w:rsid w:val="377FB01C"/>
    <w:rsid w:val="37B5CE56"/>
    <w:rsid w:val="383D1CCD"/>
    <w:rsid w:val="388458EF"/>
    <w:rsid w:val="38E56878"/>
    <w:rsid w:val="3D8C42E1"/>
    <w:rsid w:val="3D9D0777"/>
    <w:rsid w:val="3E213D54"/>
    <w:rsid w:val="3EBD1C70"/>
    <w:rsid w:val="3F416176"/>
    <w:rsid w:val="3F4E0A26"/>
    <w:rsid w:val="3F854F4E"/>
    <w:rsid w:val="3F856424"/>
    <w:rsid w:val="3FDFF79C"/>
    <w:rsid w:val="3FEC2943"/>
    <w:rsid w:val="408F4BC1"/>
    <w:rsid w:val="414A0F40"/>
    <w:rsid w:val="42956A9C"/>
    <w:rsid w:val="42B10280"/>
    <w:rsid w:val="44257CF6"/>
    <w:rsid w:val="442710EC"/>
    <w:rsid w:val="46791BF7"/>
    <w:rsid w:val="46E35ACC"/>
    <w:rsid w:val="47D209FF"/>
    <w:rsid w:val="4A4667EE"/>
    <w:rsid w:val="4BCF78B8"/>
    <w:rsid w:val="4C665EEC"/>
    <w:rsid w:val="4DF70A62"/>
    <w:rsid w:val="4DFA5355"/>
    <w:rsid w:val="4FAD719E"/>
    <w:rsid w:val="51762D05"/>
    <w:rsid w:val="529E7E18"/>
    <w:rsid w:val="571533CD"/>
    <w:rsid w:val="582F6D7C"/>
    <w:rsid w:val="59874E29"/>
    <w:rsid w:val="59D70401"/>
    <w:rsid w:val="5B04D1C3"/>
    <w:rsid w:val="5C512779"/>
    <w:rsid w:val="5F0D2A8A"/>
    <w:rsid w:val="5FBF862E"/>
    <w:rsid w:val="5FE70F88"/>
    <w:rsid w:val="65A20D37"/>
    <w:rsid w:val="66211930"/>
    <w:rsid w:val="663328F4"/>
    <w:rsid w:val="678D64ED"/>
    <w:rsid w:val="67FFD1FF"/>
    <w:rsid w:val="695C10EB"/>
    <w:rsid w:val="69F77508"/>
    <w:rsid w:val="6AEBE9DE"/>
    <w:rsid w:val="6BAA11C7"/>
    <w:rsid w:val="6C947CB8"/>
    <w:rsid w:val="6E7C2088"/>
    <w:rsid w:val="6F3A0AB4"/>
    <w:rsid w:val="6FF53AF6"/>
    <w:rsid w:val="70697FE7"/>
    <w:rsid w:val="71CE4B7D"/>
    <w:rsid w:val="73BE1E39"/>
    <w:rsid w:val="73EFA040"/>
    <w:rsid w:val="747042C8"/>
    <w:rsid w:val="759F5C84"/>
    <w:rsid w:val="75CD3DAA"/>
    <w:rsid w:val="77473DF9"/>
    <w:rsid w:val="78353D4B"/>
    <w:rsid w:val="78955ED0"/>
    <w:rsid w:val="79ED16F2"/>
    <w:rsid w:val="7B3125CD"/>
    <w:rsid w:val="7B427F48"/>
    <w:rsid w:val="7BBA0E4D"/>
    <w:rsid w:val="7BBF369D"/>
    <w:rsid w:val="7BEF58E8"/>
    <w:rsid w:val="7C1B1BE6"/>
    <w:rsid w:val="7C96785E"/>
    <w:rsid w:val="7CFEE4FE"/>
    <w:rsid w:val="7E3124CE"/>
    <w:rsid w:val="7E56BE88"/>
    <w:rsid w:val="7F6CE0E8"/>
    <w:rsid w:val="7FD7A018"/>
    <w:rsid w:val="7FFFB297"/>
    <w:rsid w:val="7FFFBD81"/>
    <w:rsid w:val="8EEA38A7"/>
    <w:rsid w:val="B6F58AE3"/>
    <w:rsid w:val="B74B716A"/>
    <w:rsid w:val="BFFFFC02"/>
    <w:rsid w:val="C13CC77E"/>
    <w:rsid w:val="CDFB8EFA"/>
    <w:rsid w:val="D19D6F83"/>
    <w:rsid w:val="D47CF941"/>
    <w:rsid w:val="D4B7011D"/>
    <w:rsid w:val="DB7B4119"/>
    <w:rsid w:val="DEFBC4DF"/>
    <w:rsid w:val="E7FB44BB"/>
    <w:rsid w:val="EEB7BD66"/>
    <w:rsid w:val="EF7FF80D"/>
    <w:rsid w:val="EFBBE851"/>
    <w:rsid w:val="F2FE189C"/>
    <w:rsid w:val="F6F91A00"/>
    <w:rsid w:val="FBBED3BB"/>
    <w:rsid w:val="FFF87C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公文"/>
    <w:basedOn w:val="1"/>
    <w:qFormat/>
    <w:uiPriority w:val="0"/>
    <w:pPr>
      <w:ind w:firstLine="200" w:firstLineChars="200"/>
    </w:pPr>
    <w:rPr>
      <w:rFonts w:ascii="Times New Roman" w:hAnsi="Times New Roman" w:eastAsia="宋体" w:cs="Times New Roman"/>
    </w:rPr>
  </w:style>
  <w:style w:type="paragraph" w:styleId="3">
    <w:name w:val="Body Text"/>
    <w:basedOn w:val="1"/>
    <w:next w:val="1"/>
    <w:qFormat/>
    <w:uiPriority w:val="0"/>
    <w:pPr>
      <w:spacing w:after="120"/>
    </w:pPr>
  </w:style>
  <w:style w:type="paragraph" w:styleId="4">
    <w:name w:val="Block Text"/>
    <w:basedOn w:val="1"/>
    <w:qFormat/>
    <w:uiPriority w:val="0"/>
    <w:pPr>
      <w:spacing w:line="460" w:lineRule="exact"/>
      <w:ind w:left="-171" w:leftChars="-171" w:right="-159" w:rightChars="-159" w:firstLine="450"/>
    </w:pPr>
    <w:rPr>
      <w:rFonts w:ascii="仿宋_GB2312" w:hAnsi="仿宋_GB2312" w:cs="仿宋_GB2312"/>
      <w:sz w:val="30"/>
      <w:szCs w:val="30"/>
      <w:lang w:bidi="ar-SA"/>
    </w:rPr>
  </w:style>
  <w:style w:type="paragraph" w:styleId="5">
    <w:name w:val="Plain Text"/>
    <w:basedOn w:val="1"/>
    <w:next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unhideWhenUsed/>
    <w:qFormat/>
    <w:uiPriority w:val="0"/>
    <w:pPr>
      <w:spacing w:line="360" w:lineRule="auto"/>
      <w:ind w:firstLine="200" w:firstLineChars="200"/>
    </w:pPr>
    <w:rPr>
      <w:rFonts w:eastAsia="楷体_GB2312"/>
      <w:sz w:val="32"/>
    </w:rPr>
  </w:style>
  <w:style w:type="paragraph" w:styleId="9">
    <w:name w:val="Body Text First Indent"/>
    <w:basedOn w:val="3"/>
    <w:next w:val="10"/>
    <w:qFormat/>
    <w:uiPriority w:val="0"/>
    <w:pPr>
      <w:ind w:firstLine="420"/>
    </w:pPr>
    <w:rPr>
      <w:rFonts w:ascii="Calibri" w:hAnsi="Calibri" w:eastAsia="楷体_GB2312"/>
      <w:sz w:val="32"/>
      <w:szCs w:val="22"/>
    </w:rPr>
  </w:style>
  <w:style w:type="paragraph" w:styleId="10">
    <w:name w:val="Body Text First Indent 2"/>
    <w:basedOn w:val="1"/>
    <w:next w:val="1"/>
    <w:unhideWhenUsed/>
    <w:qFormat/>
    <w:uiPriority w:val="0"/>
    <w:pPr>
      <w:adjustRightInd w:val="0"/>
      <w:snapToGrid w:val="0"/>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2025-12-11T09:06:00Z</dcterms:created>
  <dc:creator>User</dc:creator>
  <cp:lastModifiedBy>1813068025</cp:lastModifiedBy>
  <cp:lastPrinted>2025-12-19T06:19:00Z</cp:lastPrinted>
  <dcterms:modified xsi:type="dcterms:W3CDTF">2026-01-13T08:58:16Z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26BF2BFE33147B5DEC5D3A69AE037E3A_43</vt:lpwstr>
  </property>
</Properties>
</file>