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right="0" w:rightChars="0" w:firstLine="0" w:firstLineChars="0"/>
        <w:jc w:val="both"/>
        <w:textAlignment w:val="auto"/>
        <w:rPr>
          <w:rFonts w:hint="default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 w:bidi="ar"/>
        </w:rPr>
        <w:t>附件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1-6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313" w:afterLines="100" w:line="500" w:lineRule="exact"/>
        <w:jc w:val="center"/>
        <w:textAlignment w:val="auto"/>
        <w:outlineLvl w:val="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方正小标宋简体" w:hAnsi="黑体" w:eastAsia="方正小标宋简体" w:cs="方正小标宋简体"/>
          <w:sz w:val="44"/>
          <w:szCs w:val="44"/>
          <w:lang w:eastAsia="zh-CN"/>
        </w:rPr>
        <w:t>加快绿色低碳转型2026年行动计划（加强生态保护）（审议稿）</w:t>
      </w:r>
    </w:p>
    <w:tbl>
      <w:tblPr>
        <w:tblStyle w:val="12"/>
        <w:tblW w:w="149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1191"/>
        <w:gridCol w:w="5669"/>
        <w:gridCol w:w="964"/>
        <w:gridCol w:w="964"/>
        <w:gridCol w:w="2835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tblHeader/>
          <w:jc w:val="center"/>
        </w:trPr>
        <w:tc>
          <w:tcPr>
            <w:tcW w:w="5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序号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重点</w:t>
            </w:r>
          </w:p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任务</w:t>
            </w:r>
          </w:p>
        </w:tc>
        <w:tc>
          <w:tcPr>
            <w:tcW w:w="566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工作措施</w:t>
            </w:r>
          </w:p>
        </w:tc>
        <w:tc>
          <w:tcPr>
            <w:tcW w:w="9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完成</w:t>
            </w:r>
          </w:p>
          <w:p>
            <w:pPr>
              <w:adjustRightInd w:val="0"/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时限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牵头领导</w:t>
            </w:r>
          </w:p>
        </w:tc>
        <w:tc>
          <w:tcPr>
            <w:tcW w:w="2835" w:type="dxa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主责单位</w:t>
            </w:r>
          </w:p>
        </w:tc>
        <w:tc>
          <w:tcPr>
            <w:tcW w:w="2835" w:type="dxa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协办单位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968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三、加强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生态保护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968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（一）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生态环境质量状况目标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2" w:hRule="atLeast"/>
          <w:jc w:val="center"/>
        </w:trPr>
        <w:tc>
          <w:tcPr>
            <w:tcW w:w="51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</w:t>
            </w:r>
          </w:p>
        </w:tc>
        <w:tc>
          <w:tcPr>
            <w:tcW w:w="119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目标任务</w:t>
            </w:r>
          </w:p>
        </w:tc>
        <w:tc>
          <w:tcPr>
            <w:tcW w:w="5669" w:type="dxa"/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全区生态环境质量指数（EI）力争稳中向好。</w:t>
            </w:r>
          </w:p>
          <w:p>
            <w:pPr>
              <w:spacing w:line="360" w:lineRule="exact"/>
              <w:jc w:val="left"/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各责任单位负责本领域子指数不下降：区生态环境局负责大气环境指数；区水务局负责水网密度指数和自然岸线保有率；区园林绿化局负责林地指数、草地指数；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市规划自然资源委通州分局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负责人工地表指数、未利用地指数、生态系统类型多样性指数和受保护区域面积指数；区农业农村局负责耕地指数；区园林绿化局和区农业农村局共同负责物种多样性指数、外来物种入侵指数；区生态环境局和区水务局共同负责水环境指数；区生态环境局和区农业农村局共同负责土壤环境指数。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年底前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林正航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姚伟龙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邹海涛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区生态环境局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市规划自然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资源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委通州分局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区园林绿化局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区水务局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区农业农村局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968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（二）强化生物多样性保护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9" w:hRule="atLeast"/>
          <w:jc w:val="center"/>
        </w:trPr>
        <w:tc>
          <w:tcPr>
            <w:tcW w:w="51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119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强化工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作机制</w:t>
            </w:r>
          </w:p>
        </w:tc>
        <w:tc>
          <w:tcPr>
            <w:tcW w:w="5669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发挥生态环境部“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"/>
              </w:rPr>
              <w:t>生物多样性保护和可持续利用实践成果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”北京案例示范作用，推动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建立生物多样性保护协调工作机制。统筹提升生态环境质量，推进生态保护修复监管工作。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9月底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邹海涛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区生态环境局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各相关部门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51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119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加强监测评估</w:t>
            </w:r>
          </w:p>
        </w:tc>
        <w:tc>
          <w:tcPr>
            <w:tcW w:w="5669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按照市级统一部署，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配合构建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生物多样性观测网络；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结合实际选取典型区域，配合开展生物多样性观测工作。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9月底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邹海涛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区生态环境局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各相关部门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51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119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强化外来入侵物种防控</w:t>
            </w:r>
          </w:p>
        </w:tc>
        <w:tc>
          <w:tcPr>
            <w:tcW w:w="5669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做好引进植物审批监管和豚草、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"/>
              </w:rPr>
              <w:t>番茄潜叶蛾、空心莲子草、美国白蛾、松材线虫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等外来入侵物种的监测与综合治理。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9月底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林正航</w:t>
            </w:r>
          </w:p>
          <w:p>
            <w:pPr>
              <w:pStyle w:val="15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姚伟龙</w:t>
            </w:r>
          </w:p>
        </w:tc>
        <w:tc>
          <w:tcPr>
            <w:tcW w:w="2835" w:type="dxa"/>
            <w:vAlign w:val="center"/>
          </w:tcPr>
          <w:p>
            <w:pPr>
              <w:autoSpaceDE w:val="0"/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农业农村局</w:t>
            </w:r>
          </w:p>
          <w:p>
            <w:pPr>
              <w:autoSpaceDE w:val="0"/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园林绿化局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区生态环境局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6" w:hRule="atLeast"/>
          <w:jc w:val="center"/>
        </w:trPr>
        <w:tc>
          <w:tcPr>
            <w:tcW w:w="5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119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保护重点生物遗传资源</w:t>
            </w:r>
          </w:p>
        </w:tc>
        <w:tc>
          <w:tcPr>
            <w:tcW w:w="566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按照市级部门工作部署，</w:t>
            </w:r>
            <w:r>
              <w:rPr>
                <w:rFonts w:hint="eastAsia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配合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推进国家林草种质资源库（圃）规范化管理。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9月底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bookmarkStart w:id="0" w:name="OLE_LINK1"/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林正航</w:t>
            </w:r>
            <w:bookmarkEnd w:id="0"/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区园林绿化局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6" w:hRule="atLeast"/>
          <w:jc w:val="center"/>
        </w:trPr>
        <w:tc>
          <w:tcPr>
            <w:tcW w:w="5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119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保护重点生物遗传资源</w:t>
            </w:r>
          </w:p>
        </w:tc>
        <w:tc>
          <w:tcPr>
            <w:tcW w:w="5669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按照市级部门工作部署，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" w:bidi="ar-SA"/>
              </w:rPr>
              <w:t>加强重点农作物、畜禽、水产等种质资源保护。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9月底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姚伟龙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区农业农村局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968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（三）维护生态空间格局稳定性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4" w:hRule="atLeast"/>
          <w:jc w:val="center"/>
        </w:trPr>
        <w:tc>
          <w:tcPr>
            <w:tcW w:w="5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  <w:lang w:val="en-US" w:eastAsia="zh-CN"/>
              </w:rPr>
              <w:t>7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着力提升建成区绿视率</w:t>
            </w:r>
          </w:p>
        </w:tc>
        <w:tc>
          <w:tcPr>
            <w:tcW w:w="5669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推进园林绿化“增绿提质”，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推进生物多样性保护，建设生态保育小区，提升平原生态林养护经营示范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。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9月底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林正航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园林绿化局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2" w:hRule="atLeast"/>
          <w:jc w:val="center"/>
        </w:trPr>
        <w:tc>
          <w:tcPr>
            <w:tcW w:w="5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highlight w:val="none"/>
                <w:lang w:val="en-US" w:eastAsia="zh-CN"/>
              </w:rPr>
              <w:t>8</w:t>
            </w:r>
          </w:p>
        </w:tc>
        <w:tc>
          <w:tcPr>
            <w:tcW w:w="1191" w:type="dxa"/>
            <w:vMerge w:val="continue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</w:p>
        </w:tc>
        <w:tc>
          <w:tcPr>
            <w:tcW w:w="5669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园林绿化局推进建筑物墙面、围栏、围墙垂直绿化，建设屋顶花园，优化乔灌草立体结构，推进花园示范街区建设，提升城市生系统质量；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住房城乡建设委推进花园住宅建设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；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生态环境局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在市级统一工作部署下，配合开展建成区绿视率补充调查，并进一步优化提升方案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。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9月底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林正航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姚伟龙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bookmarkStart w:id="1" w:name="OLE_LINK2"/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邹海涛</w:t>
            </w:r>
            <w:bookmarkEnd w:id="1"/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"/>
              </w:rPr>
              <w:t>园林绿化局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区住房城乡建设委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"/>
              </w:rPr>
              <w:t>生态环境局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市规划自然资源委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通州分局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2" w:hRule="atLeast"/>
          <w:jc w:val="center"/>
        </w:trPr>
        <w:tc>
          <w:tcPr>
            <w:tcW w:w="5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bookmarkStart w:id="4" w:name="_GoBack"/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9</w:t>
            </w:r>
            <w:bookmarkEnd w:id="4"/>
          </w:p>
        </w:tc>
        <w:tc>
          <w:tcPr>
            <w:tcW w:w="1191" w:type="dxa"/>
            <w:vMerge w:val="restart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加强重要生态空间监督管理</w:t>
            </w:r>
          </w:p>
        </w:tc>
        <w:tc>
          <w:tcPr>
            <w:tcW w:w="5669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市规划自然资源委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通州分局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落实《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关于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进一步加强生态保护红线管理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工作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的意见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（试行）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》，实施分区差别化管控，规范人为活动。严格落实国土空间用途管制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加强对生态保护红线内临时用地管理及后期恢复的监督。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持续开展重要生态空间监测，并针对违规行为进行查处。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文化和旅游局发挥北京旅游工作协调机制作用，规范生态空间旅游活动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。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生态环境局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按照年度执法方案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开展重要生态空间生态问题线索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日常巡查及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核实，推动处理处置。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各部门按职责</w:t>
            </w:r>
            <w:bookmarkStart w:id="2" w:name="OLE_LINK4"/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对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重大工程实施期间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的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生态影响</w:t>
            </w:r>
            <w:bookmarkEnd w:id="2"/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做好监督。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9月底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林正航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姚伟龙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邹海涛</w:t>
            </w:r>
          </w:p>
          <w:p>
            <w:pPr>
              <w:pStyle w:val="15"/>
              <w:ind w:left="0" w:leftChars="0" w:firstLine="0" w:firstLineChars="0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市规划自然资源委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通州分局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文化和旅游局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生态环境局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园林绿化局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水务局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交通委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相关乡镇政府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6" w:hRule="atLeast"/>
          <w:jc w:val="center"/>
        </w:trPr>
        <w:tc>
          <w:tcPr>
            <w:tcW w:w="510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1191" w:type="dxa"/>
            <w:vMerge w:val="continue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5669" w:type="dxa"/>
            <w:vAlign w:val="center"/>
          </w:tcPr>
          <w:p>
            <w:pPr>
              <w:autoSpaceDE w:val="0"/>
              <w:adjustRightInd w:val="0"/>
              <w:snapToGrid w:val="0"/>
              <w:ind w:left="-105" w:leftChars="-50" w:right="-105" w:rightChars="-50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进一步加强生态保护红线的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常态化监管，重点监督重大工程实施期间生态影响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；持续开展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生态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问题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线索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的监测、核查、整改。</w:t>
            </w:r>
          </w:p>
        </w:tc>
        <w:tc>
          <w:tcPr>
            <w:tcW w:w="964" w:type="dxa"/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9月底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姚伟龙</w:t>
            </w:r>
          </w:p>
        </w:tc>
        <w:tc>
          <w:tcPr>
            <w:tcW w:w="2835" w:type="dxa"/>
            <w:vAlign w:val="center"/>
          </w:tcPr>
          <w:p>
            <w:pPr>
              <w:pStyle w:val="11"/>
              <w:snapToGrid w:val="0"/>
              <w:spacing w:before="0" w:beforeAutospacing="0" w:after="0" w:afterAutospacing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>相关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eastAsia="zh-CN"/>
              </w:rPr>
              <w:t>乡镇政府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7" w:hRule="atLeast"/>
          <w:jc w:val="center"/>
        </w:trPr>
        <w:tc>
          <w:tcPr>
            <w:tcW w:w="5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1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eastAsia="zh"/>
              </w:rPr>
              <w:t>加强涉矿违法行为查处</w:t>
            </w:r>
          </w:p>
        </w:tc>
        <w:tc>
          <w:tcPr>
            <w:tcW w:w="56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"/>
              </w:rPr>
              <w:t>持续打击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矿产资源私挖盗采活动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严格查处非法开采违法行为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"/>
              </w:rPr>
              <w:t>。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9月底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line="300" w:lineRule="exact"/>
              <w:ind w:left="0" w:leftChars="0" w:right="-105" w:rightChars="-5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" w:bidi="ar-SA"/>
              </w:rPr>
              <w:t>姚伟龙</w:t>
            </w:r>
          </w:p>
        </w:tc>
        <w:tc>
          <w:tcPr>
            <w:tcW w:w="2835" w:type="dxa"/>
            <w:vAlign w:val="center"/>
          </w:tcPr>
          <w:p>
            <w:pPr>
              <w:pStyle w:val="15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市规划自然资源委通州分局</w:t>
            </w:r>
          </w:p>
          <w:p>
            <w:pPr>
              <w:pStyle w:val="15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各街道乡镇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7" w:hRule="atLeast"/>
          <w:jc w:val="center"/>
        </w:trPr>
        <w:tc>
          <w:tcPr>
            <w:tcW w:w="51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12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统筹推进实施生态保护修复</w:t>
            </w:r>
          </w:p>
        </w:tc>
        <w:tc>
          <w:tcPr>
            <w:tcW w:w="5669" w:type="dxa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N/>
              <w:bidi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"/>
              </w:rPr>
              <w:t>保障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防洪排涝安全的前提下，恢复自然岸线，加强河湖现状自然岸线保护。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9月底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line="300" w:lineRule="exact"/>
              <w:ind w:left="-105" w:leftChars="-50" w:right="-105" w:rightChars="-5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邹海涛</w:t>
            </w:r>
          </w:p>
        </w:tc>
        <w:tc>
          <w:tcPr>
            <w:tcW w:w="2835" w:type="dxa"/>
            <w:vAlign w:val="center"/>
          </w:tcPr>
          <w:p>
            <w:pPr>
              <w:autoSpaceDE w:val="0"/>
              <w:adjustRightInd w:val="0"/>
              <w:snapToGrid w:val="0"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水务局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区园林绿化局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7" w:hRule="atLeast"/>
          <w:jc w:val="center"/>
        </w:trPr>
        <w:tc>
          <w:tcPr>
            <w:tcW w:w="51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19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</w:rPr>
              <w:t>营建森林湿地复合系统，推进小微湿地示范区建设。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9月底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/>
              <w:bidi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林正航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/>
              <w:bidi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园林绿化局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968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（四）促进生态保护可持续发展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5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14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推进区域生态协同治理</w:t>
            </w:r>
          </w:p>
        </w:tc>
        <w:tc>
          <w:tcPr>
            <w:tcW w:w="5669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" w:bidi="ar"/>
              </w:rPr>
              <w:t>有序推进潮白河国家森林公园先行启动区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 w:bidi="ar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"/>
              </w:rPr>
              <w:t>潮白河综合治理与生态修复工程（通州段）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" w:bidi="ar"/>
              </w:rPr>
              <w:t>建设。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9月底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林正航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园林绿化局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区水务局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5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15</w:t>
            </w:r>
          </w:p>
        </w:tc>
        <w:tc>
          <w:tcPr>
            <w:tcW w:w="119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5669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配合市级推进京津冀林木良种备案互认工作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"/>
              </w:rPr>
              <w:t>。加强京津冀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美国白蛾、松材线虫、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" w:bidi="ar"/>
              </w:rPr>
              <w:t>春尺蠖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"/>
              </w:rPr>
              <w:t>等林业有害生物协同防控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。按照市级工作安排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" w:bidi="ar"/>
              </w:rPr>
              <w:t>联动开展动态监测、趋势会商、科普宣传及检疫检查。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9月底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林正航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园林绿化局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5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推进城市副中心生态建设</w:t>
            </w:r>
          </w:p>
        </w:tc>
        <w:tc>
          <w:tcPr>
            <w:tcW w:w="56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大运河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涉水工程实施中，加强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水系岸线生态功能维护，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开展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岸坡生态建设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优化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区域生态系统稳定性。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9月底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/>
              <w:bidi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" w:bidi="ar-SA"/>
              </w:rPr>
              <w:t>邹海涛</w:t>
            </w:r>
          </w:p>
        </w:tc>
        <w:tc>
          <w:tcPr>
            <w:tcW w:w="28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水务局</w:t>
            </w:r>
          </w:p>
        </w:tc>
        <w:tc>
          <w:tcPr>
            <w:tcW w:w="28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区园林绿化局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5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17</w:t>
            </w:r>
          </w:p>
        </w:tc>
        <w:tc>
          <w:tcPr>
            <w:tcW w:w="1191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56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"/>
              </w:rPr>
              <w:t>有序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推动与河北省廊坊北三县交界地区生态绿带规划落地实施。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"/>
              </w:rPr>
              <w:t>科学实施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岸坡绿化等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"/>
              </w:rPr>
              <w:t>，逐步提升河流岸线生态功能。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9月底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林正航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"/>
              </w:rPr>
              <w:t>邹海涛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/>
              <w:bidi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园林绿化局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水务局</w:t>
            </w:r>
          </w:p>
        </w:tc>
        <w:tc>
          <w:tcPr>
            <w:tcW w:w="28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  <w:jc w:val="center"/>
        </w:trPr>
        <w:tc>
          <w:tcPr>
            <w:tcW w:w="51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开展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GEP-R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核算和应用</w:t>
            </w:r>
          </w:p>
        </w:tc>
        <w:tc>
          <w:tcPr>
            <w:tcW w:w="5669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bidi="ar"/>
              </w:rPr>
              <w:t>深化GEP-R核算结果在全市横向交换补偿中的应用，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eastAsia="zh-CN" w:bidi="ar"/>
              </w:rPr>
              <w:t>配合市级部门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bidi="ar"/>
              </w:rPr>
              <w:t>完善GEP-R与GDP交换补偿方案，推动将生态优势更大程度转化为发展动能，促进“绿水青山”向“金山银山”的良性转化。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9月底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</w:pPr>
            <w:bookmarkStart w:id="3" w:name="OLE_LINK3"/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李先侠</w:t>
            </w:r>
            <w:bookmarkEnd w:id="3"/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发展改革委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区生态环境局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7" w:hRule="atLeast"/>
          <w:jc w:val="center"/>
        </w:trPr>
        <w:tc>
          <w:tcPr>
            <w:tcW w:w="51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19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eastAsia="zh-CN"/>
              </w:rPr>
              <w:t>按照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《北京市生态系统调节服务价值（GEP-R）核算方案》，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eastAsia="zh-CN"/>
              </w:rPr>
              <w:t>配合市级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做好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eastAsia="zh"/>
              </w:rPr>
              <w:t>2025年度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GEP-R核算工作。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9月底</w:t>
            </w:r>
          </w:p>
        </w:tc>
        <w:tc>
          <w:tcPr>
            <w:tcW w:w="96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"/>
              </w:rPr>
              <w:t>邹海涛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生态环境局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51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19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56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积极推动区域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GEP-R提升，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组织对生态用地变化线索开展实地核查，提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生态保护精细化水平。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9月底</w:t>
            </w:r>
          </w:p>
        </w:tc>
        <w:tc>
          <w:tcPr>
            <w:tcW w:w="9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李先侠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300" w:lineRule="exac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"/>
              </w:rPr>
              <w:t>邹海涛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区发展改革委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生态环境局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——</w:t>
            </w: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A13ED9"/>
    <w:rsid w:val="019E62BF"/>
    <w:rsid w:val="02155D35"/>
    <w:rsid w:val="0428044A"/>
    <w:rsid w:val="04BD1FE5"/>
    <w:rsid w:val="04BF082E"/>
    <w:rsid w:val="066E21E6"/>
    <w:rsid w:val="07696335"/>
    <w:rsid w:val="0C8A2574"/>
    <w:rsid w:val="0D697CB8"/>
    <w:rsid w:val="0ECD268E"/>
    <w:rsid w:val="101C2C01"/>
    <w:rsid w:val="108533A8"/>
    <w:rsid w:val="12C73B9A"/>
    <w:rsid w:val="1364592D"/>
    <w:rsid w:val="13FD71BD"/>
    <w:rsid w:val="143B24FA"/>
    <w:rsid w:val="175514EB"/>
    <w:rsid w:val="1781475D"/>
    <w:rsid w:val="17E54DB3"/>
    <w:rsid w:val="18B2436B"/>
    <w:rsid w:val="19AE0294"/>
    <w:rsid w:val="19E94354"/>
    <w:rsid w:val="19F02E85"/>
    <w:rsid w:val="1A3F5D8C"/>
    <w:rsid w:val="1B48024A"/>
    <w:rsid w:val="1C5B6BB0"/>
    <w:rsid w:val="1E711EA0"/>
    <w:rsid w:val="1F8B1122"/>
    <w:rsid w:val="1FE708D0"/>
    <w:rsid w:val="1FFA69BE"/>
    <w:rsid w:val="204242B2"/>
    <w:rsid w:val="21465CDD"/>
    <w:rsid w:val="22DE7C6A"/>
    <w:rsid w:val="27680D39"/>
    <w:rsid w:val="29943006"/>
    <w:rsid w:val="2B592492"/>
    <w:rsid w:val="2C2408C6"/>
    <w:rsid w:val="2CB30782"/>
    <w:rsid w:val="2CE3699B"/>
    <w:rsid w:val="2D705813"/>
    <w:rsid w:val="2F054158"/>
    <w:rsid w:val="305148B5"/>
    <w:rsid w:val="327C6140"/>
    <w:rsid w:val="32C34812"/>
    <w:rsid w:val="3316739F"/>
    <w:rsid w:val="332822B9"/>
    <w:rsid w:val="335E5B37"/>
    <w:rsid w:val="347C2A9B"/>
    <w:rsid w:val="35580F08"/>
    <w:rsid w:val="35FC408A"/>
    <w:rsid w:val="365A13F9"/>
    <w:rsid w:val="383614E8"/>
    <w:rsid w:val="385D7C48"/>
    <w:rsid w:val="3909542E"/>
    <w:rsid w:val="394A1F4A"/>
    <w:rsid w:val="39D8167E"/>
    <w:rsid w:val="3BBF092C"/>
    <w:rsid w:val="3BC14218"/>
    <w:rsid w:val="3C1D6282"/>
    <w:rsid w:val="3C39773E"/>
    <w:rsid w:val="3C7A244D"/>
    <w:rsid w:val="3CB02C04"/>
    <w:rsid w:val="3CBB44D9"/>
    <w:rsid w:val="3D471B0C"/>
    <w:rsid w:val="3D5220B4"/>
    <w:rsid w:val="3DEC04BC"/>
    <w:rsid w:val="3E087500"/>
    <w:rsid w:val="3E137D26"/>
    <w:rsid w:val="3E972616"/>
    <w:rsid w:val="3EA33A81"/>
    <w:rsid w:val="40E9698B"/>
    <w:rsid w:val="414D656B"/>
    <w:rsid w:val="427042AA"/>
    <w:rsid w:val="428163E6"/>
    <w:rsid w:val="44127952"/>
    <w:rsid w:val="44A148F5"/>
    <w:rsid w:val="44C174C3"/>
    <w:rsid w:val="47DC69EC"/>
    <w:rsid w:val="499521D0"/>
    <w:rsid w:val="49DD0DF6"/>
    <w:rsid w:val="4C9A17F5"/>
    <w:rsid w:val="4CC72D5E"/>
    <w:rsid w:val="4D340B2B"/>
    <w:rsid w:val="4D4F0B21"/>
    <w:rsid w:val="4DA90158"/>
    <w:rsid w:val="4F78350E"/>
    <w:rsid w:val="50852F6D"/>
    <w:rsid w:val="516B76EF"/>
    <w:rsid w:val="518B3CEC"/>
    <w:rsid w:val="51A035E1"/>
    <w:rsid w:val="546F6F55"/>
    <w:rsid w:val="563D76A5"/>
    <w:rsid w:val="59FD14AA"/>
    <w:rsid w:val="5A0A650B"/>
    <w:rsid w:val="5B8468F1"/>
    <w:rsid w:val="5BA762C4"/>
    <w:rsid w:val="5E0E1254"/>
    <w:rsid w:val="5E4D50FE"/>
    <w:rsid w:val="5E607A20"/>
    <w:rsid w:val="5E6B2277"/>
    <w:rsid w:val="5E815C9B"/>
    <w:rsid w:val="5F4232F9"/>
    <w:rsid w:val="60040F46"/>
    <w:rsid w:val="61055CA6"/>
    <w:rsid w:val="61A44FDF"/>
    <w:rsid w:val="6206317D"/>
    <w:rsid w:val="62406A92"/>
    <w:rsid w:val="62463C80"/>
    <w:rsid w:val="627629F7"/>
    <w:rsid w:val="638E2985"/>
    <w:rsid w:val="64291442"/>
    <w:rsid w:val="64A16A6D"/>
    <w:rsid w:val="65DE26DD"/>
    <w:rsid w:val="66DC5867"/>
    <w:rsid w:val="69A13ED9"/>
    <w:rsid w:val="6D11689B"/>
    <w:rsid w:val="70145F42"/>
    <w:rsid w:val="709A0C75"/>
    <w:rsid w:val="71420598"/>
    <w:rsid w:val="72D216E9"/>
    <w:rsid w:val="72D35C5B"/>
    <w:rsid w:val="73FA1F78"/>
    <w:rsid w:val="7438316F"/>
    <w:rsid w:val="744F0F45"/>
    <w:rsid w:val="7474691A"/>
    <w:rsid w:val="75461BD3"/>
    <w:rsid w:val="75847FD4"/>
    <w:rsid w:val="76256C19"/>
    <w:rsid w:val="7706201E"/>
    <w:rsid w:val="7935073B"/>
    <w:rsid w:val="7AE72136"/>
    <w:rsid w:val="7B397E49"/>
    <w:rsid w:val="7CF45E03"/>
    <w:rsid w:val="7D1A18E8"/>
    <w:rsid w:val="7E6B7050"/>
    <w:rsid w:val="7F6B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0" w:name="Body Text First Indent 2"/>
    <w:lsdException w:unhideWhenUsed="0" w:uiPriority="0" w:semiHidden="0" w:name="Note Heading"/>
    <w:lsdException w:qFormat="1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ind w:firstLine="420"/>
    </w:pPr>
    <w:rPr>
      <w:rFonts w:ascii="Calibri" w:hAnsi="Calibri" w:eastAsia="楷体_GB2312"/>
      <w:sz w:val="32"/>
      <w:szCs w:val="22"/>
    </w:r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2"/>
    <w:basedOn w:val="1"/>
    <w:unhideWhenUsed/>
    <w:qFormat/>
    <w:uiPriority w:val="0"/>
    <w:pPr>
      <w:spacing w:line="360" w:lineRule="auto"/>
      <w:ind w:firstLine="200" w:firstLineChars="200"/>
    </w:pPr>
    <w:rPr>
      <w:rFonts w:eastAsia="楷体_GB2312"/>
      <w:sz w:val="32"/>
    </w:rPr>
  </w:style>
  <w:style w:type="paragraph" w:styleId="5">
    <w:name w:val="Body Text First Indent 2"/>
    <w:basedOn w:val="1"/>
    <w:next w:val="1"/>
    <w:semiHidden/>
    <w:unhideWhenUsed/>
    <w:qFormat/>
    <w:uiPriority w:val="0"/>
    <w:pPr>
      <w:adjustRightInd w:val="0"/>
      <w:snapToGrid w:val="0"/>
      <w:ind w:firstLine="420" w:firstLineChars="200"/>
    </w:pPr>
  </w:style>
  <w:style w:type="paragraph" w:styleId="6">
    <w:name w:val="Block Text"/>
    <w:basedOn w:val="1"/>
    <w:qFormat/>
    <w:uiPriority w:val="0"/>
    <w:pPr>
      <w:spacing w:line="460" w:lineRule="exact"/>
      <w:ind w:left="-171" w:leftChars="-171" w:right="-159" w:rightChars="-159" w:firstLine="450"/>
    </w:pPr>
    <w:rPr>
      <w:rFonts w:ascii="仿宋_GB2312" w:hAnsi="仿宋_GB2312" w:cs="仿宋_GB2312"/>
      <w:sz w:val="30"/>
      <w:szCs w:val="30"/>
      <w:lang w:bidi="ar-SA"/>
    </w:rPr>
  </w:style>
  <w:style w:type="paragraph" w:styleId="7">
    <w:name w:val="Plain Text"/>
    <w:basedOn w:val="1"/>
    <w:next w:val="1"/>
    <w:unhideWhenUsed/>
    <w:qFormat/>
    <w:uiPriority w:val="99"/>
    <w:rPr>
      <w:rFonts w:ascii="宋体" w:hAnsi="Courier New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4">
    <w:name w:val="Strong"/>
    <w:basedOn w:val="13"/>
    <w:qFormat/>
    <w:uiPriority w:val="0"/>
    <w:rPr>
      <w:b/>
    </w:rPr>
  </w:style>
  <w:style w:type="paragraph" w:customStyle="1" w:styleId="15">
    <w:name w:val="公文"/>
    <w:basedOn w:val="1"/>
    <w:qFormat/>
    <w:uiPriority w:val="0"/>
    <w:pPr>
      <w:ind w:firstLine="20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2024</Words>
  <Characters>2068</Characters>
  <Lines>0</Lines>
  <Paragraphs>0</Paragraphs>
  <TotalTime>117</TotalTime>
  <ScaleCrop>false</ScaleCrop>
  <LinksUpToDate>false</LinksUpToDate>
  <CharactersWithSpaces>2069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2025-12-11T02:10:00Z</dcterms:created>
  <dc:creator>Administrator</dc:creator>
  <cp:lastModifiedBy>1813068025</cp:lastModifiedBy>
  <cp:lastPrinted>2026-01-05T01:24:00Z</cp:lastPrinted>
  <dcterms:modified xsi:type="dcterms:W3CDTF">2026-01-14T03:10:37Z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eyJoZGlkIjoiZTA5ZTRjODhkODkzZWJkYjFmMTFmMzg3MWE2ODAyNzQiLCJ1c2VySWQiOiI1MTgzMDA3NzQifQ==</vt:lpwstr>
  </property>
  <property fmtid="{D5CDD505-2E9C-101B-9397-08002B2CF9AE}" pid="4" name="ICV">
    <vt:lpwstr>4D07FABD644F4444A18EFC60BF8532FD_13</vt:lpwstr>
  </property>
</Properties>
</file>