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5D7E">
      <w:pPr>
        <w:adjustRightInd/>
        <w:snapToGrid/>
        <w:spacing w:line="600" w:lineRule="exact"/>
        <w:ind w:firstLine="0" w:firstLineChars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24"/>
          <w:lang w:val="en-US" w:eastAsia="zh-CN" w:bidi="ar-SA"/>
        </w:rPr>
        <w:t>附件1</w:t>
      </w:r>
    </w:p>
    <w:p w14:paraId="5B1C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北京城市副中心关于支持“人工智能+”</w:t>
      </w:r>
    </w:p>
    <w:p w14:paraId="65B67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创新发展的若干措施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（征求意见稿）</w:t>
      </w:r>
    </w:p>
    <w:p w14:paraId="3B4EF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4D90D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《国务院关于深入实施“人工智能+”行动的意见》《北京市加快建设具有全球影响力的人工智能创新策源地实施方案（2023-2025年）》《北京市推动“人工智能+”行动计划（2024-2025年）》等文件精神，紧抓人工智能大模型技术革新机遇，全力打造北京城市副中心人工智能产业高地，加速推进人工智能在千行百业落地应用，特制定本措施。</w:t>
      </w:r>
    </w:p>
    <w:p w14:paraId="20CD0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一、强化人工智能基础能力供给</w:t>
      </w:r>
    </w:p>
    <w:p w14:paraId="40D90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1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 xml:space="preserve">条 </w:t>
      </w:r>
      <w:r>
        <w:rPr>
          <w:rStyle w:val="6"/>
          <w:rFonts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</w:rPr>
        <w:t>降低智能算力使用成本</w:t>
      </w:r>
      <w:r>
        <w:rPr>
          <w:rFonts w:hint="eastAsia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降低各行各业应用大模型的算力成本，对租用非关联方智能算力的主体，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给予算力券支持，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对于应用成效显著的，最高按照采购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服务合同总金额的30%给予支持，单个企业年度算力券补贴金额不超过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50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并积极推荐申报市级、国家级算力券补贴。</w:t>
      </w:r>
    </w:p>
    <w:p w14:paraId="3E431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 xml:space="preserve">第二条 </w:t>
      </w:r>
      <w:r>
        <w:rPr>
          <w:rFonts w:hint="default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支持高质量数据集</w:t>
      </w:r>
      <w:r>
        <w:rPr>
          <w:rFonts w:hint="eastAsia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建设使用</w:t>
      </w:r>
      <w:r>
        <w:rPr>
          <w:rFonts w:hint="default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支持数据产品开发和应用，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利用合规交易平台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购买非关联方的数据集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、数据接口、数据模型等数据产品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进行模型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训练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、垂类应用、智能体研发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的企业，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按年度交易额的10%给予数据券补贴，单个主体年度最高补贴100万元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A1D2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第三条  支持人工智能模型算法产品开发。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打造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val="en-US" w:eastAsia="zh-CN"/>
        </w:rPr>
        <w:t>具有竞争力的模型产品，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对新增获得国家互联网</w:t>
      </w:r>
      <w:r>
        <w:rPr>
          <w:rFonts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信息办公室生成式人工智能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服务、境内深度合成服务算法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备案且落地应用效果良好的企业，</w:t>
      </w:r>
      <w:r>
        <w:rPr>
          <w:rFonts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分别给予最高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100万元、20万元一次性支持，单个企业每年最高给予100万元支持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37D914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条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人工智能技术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研制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人工智能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产业标准化体系建设，支持企业参与人工智能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大模型上下文协议、多智能体协议框架等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重点标准的创制与应用，形成关键领域自主知识产权，对主导国际标准、国家标准和地方（行业标准）制定的企业，分别给予最高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50万元、30万元、20万元一次性支持，单个企业每年最高给予100万元支持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1DD8B7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第五条  支持人工智能模型算法自主创新。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通用人工智能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大模型算法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及关键技术研究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，构建自主可控、安全可信、稳定高效、应用广泛的新型通用人工智能底层技术架构。对颠覆性强、推广性强、认可度高、成效显著的模型研制企业，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</w:rPr>
        <w:t>给予最高</w:t>
      </w:r>
      <w:r>
        <w:rPr>
          <w:rFonts w:hint="eastAsia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</w:rPr>
        <w:t>万元奖励</w:t>
      </w:r>
      <w:r>
        <w:rPr>
          <w:rFonts w:hint="eastAsia" w:ascii="Times New Roman" w:hAnsi="Times New Roman" w:eastAsia="仿宋_GB2312" w:cs="Times New Roman"/>
          <w:strike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并向市区两级政府产业投资引导基金重点推荐。</w:t>
      </w:r>
    </w:p>
    <w:p w14:paraId="3A3FE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二、推动人工智能技术落地与供需对接</w:t>
      </w:r>
    </w:p>
    <w:p w14:paraId="209BA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第六条 </w:t>
      </w:r>
      <w:r>
        <w:rPr>
          <w:rStyle w:val="6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  <w:lang w:val="en-US" w:eastAsia="zh-CN"/>
        </w:rPr>
        <w:t>降低</w:t>
      </w:r>
      <w:r>
        <w:rPr>
          <w:rStyle w:val="6"/>
          <w:rFonts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</w:rPr>
        <w:t>人工智能大模型</w:t>
      </w:r>
      <w:r>
        <w:rPr>
          <w:rStyle w:val="6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  <w:lang w:val="en-US" w:eastAsia="zh-CN"/>
        </w:rPr>
        <w:t>落地</w:t>
      </w:r>
      <w:r>
        <w:rPr>
          <w:rStyle w:val="6"/>
          <w:rFonts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</w:rPr>
        <w:t>应用</w:t>
      </w:r>
      <w:r>
        <w:rPr>
          <w:rStyle w:val="6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  <w:lang w:val="en-US" w:eastAsia="zh-CN"/>
        </w:rPr>
        <w:t>成本</w:t>
      </w:r>
      <w:r>
        <w:rPr>
          <w:rStyle w:val="6"/>
          <w:rFonts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对调用云平台部署的第三方大模型API，或采用第三方大模型私有化部署方式推进大模型垂类应用的主体，最高按照采购服务合同总金额的30%给予模型券支持，单个企业年度模型券补贴金额不超过30万元，并积极推荐申报市级、国家级模型券补贴。</w:t>
      </w:r>
    </w:p>
    <w:p w14:paraId="4B774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第七条 降低人工智能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模型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落地应用门槛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支持云服务和大模型厂商建设人工智能模型服务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（MaaS平台），切实降低通用人工智能模型规模化部署应用门槛，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对达到一定规模的MaaS平台给予算力支持，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降低MaaS平台在算力匹配、大模型调用、数据治理等方面成本，对算力部署成本给予最高5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00万元支持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F07B0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第八条 支持通用人工智能体加速培育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支持创新主体开发跨领域、多任务、自规划的通用智能体，对已取得生成式人工智能产品服务上线批号、首次在各类应用商店上架的通用智能体，优先协调算力保障，并对运营服务中调用算力和模型成本给予最高不超过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00万元支持。</w:t>
      </w:r>
    </w:p>
    <w:p w14:paraId="313184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条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支持人工智能终端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产品推广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使用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支持人工智能企业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加快智能硬件研发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牵头建设中试平台、检测中心等，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开展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关键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技术攻关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、技术评测、应用实验等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，推进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AI PC、AI手机、AI眼镜、智能机器人等智能产品的研发和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量产。</w:t>
      </w:r>
      <w:r>
        <w:rPr>
          <w:rFonts w:hint="eastAsia" w:ascii="Times New Roman" w:hAnsi="Times New Roman" w:eastAsia="仿宋_GB2312" w:cs="Times New Roman"/>
          <w:strike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产品销售或租用达到一定规模的，按年度销售或租赁合同额的5%给予最高500万元奖励。</w:t>
      </w:r>
    </w:p>
    <w:p w14:paraId="524A9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第十条 支持开展场景应用供需对接服务。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支持协会、联盟、企业等主体搭建场景应用供需对接平台，吸纳企业上传供给技术能力，持续筛选标杆解决方案，构建场景应用创新“资源池”，打通供需对接渠道，深化跨领域、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跨层级场景应用，推广应用成果，优化技术供给项目场景服务策略，对服务成效显著的，最高给予50万元一次性奖励。</w:t>
      </w:r>
    </w:p>
    <w:p w14:paraId="3582B8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8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三、深化人工智能在重点行业的融合应用</w:t>
      </w:r>
    </w:p>
    <w:p w14:paraId="6306FE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在以下方向领域打造一批人工智能典型应用解决方案，对技术先进、可快速复制推广、具有较强示范意义的应用场景项目，单个项目最高给予50万元支持，单个企业每年最高给予200万元支持。具体如下：</w:t>
      </w:r>
    </w:p>
    <w:p w14:paraId="582F3CC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支持人工智能+文化旅游</w:t>
      </w:r>
    </w:p>
    <w:p w14:paraId="4542B4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支持企业将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人工智能文本创作、视频生成、影视渲染等技术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文学作品、历史建筑、文化遗迹、景点信息等优质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文旅资源相结合，打造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AIGC内容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创作、智能导览、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高精度三维重建、沉浸式体验一批新交互场景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，重塑文化遗产保护及传承模式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88050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支持人工智能+医疗健康</w:t>
      </w:r>
    </w:p>
    <w:p w14:paraId="3DAA9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支持企业依托人工智能颠覆性技术优势，突破药物研发、辅助诊疗、中医传承、科教应用、风险评估等存在的问题壁垒，基于影像云平台、医疗健康大数据平台和“三医”海量医疗数据，在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导诊服务、在线问诊、处方生成、用药咨询、慢病管理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等应用场景培育一批典型应用案例，推动互联网医院向人工智能医院升级转型。</w:t>
      </w:r>
    </w:p>
    <w:p w14:paraId="5D0AF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支持人工智能+教育</w:t>
      </w:r>
    </w:p>
    <w:p w14:paraId="3AB07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支持企业将人工智能与教育资源整合，围绕典型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教学案例、讲义素材、施教方法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等优质知识资源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在思政、科学教育、美育、心理健康、数学、物理等基础学科领域，开展智能备课、课件生成、课程分析、学习跟踪、教学评价等新型场景应用。</w:t>
      </w:r>
    </w:p>
    <w:p w14:paraId="2C5BA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十四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支持人工智能+工业</w:t>
      </w:r>
    </w:p>
    <w:p w14:paraId="62AF71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支持企业将人工智能与工业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机理、数据、知识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进行深入融合，对工业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产品设计、研发协同、设备管理、智能排产、质量追溯等制造业核心环节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进行深度优化，解决制造业共性痛点，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提升制造业效率和优化生产管理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77AF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支持人工智能+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N“智能体”</w:t>
      </w:r>
    </w:p>
    <w:p w14:paraId="68C73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支持企业结合垂类行业发展特点，与行业内龙头客户合作，通过数据清洗、参数更新、算法调优等多种手段，解决行业共性痛点，提高生产工作效率，降低模型服务在垂类行业应用门槛，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提升模型服务精准落地能力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金融、能源、交通、安防、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等行业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形成行业大模型落地的标杆示范典型案例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及智能体。</w:t>
      </w:r>
    </w:p>
    <w:p w14:paraId="60204A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四、构建人工智能产业生态体系</w:t>
      </w:r>
    </w:p>
    <w:p w14:paraId="766F52C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第十六条 打造产业创新服务平台。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支持人工智能前沿领域安全治理、共性技术研发、测试评估、中试验证、生态赋能等产业创新服务平台建设，对服务成效显著的，最高给予50万元一次性支持。</w:t>
      </w:r>
    </w:p>
    <w:p w14:paraId="322E59E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第十七条 加速构建开源生态新体系。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吸引人工智能开源组织落地并实施共享开源项目，建立基于人工智能开源贡献的评价和激励机制，对符合条件的人工智能共享开源项目给予最高100万元奖励。</w:t>
      </w:r>
    </w:p>
    <w:p w14:paraId="11A701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支持建设“人工智能+”特色产业园。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支持通过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盘活闲置厂房、存量楼宇等资源，建设一批主导产业聚焦、基础设施完善、配套服务专业、优势特色突出的“人工智能+”特色产业园，并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为企业入驻发展提供创业辅导、场景对接、产业链融通等专业服务，对产业园区建设卓有成效的运营主体，给予最高300万元的奖励。</w:t>
      </w:r>
    </w:p>
    <w:p w14:paraId="7CAB71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条 支持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开展人工智能应用型人才培训。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行业协会、学会、联盟，联合信息软件企业、行业用户、新型研发机构及相关院校，共同开发大模型部署优化、AI+产业融合创新、智能体构建、人才资格认证等模块化培训课程，组织“首席数据官”培训、区域巡回讲座、专题研讨会等活动，培养具备产业落地经验的人工智能工程师、跨领域解决方案专家及复合型技术管理人才，对培训效果良好的培训活动，最高按照培训实际发生金额的50%给予支持，单个企业或机构每年最高给予100万元支持。</w:t>
      </w:r>
    </w:p>
    <w:p w14:paraId="75EB8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  支持产业品牌生态活动建设。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支持行业龙头企业、社会中介组织、专业服务机构等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举办人工智能领域相关的主题赛事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及活动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，促进资源流通、技术创新与场景落地，对相关联盟、协会举办的活动，按照活动规模、成效等综合评估，对于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成效显著、影响力大的活动主办方、承办方和协办方等相关出资单位，最高按照活动实际发生金额的50%给予支持，单个企业或机构每年最高给予100万元支持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4A0B9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4231B"/>
    <w:rsid w:val="02906F11"/>
    <w:rsid w:val="03A10CAA"/>
    <w:rsid w:val="062D26FB"/>
    <w:rsid w:val="064E6D5F"/>
    <w:rsid w:val="0D6C5CC1"/>
    <w:rsid w:val="0EAD1661"/>
    <w:rsid w:val="0F3D437A"/>
    <w:rsid w:val="112C7E60"/>
    <w:rsid w:val="19FD48D6"/>
    <w:rsid w:val="1A0E0CCD"/>
    <w:rsid w:val="1C3E194E"/>
    <w:rsid w:val="202F346E"/>
    <w:rsid w:val="20B77599"/>
    <w:rsid w:val="257757B3"/>
    <w:rsid w:val="267B3AFF"/>
    <w:rsid w:val="2849353B"/>
    <w:rsid w:val="29580D1B"/>
    <w:rsid w:val="29916F47"/>
    <w:rsid w:val="2EC102CF"/>
    <w:rsid w:val="2F4A02C4"/>
    <w:rsid w:val="2FED67F0"/>
    <w:rsid w:val="325250B2"/>
    <w:rsid w:val="33E32A95"/>
    <w:rsid w:val="35DD9050"/>
    <w:rsid w:val="36321AB2"/>
    <w:rsid w:val="369462C9"/>
    <w:rsid w:val="37BF130A"/>
    <w:rsid w:val="382E3AFE"/>
    <w:rsid w:val="3837515E"/>
    <w:rsid w:val="3C3CA4F1"/>
    <w:rsid w:val="3F6B5BEF"/>
    <w:rsid w:val="46623CEE"/>
    <w:rsid w:val="47193B95"/>
    <w:rsid w:val="47514196"/>
    <w:rsid w:val="4CDF01D1"/>
    <w:rsid w:val="4DE904E0"/>
    <w:rsid w:val="4F36618E"/>
    <w:rsid w:val="5106591E"/>
    <w:rsid w:val="51654692"/>
    <w:rsid w:val="52D25D57"/>
    <w:rsid w:val="53131313"/>
    <w:rsid w:val="544467E1"/>
    <w:rsid w:val="55160C9A"/>
    <w:rsid w:val="55BF5536"/>
    <w:rsid w:val="564E08D4"/>
    <w:rsid w:val="57947A7F"/>
    <w:rsid w:val="5ADD112C"/>
    <w:rsid w:val="5B9462A0"/>
    <w:rsid w:val="5C9A3289"/>
    <w:rsid w:val="5CC61D78"/>
    <w:rsid w:val="5D1D22C5"/>
    <w:rsid w:val="5D7349EB"/>
    <w:rsid w:val="5E6D0BC1"/>
    <w:rsid w:val="61AF5FAD"/>
    <w:rsid w:val="61C80397"/>
    <w:rsid w:val="61E95C00"/>
    <w:rsid w:val="671C4DE2"/>
    <w:rsid w:val="67226E55"/>
    <w:rsid w:val="69934F73"/>
    <w:rsid w:val="6AAC4759"/>
    <w:rsid w:val="70710506"/>
    <w:rsid w:val="73FFEA5C"/>
    <w:rsid w:val="79890AE2"/>
    <w:rsid w:val="7B6507A8"/>
    <w:rsid w:val="7CF92AA5"/>
    <w:rsid w:val="7DAC53D4"/>
    <w:rsid w:val="7EFC18E2"/>
    <w:rsid w:val="7FC4231B"/>
    <w:rsid w:val="7FE65E0B"/>
    <w:rsid w:val="BF6C9BAA"/>
    <w:rsid w:val="DE7AB635"/>
    <w:rsid w:val="FF6AB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8639</Words>
  <Characters>8895</Characters>
  <Lines>0</Lines>
  <Paragraphs>0</Paragraphs>
  <TotalTime>0</TotalTime>
  <ScaleCrop>false</ScaleCrop>
  <LinksUpToDate>false</LinksUpToDate>
  <CharactersWithSpaces>8942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2025-09-21T10:54:00Z</dcterms:created>
  <dc:creator>tanha</dc:creator>
  <cp:lastModifiedBy>Disney1985</cp:lastModifiedBy>
  <dcterms:modified xsi:type="dcterms:W3CDTF">2025-10-10T16:03:05Z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C5090898134B4FDC8BF6CED7FC97F9E0_13</vt:lpwstr>
  </property>
  <property fmtid="{D5CDD505-2E9C-101B-9397-08002B2CF9AE}" pid="4" name="KSOTemplateDocerSaveRecord">
    <vt:lpwstr>eyJoZGlkIjoiMjMwZWQyZTk2OWVhMmJlMDhlMGZkN2EyMzU1YjRkNzAiLCJ1c2VySWQiOiIzMTExNTM4MjMifQ==</vt:lpwstr>
  </property>
</Properties>
</file>