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bCs/>
          <w:sz w:val="44"/>
          <w:szCs w:val="44"/>
          <w:lang w:eastAsia="zh-CN"/>
        </w:rPr>
      </w:pPr>
      <w:bookmarkStart w:id="5" w:name="_GoBack"/>
      <w:r>
        <w:rPr>
          <w:rFonts w:hint="eastAsia" w:ascii="Times New Roman" w:hAnsi="Times New Roman" w:eastAsia="方正小标宋简体"/>
          <w:bCs/>
          <w:sz w:val="44"/>
          <w:szCs w:val="44"/>
          <w:lang w:val="en-US" w:eastAsia="zh-CN"/>
        </w:rPr>
        <w:t>北京市</w:t>
      </w:r>
      <w:r>
        <w:rPr>
          <w:rFonts w:hint="eastAsia" w:ascii="Times New Roman" w:hAnsi="Times New Roman" w:eastAsia="方正小标宋简体"/>
          <w:bCs/>
          <w:sz w:val="44"/>
          <w:szCs w:val="44"/>
          <w:lang w:eastAsia="zh-CN"/>
        </w:rPr>
        <w:t>通州区发展和改革委员会</w:t>
      </w:r>
    </w:p>
    <w:p>
      <w:pPr>
        <w:keepNext w:val="0"/>
        <w:keepLines w:val="0"/>
        <w:pageBreakBefore w:val="0"/>
        <w:widowControl w:val="0"/>
        <w:kinsoku/>
        <w:wordWrap/>
        <w:overflowPunct/>
        <w:topLinePunct w:val="0"/>
        <w:autoSpaceDE/>
        <w:autoSpaceDN/>
        <w:bidi w:val="0"/>
        <w:spacing w:line="560" w:lineRule="exact"/>
        <w:jc w:val="center"/>
        <w:rPr>
          <w:rFonts w:hint="eastAsia" w:ascii="方正小标宋简体" w:eastAsia="方正小标宋简体"/>
          <w:bCs/>
          <w:sz w:val="44"/>
          <w:szCs w:val="44"/>
          <w:lang w:val="en-US" w:eastAsia="zh-CN"/>
        </w:rPr>
      </w:pPr>
      <w:bookmarkStart w:id="0" w:name="OLE_LINK2"/>
      <w:bookmarkStart w:id="1" w:name="OLE_LINK4"/>
      <w:r>
        <w:rPr>
          <w:rFonts w:hint="eastAsia" w:ascii="方正小标宋简体" w:eastAsia="方正小标宋简体"/>
          <w:bCs/>
          <w:sz w:val="44"/>
          <w:szCs w:val="44"/>
        </w:rPr>
        <w:t>关于</w:t>
      </w:r>
      <w:bookmarkEnd w:id="0"/>
      <w:r>
        <w:rPr>
          <w:rFonts w:hint="eastAsia" w:ascii="方正小标宋简体" w:eastAsia="方正小标宋简体"/>
          <w:bCs/>
          <w:sz w:val="44"/>
          <w:szCs w:val="44"/>
        </w:rPr>
        <w:t>提前核准</w:t>
      </w:r>
      <w:r>
        <w:rPr>
          <w:rFonts w:hint="eastAsia" w:ascii="方正小标宋简体" w:eastAsia="方正小标宋简体"/>
          <w:bCs/>
          <w:sz w:val="44"/>
          <w:szCs w:val="44"/>
          <w:lang w:val="en-US" w:eastAsia="zh-CN"/>
        </w:rPr>
        <w:t>潞苑二街（潞苑东路-兴疃路）</w:t>
      </w:r>
    </w:p>
    <w:p>
      <w:pPr>
        <w:keepNext w:val="0"/>
        <w:keepLines w:val="0"/>
        <w:pageBreakBefore w:val="0"/>
        <w:widowControl w:val="0"/>
        <w:kinsoku/>
        <w:wordWrap/>
        <w:overflowPunct/>
        <w:topLinePunct w:val="0"/>
        <w:autoSpaceDE/>
        <w:autoSpaceDN/>
        <w:bidi w:val="0"/>
        <w:spacing w:line="560" w:lineRule="exact"/>
        <w:jc w:val="center"/>
        <w:rPr>
          <w:rFonts w:ascii="仿宋_GB2312" w:eastAsia="仿宋_GB2312"/>
          <w:sz w:val="32"/>
          <w:szCs w:val="32"/>
        </w:rPr>
      </w:pPr>
      <w:r>
        <w:rPr>
          <w:rFonts w:hint="eastAsia" w:ascii="方正小标宋简体" w:eastAsia="方正小标宋简体"/>
          <w:bCs/>
          <w:sz w:val="44"/>
          <w:szCs w:val="44"/>
          <w:lang w:val="en-US" w:eastAsia="zh-CN"/>
        </w:rPr>
        <w:t>道路工程</w:t>
      </w:r>
      <w:r>
        <w:rPr>
          <w:rFonts w:hint="eastAsia" w:ascii="方正小标宋简体" w:eastAsia="方正小标宋简体"/>
          <w:bCs/>
          <w:sz w:val="44"/>
          <w:szCs w:val="44"/>
          <w:lang w:eastAsia="zh-CN"/>
        </w:rPr>
        <w:t>勘察、设计</w:t>
      </w:r>
      <w:r>
        <w:rPr>
          <w:rFonts w:hint="eastAsia" w:ascii="方正小标宋简体" w:eastAsia="方正小标宋简体"/>
          <w:bCs/>
          <w:sz w:val="44"/>
          <w:szCs w:val="44"/>
        </w:rPr>
        <w:t>招标方案的批复</w:t>
      </w:r>
      <w:bookmarkEnd w:id="1"/>
    </w:p>
    <w:bookmarkEnd w:id="5"/>
    <w:p>
      <w:pPr>
        <w:tabs>
          <w:tab w:val="left" w:pos="345"/>
          <w:tab w:val="left" w:pos="6570"/>
        </w:tabs>
        <w:ind w:firstLine="320" w:firstLineChars="100"/>
        <w:jc w:val="center"/>
        <w:rPr>
          <w:rFonts w:ascii="文星标宋" w:hAnsi="文星标宋" w:eastAsia="文星标宋"/>
          <w:spacing w:val="100"/>
          <w:w w:val="80"/>
          <w:kern w:val="400"/>
          <w:sz w:val="28"/>
          <w:szCs w:val="28"/>
        </w:rPr>
      </w:pPr>
      <w:r>
        <w:rPr>
          <w:rFonts w:hint="eastAsia" w:ascii="仿宋_GB2312" w:hAnsi="仿宋_GB2312" w:eastAsia="仿宋_GB2312" w:cs="仿宋_GB2312"/>
          <w:b w:val="0"/>
          <w:bCs w:val="0"/>
          <w:color w:val="auto"/>
          <w:sz w:val="32"/>
          <w:szCs w:val="32"/>
          <w:highlight w:val="none"/>
          <w:lang w:eastAsia="zh-CN"/>
        </w:rPr>
        <w:t>京通州</w:t>
      </w:r>
      <w:r>
        <w:rPr>
          <w:rFonts w:hint="eastAsia" w:ascii="仿宋_GB2312" w:hAnsi="仿宋_GB2312" w:eastAsia="仿宋_GB2312" w:cs="仿宋_GB2312"/>
          <w:b w:val="0"/>
          <w:bCs w:val="0"/>
          <w:color w:val="auto"/>
          <w:sz w:val="32"/>
          <w:szCs w:val="32"/>
          <w:highlight w:val="none"/>
        </w:rPr>
        <w:t>发改（</w:t>
      </w:r>
      <w:r>
        <w:rPr>
          <w:rFonts w:hint="eastAsia" w:ascii="仿宋_GB2312" w:hAnsi="仿宋_GB2312" w:eastAsia="仿宋_GB2312" w:cs="仿宋_GB2312"/>
          <w:b w:val="0"/>
          <w:bCs w:val="0"/>
          <w:color w:val="auto"/>
          <w:sz w:val="32"/>
          <w:szCs w:val="32"/>
          <w:highlight w:val="none"/>
          <w:lang w:eastAsia="zh-CN"/>
        </w:rPr>
        <w:t>核</w:t>
      </w:r>
      <w:r>
        <w:rPr>
          <w:rFonts w:hint="eastAsia" w:ascii="仿宋_GB2312" w:hAnsi="仿宋_GB2312" w:eastAsia="仿宋_GB2312" w:cs="仿宋_GB2312"/>
          <w:b w:val="0"/>
          <w:bCs w:val="0"/>
          <w:color w:val="auto"/>
          <w:sz w:val="32"/>
          <w:szCs w:val="32"/>
          <w:highlight w:val="none"/>
        </w:rPr>
        <w:t>）〔202</w:t>
      </w:r>
      <w:r>
        <w:rPr>
          <w:rFonts w:hint="eastAsia" w:ascii="仿宋_GB2312" w:hAnsi="仿宋_GB2312" w:eastAsia="仿宋_GB2312" w:cs="仿宋_GB2312"/>
          <w:b w:val="0"/>
          <w:bCs w:val="0"/>
          <w:color w:val="auto"/>
          <w:sz w:val="32"/>
          <w:szCs w:val="32"/>
          <w:highlight w:val="none"/>
          <w:lang w:val="en-US" w:eastAsia="zh-CN"/>
        </w:rPr>
        <w:t>6</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11</w:t>
      </w:r>
      <w:r>
        <w:rPr>
          <w:rFonts w:hint="eastAsia" w:ascii="仿宋_GB2312" w:hAnsi="仿宋_GB2312" w:eastAsia="仿宋_GB2312" w:cs="仿宋_GB2312"/>
          <w:b w:val="0"/>
          <w:bCs w:val="0"/>
          <w:color w:val="auto"/>
          <w:sz w:val="32"/>
          <w:szCs w:val="32"/>
          <w:highlight w:val="none"/>
        </w:rPr>
        <w:t>号</w:t>
      </w:r>
    </w:p>
    <w:p>
      <w:pPr>
        <w:pStyle w:val="4"/>
        <w:spacing w:line="560" w:lineRule="exact"/>
        <w:rPr>
          <w:rFonts w:ascii="仿宋_GB2312" w:eastAsia="仿宋_GB2312" w:cs="Times New Roman"/>
          <w:b/>
          <w:bCs/>
          <w:sz w:val="30"/>
          <w:szCs w:val="30"/>
        </w:rPr>
      </w:pPr>
      <w:r>
        <w:fldChar w:fldCharType="begin" w:fldLock="1"/>
      </w:r>
      <w:r>
        <w:instrText xml:space="preserve">ref  SHAPE  \* MERGEFORMAT </w:instrText>
      </w:r>
      <w:r>
        <w:fldChar w:fldCharType="separate"/>
      </w:r>
      <w:r>
        <w:fldChar w:fldCharType="end"/>
      </w:r>
    </w:p>
    <w:p>
      <w:pPr>
        <w:keepNext w:val="0"/>
        <w:keepLines w:val="0"/>
        <w:pageBreakBefore w:val="0"/>
        <w:widowControl w:val="0"/>
        <w:kinsoku/>
        <w:wordWrap/>
        <w:overflowPunct/>
        <w:topLinePunct w:val="0"/>
        <w:autoSpaceDE/>
        <w:autoSpaceDN/>
        <w:bidi w:val="0"/>
        <w:spacing w:line="560" w:lineRule="exact"/>
        <w:rPr>
          <w:rFonts w:ascii="仿宋_GB2312" w:eastAsia="仿宋_GB2312"/>
          <w:sz w:val="32"/>
          <w:szCs w:val="32"/>
        </w:rPr>
      </w:pPr>
      <w:r>
        <w:rPr>
          <w:rFonts w:hint="eastAsia" w:ascii="仿宋_GB2312" w:eastAsia="仿宋_GB2312" w:cs="仿宋_GB2312"/>
          <w:sz w:val="32"/>
          <w:szCs w:val="32"/>
          <w:lang w:eastAsia="zh-CN"/>
        </w:rPr>
        <w:t>北京新城基业投资发展有限公司</w:t>
      </w:r>
      <w:r>
        <w:rPr>
          <w:rFonts w:hint="eastAsia" w:ascii="仿宋_GB2312" w:eastAsia="仿宋_GB2312" w:cs="仿宋_GB2312"/>
          <w:sz w:val="32"/>
          <w:szCs w:val="32"/>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你单位《关于</w:t>
      </w:r>
      <w:r>
        <w:rPr>
          <w:rFonts w:hint="eastAsia" w:ascii="仿宋_GB2312" w:hAnsi="仿宋_GB2312" w:eastAsia="仿宋_GB2312" w:cs="仿宋_GB2312"/>
          <w:sz w:val="32"/>
          <w:szCs w:val="32"/>
          <w:lang w:val="en-US" w:eastAsia="zh-CN"/>
        </w:rPr>
        <w:t>潞苑二街（潞苑东路-兴疃路）先期核准勘察设计招标的请示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新城文〔202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0号</w:t>
      </w:r>
      <w:r>
        <w:rPr>
          <w:rFonts w:hint="eastAsia" w:ascii="仿宋_GB2312" w:hAnsi="仿宋_GB2312" w:eastAsia="仿宋_GB2312" w:cs="仿宋_GB2312"/>
          <w:sz w:val="32"/>
          <w:szCs w:val="32"/>
        </w:rPr>
        <w:t>）收悉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中华人民共和国招标投标法》《中华人民共和国招标投标法实施条例》《北京市招标投标条例》《必须招标的工程项目规定》《必须招标的基础设施和公用事业项目范围规定》《北京市工程建设项目招标方案核准办法》</w:t>
      </w:r>
      <w:r>
        <w:rPr>
          <w:rFonts w:hint="eastAsia" w:ascii="仿宋_GB2312" w:hAnsi="仿宋_GB2312" w:eastAsia="仿宋_GB2312" w:cs="仿宋_GB2312"/>
          <w:sz w:val="32"/>
          <w:szCs w:val="32"/>
          <w:lang w:eastAsia="zh-CN"/>
        </w:rPr>
        <w:t>以及《关于研究区级交通基础设施建设项目等工作的会议纪要》</w:t>
      </w:r>
      <w:r>
        <w:rPr>
          <w:rFonts w:hint="eastAsia" w:ascii="仿宋_GB2312" w:hAnsi="仿宋_GB2312" w:eastAsia="仿宋_GB2312" w:cs="仿宋_GB2312"/>
          <w:sz w:val="32"/>
          <w:szCs w:val="32"/>
          <w:lang w:val="en-US" w:eastAsia="zh-CN"/>
        </w:rPr>
        <w:t>(通政会</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251</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等相关</w:t>
      </w:r>
      <w:r>
        <w:rPr>
          <w:rFonts w:hint="eastAsia" w:ascii="仿宋_GB2312" w:hAnsi="仿宋_GB2312" w:eastAsia="仿宋_GB2312" w:cs="仿宋_GB2312"/>
          <w:sz w:val="32"/>
          <w:szCs w:val="32"/>
          <w:lang w:val="en-US" w:eastAsia="zh-CN"/>
        </w:rPr>
        <w:t>材料，经审查，核准潞苑二街（潞苑东路-兴疃路）道路工程勘察、设计招标</w:t>
      </w:r>
      <w:r>
        <w:rPr>
          <w:rFonts w:hint="eastAsia" w:ascii="仿宋_GB2312" w:hAnsi="仿宋_GB2312" w:eastAsia="仿宋_GB2312" w:cs="仿宋_GB2312"/>
          <w:sz w:val="32"/>
          <w:szCs w:val="32"/>
          <w:lang w:eastAsia="zh-CN"/>
        </w:rPr>
        <w:t>方案，现就有关事项批复如下：</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为加快项目前期工作，同意</w:t>
      </w:r>
      <w:r>
        <w:rPr>
          <w:rFonts w:hint="eastAsia" w:ascii="仿宋_GB2312" w:hAnsi="仿宋_GB2312" w:eastAsia="仿宋_GB2312" w:cs="仿宋_GB2312"/>
          <w:sz w:val="32"/>
          <w:szCs w:val="32"/>
          <w:lang w:val="en-US" w:eastAsia="zh-CN"/>
        </w:rPr>
        <w:t>潞苑二街（潞苑东路-兴疃路）道路工程</w:t>
      </w:r>
      <w:r>
        <w:rPr>
          <w:rFonts w:hint="eastAsia" w:ascii="仿宋_GB2312" w:hAnsi="仿宋_GB2312" w:eastAsia="仿宋_GB2312" w:cs="仿宋_GB2312"/>
          <w:sz w:val="32"/>
          <w:szCs w:val="32"/>
        </w:rPr>
        <w:t>项目单位提前开展勘察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设计招标工作。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二、你单位应当严格按照《建设项目招标方案核准意见书》依法开展招标工作。</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三、在建设项目实施过程中，确有特殊情况需要变更已核准的招标方案的，应当报我委重新核准。</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四、勘察、设计金额以最终批复为准</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640" w:firstLineChars="200"/>
        <w:textAlignment w:val="baseline"/>
        <w:outlineLvl w:val="9"/>
        <w:rPr>
          <w:rFonts w:hint="eastAsia"/>
        </w:rPr>
      </w:pPr>
      <w:r>
        <w:rPr>
          <w:rFonts w:hint="eastAsia" w:ascii="仿宋_GB2312" w:hAnsi="仿宋_GB2312" w:eastAsia="仿宋_GB2312" w:cs="仿宋_GB2312"/>
          <w:sz w:val="32"/>
          <w:szCs w:val="32"/>
        </w:rPr>
        <w:t>附件：建设项目招标方案核准意见书</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3840" w:firstLineChars="12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eastAsia="zh-CN"/>
        </w:rPr>
        <w:t>通州区</w:t>
      </w:r>
      <w:r>
        <w:rPr>
          <w:rFonts w:hint="eastAsia" w:ascii="仿宋_GB2312" w:hAnsi="仿宋_GB2312" w:eastAsia="仿宋_GB2312" w:cs="仿宋_GB2312"/>
          <w:sz w:val="32"/>
          <w:szCs w:val="32"/>
        </w:rPr>
        <w:t>发展和改革委员会</w:t>
      </w:r>
    </w:p>
    <w:p>
      <w:pPr>
        <w:keepNext w:val="0"/>
        <w:keepLines w:val="0"/>
        <w:pageBreakBefore w:val="0"/>
        <w:widowControl w:val="0"/>
        <w:tabs>
          <w:tab w:val="left" w:pos="4680"/>
        </w:tabs>
        <w:kinsoku/>
        <w:wordWrap/>
        <w:overflowPunct/>
        <w:topLinePunct w:val="0"/>
        <w:autoSpaceDE/>
        <w:autoSpaceDN/>
        <w:bidi w:val="0"/>
        <w:adjustRightInd w:val="0"/>
        <w:snapToGrid w:val="0"/>
        <w:spacing w:line="560" w:lineRule="exact"/>
        <w:ind w:firstLine="4800" w:firstLineChars="1500"/>
        <w:textAlignment w:val="baseline"/>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日</w:t>
      </w:r>
    </w:p>
    <w:p>
      <w:pPr>
        <w:rPr>
          <w:rFonts w:hint="eastAsia" w:ascii="黑体" w:hAnsi="黑体" w:eastAsia="黑体" w:cs="黑体"/>
          <w:sz w:val="32"/>
          <w:szCs w:val="32"/>
        </w:rPr>
      </w:pPr>
      <w:r>
        <w:rPr>
          <w:rFonts w:hint="eastAsia" w:ascii="黑体" w:hAnsi="黑体" w:eastAsia="黑体" w:cs="黑体"/>
          <w:sz w:val="32"/>
          <w:szCs w:val="32"/>
        </w:rPr>
        <w:br w:type="page"/>
      </w:r>
      <w:r>
        <w:rPr>
          <w:rFonts w:hint="eastAsia" w:ascii="黑体" w:hAnsi="黑体" w:eastAsia="黑体" w:cs="黑体"/>
          <w:sz w:val="32"/>
          <w:szCs w:val="32"/>
        </w:rPr>
        <w:t>附件</w:t>
      </w:r>
    </w:p>
    <w:p>
      <w:pPr>
        <w:jc w:val="center"/>
        <w:rPr>
          <w:rFonts w:ascii="仿宋_GB2312"/>
        </w:rPr>
      </w:pPr>
      <w:r>
        <w:rPr>
          <w:rFonts w:hint="eastAsia" w:ascii="方正小标宋简体" w:hAnsi="黑体" w:eastAsia="方正小标宋简体" w:cs="宋体"/>
          <w:bCs/>
          <w:kern w:val="0"/>
          <w:sz w:val="44"/>
          <w:szCs w:val="44"/>
        </w:rPr>
        <w:t>建设项目招标方案核准意见书</w:t>
      </w:r>
      <w:r>
        <w:rPr>
          <w:rFonts w:hint="eastAsia" w:ascii="方正小标宋简体" w:hAnsi="黑体" w:eastAsia="方正小标宋简体"/>
          <w:vanish/>
          <w:sz w:val="44"/>
          <w:szCs w:val="44"/>
        </w:rPr>
        <w:t xml:space="preserve"> </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_GB2312" w:hAnsi="仿宋" w:eastAsia="仿宋_GB2312"/>
          <w:sz w:val="21"/>
          <w:szCs w:val="21"/>
        </w:rPr>
      </w:pPr>
      <w:r>
        <w:rPr>
          <w:rFonts w:hint="eastAsia" w:ascii="仿宋_GB2312" w:hAnsi="仿宋" w:eastAsia="仿宋_GB2312"/>
          <w:sz w:val="21"/>
          <w:szCs w:val="21"/>
        </w:rPr>
        <w:t>项目名称：</w:t>
      </w:r>
      <w:r>
        <w:rPr>
          <w:rFonts w:hint="eastAsia" w:ascii="仿宋_GB2312" w:hAnsi="仿宋" w:eastAsia="仿宋_GB2312"/>
          <w:sz w:val="21"/>
          <w:szCs w:val="21"/>
          <w:lang w:val="en-US" w:eastAsia="zh-CN"/>
        </w:rPr>
        <w:t>潞苑二街（潞苑东路-兴疃路）道路工程</w:t>
      </w:r>
      <w:r>
        <w:rPr>
          <w:rFonts w:hint="eastAsia" w:ascii="仿宋_GB2312" w:hAnsi="仿宋" w:eastAsia="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ascii="仿宋_GB2312" w:hAnsi="仿宋" w:eastAsia="仿宋_GB2312"/>
          <w:sz w:val="24"/>
          <w:szCs w:val="24"/>
        </w:rPr>
      </w:pPr>
      <w:r>
        <w:rPr>
          <w:rFonts w:hint="eastAsia" w:ascii="仿宋_GB2312" w:hAnsi="仿宋" w:eastAsia="仿宋_GB2312"/>
          <w:sz w:val="21"/>
          <w:szCs w:val="21"/>
        </w:rPr>
        <w:t>项目建设单位名称：</w:t>
      </w:r>
      <w:r>
        <w:rPr>
          <w:rFonts w:hint="eastAsia" w:ascii="仿宋_GB2312" w:hAnsi="仿宋" w:eastAsia="仿宋_GB2312"/>
          <w:sz w:val="21"/>
          <w:szCs w:val="21"/>
          <w:lang w:eastAsia="zh-CN"/>
        </w:rPr>
        <w:t>北京新城基业投资发展有限公司</w:t>
      </w:r>
    </w:p>
    <w:tbl>
      <w:tblPr>
        <w:tblStyle w:val="13"/>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125"/>
        <w:gridCol w:w="1311"/>
        <w:gridCol w:w="1495"/>
        <w:gridCol w:w="1549"/>
        <w:gridCol w:w="112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jc w:val="center"/>
        </w:trPr>
        <w:tc>
          <w:tcPr>
            <w:tcW w:w="1186"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bookmarkStart w:id="2" w:name="book_bid_tab"/>
          </w:p>
        </w:tc>
        <w:tc>
          <w:tcPr>
            <w:tcW w:w="112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采购细项</w:t>
            </w:r>
          </w:p>
        </w:tc>
        <w:tc>
          <w:tcPr>
            <w:tcW w:w="131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单项合同</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估算金额</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（万元）</w:t>
            </w:r>
          </w:p>
        </w:tc>
        <w:tc>
          <w:tcPr>
            <w:tcW w:w="1495"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招标方式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（公开招标或邀请招标）</w:t>
            </w:r>
          </w:p>
        </w:tc>
        <w:tc>
          <w:tcPr>
            <w:tcW w:w="154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招标组织形式</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（自行招标或</w:t>
            </w:r>
            <w:bookmarkStart w:id="3" w:name="OLE_LINK1"/>
            <w:r>
              <w:rPr>
                <w:rFonts w:hint="eastAsia" w:ascii="仿宋_GB2312" w:hAnsi="黑体" w:eastAsia="仿宋_GB2312" w:cs="黑体"/>
                <w:kern w:val="0"/>
                <w:szCs w:val="21"/>
              </w:rPr>
              <w:t>委托招标</w:t>
            </w:r>
            <w:bookmarkEnd w:id="3"/>
            <w:r>
              <w:rPr>
                <w:rFonts w:hint="eastAsia" w:ascii="仿宋_GB2312" w:hAnsi="黑体" w:eastAsia="仿宋_GB2312" w:cs="黑体"/>
                <w:kern w:val="0"/>
                <w:szCs w:val="21"/>
              </w:rPr>
              <w:t>）</w:t>
            </w:r>
          </w:p>
        </w:tc>
        <w:tc>
          <w:tcPr>
            <w:tcW w:w="1124"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不采用招标形式</w:t>
            </w:r>
          </w:p>
        </w:tc>
        <w:tc>
          <w:tcPr>
            <w:tcW w:w="1281"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_GB2312" w:hAnsi="黑体" w:eastAsia="仿宋_GB2312" w:cs="黑体"/>
                <w:kern w:val="0"/>
                <w:szCs w:val="21"/>
              </w:rPr>
            </w:pPr>
            <w:r>
              <w:rPr>
                <w:rFonts w:hint="eastAsia" w:ascii="仿宋_GB2312" w:hAnsi="黑体" w:eastAsia="仿宋_GB2312" w:cs="黑体"/>
                <w:kern w:val="0"/>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1186" w:type="dxa"/>
            <w:vAlign w:val="center"/>
          </w:tcPr>
          <w:p>
            <w:pPr>
              <w:spacing w:line="300" w:lineRule="exact"/>
              <w:jc w:val="center"/>
              <w:rPr>
                <w:rFonts w:ascii="仿宋_GB2312" w:hAnsi="黑体" w:eastAsia="仿宋_GB2312" w:cs="黑体"/>
                <w:kern w:val="0"/>
                <w:szCs w:val="21"/>
              </w:rPr>
            </w:pPr>
            <w:bookmarkStart w:id="4" w:name="OLE_LINK3" w:colFirst="2" w:colLast="2"/>
            <w:r>
              <w:rPr>
                <w:rFonts w:hint="eastAsia" w:ascii="仿宋_GB2312" w:hAnsi="黑体" w:eastAsia="仿宋_GB2312" w:cs="黑体"/>
                <w:kern w:val="0"/>
                <w:szCs w:val="21"/>
              </w:rPr>
              <w:t>勘察</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工程勘察</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58.5</w:t>
            </w:r>
          </w:p>
        </w:tc>
        <w:tc>
          <w:tcPr>
            <w:tcW w:w="1495" w:type="dxa"/>
            <w:vAlign w:val="center"/>
          </w:tcPr>
          <w:p>
            <w:pPr>
              <w:spacing w:line="300" w:lineRule="exact"/>
              <w:jc w:val="center"/>
              <w:rPr>
                <w:rFonts w:ascii="仿宋_GB2312" w:hAnsi="黑体" w:eastAsia="仿宋_GB2312" w:cs="黑体"/>
                <w:kern w:val="0"/>
                <w:sz w:val="21"/>
                <w:szCs w:val="21"/>
              </w:rPr>
            </w:pPr>
          </w:p>
        </w:tc>
        <w:tc>
          <w:tcPr>
            <w:tcW w:w="1549" w:type="dxa"/>
            <w:vAlign w:val="center"/>
          </w:tcPr>
          <w:p>
            <w:pPr>
              <w:spacing w:line="300" w:lineRule="exact"/>
              <w:jc w:val="center"/>
              <w:rPr>
                <w:rFonts w:ascii="仿宋_GB2312" w:hAnsi="黑体" w:eastAsia="仿宋_GB2312" w:cs="黑体"/>
                <w:kern w:val="0"/>
                <w:szCs w:val="21"/>
              </w:rPr>
            </w:pPr>
          </w:p>
        </w:tc>
        <w:tc>
          <w:tcPr>
            <w:tcW w:w="1124" w:type="dxa"/>
            <w:vAlign w:val="center"/>
          </w:tcPr>
          <w:p>
            <w:pPr>
              <w:spacing w:line="300" w:lineRule="exact"/>
              <w:jc w:val="center"/>
              <w:rPr>
                <w:rFonts w:ascii="仿宋_GB2312" w:hAnsi="黑体" w:eastAsia="仿宋_GB2312" w:cs="黑体"/>
                <w:kern w:val="0"/>
                <w:szCs w:val="21"/>
              </w:rPr>
            </w:pPr>
            <w:r>
              <w:rPr>
                <w:rFonts w:hint="eastAsia"/>
              </w:rPr>
              <w:t>√</w:t>
            </w:r>
          </w:p>
        </w:tc>
        <w:tc>
          <w:tcPr>
            <w:tcW w:w="1281"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未达到招标金额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86" w:type="dxa"/>
            <w:vAlign w:val="center"/>
          </w:tcPr>
          <w:p>
            <w:pPr>
              <w:spacing w:line="300" w:lineRule="exact"/>
              <w:jc w:val="center"/>
              <w:rPr>
                <w:rFonts w:ascii="仿宋_GB2312" w:hAnsi="黑体" w:eastAsia="仿宋_GB2312" w:cs="黑体"/>
                <w:kern w:val="0"/>
                <w:szCs w:val="21"/>
              </w:rPr>
            </w:pPr>
            <w:r>
              <w:rPr>
                <w:rFonts w:hint="eastAsia" w:ascii="仿宋_GB2312" w:hAnsi="黑体" w:eastAsia="仿宋_GB2312" w:cs="黑体"/>
                <w:kern w:val="0"/>
                <w:szCs w:val="21"/>
              </w:rPr>
              <w:t>设计</w:t>
            </w:r>
          </w:p>
        </w:tc>
        <w:tc>
          <w:tcPr>
            <w:tcW w:w="1125" w:type="dxa"/>
            <w:vAlign w:val="center"/>
          </w:tcPr>
          <w:p>
            <w:pPr>
              <w:spacing w:line="300" w:lineRule="exact"/>
              <w:jc w:val="center"/>
              <w:rPr>
                <w:rFonts w:ascii="仿宋_GB2312" w:hAnsi="黑体" w:eastAsia="仿宋_GB2312" w:cs="黑体"/>
                <w:kern w:val="0"/>
                <w:sz w:val="21"/>
                <w:szCs w:val="21"/>
              </w:rPr>
            </w:pPr>
            <w:r>
              <w:rPr>
                <w:rFonts w:hint="eastAsia" w:ascii="仿宋_GB2312" w:hAnsi="黑体" w:eastAsia="仿宋_GB2312" w:cs="黑体"/>
                <w:kern w:val="0"/>
                <w:sz w:val="21"/>
                <w:szCs w:val="21"/>
              </w:rPr>
              <w:t>工程设计</w:t>
            </w:r>
          </w:p>
        </w:tc>
        <w:tc>
          <w:tcPr>
            <w:tcW w:w="131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195</w:t>
            </w:r>
          </w:p>
        </w:tc>
        <w:tc>
          <w:tcPr>
            <w:tcW w:w="1495" w:type="dxa"/>
            <w:vAlign w:val="center"/>
          </w:tcPr>
          <w:p>
            <w:pPr>
              <w:spacing w:line="300" w:lineRule="exact"/>
              <w:jc w:val="center"/>
              <w:rPr>
                <w:rFonts w:hint="eastAsia"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公开招标</w:t>
            </w:r>
          </w:p>
        </w:tc>
        <w:tc>
          <w:tcPr>
            <w:tcW w:w="1549" w:type="dxa"/>
            <w:vAlign w:val="center"/>
          </w:tcPr>
          <w:p>
            <w:pPr>
              <w:spacing w:line="300" w:lineRule="exact"/>
              <w:jc w:val="center"/>
              <w:rPr>
                <w:rFonts w:hint="eastAsia" w:ascii="仿宋_GB2312" w:hAnsi="黑体" w:eastAsia="仿宋_GB2312" w:cs="黑体"/>
                <w:kern w:val="0"/>
                <w:sz w:val="21"/>
                <w:szCs w:val="21"/>
                <w:lang w:val="en-US" w:eastAsia="zh-CN" w:bidi="ar-SA"/>
              </w:rPr>
            </w:pPr>
            <w:r>
              <w:rPr>
                <w:rFonts w:hint="eastAsia" w:ascii="仿宋_GB2312" w:hAnsi="黑体" w:eastAsia="仿宋_GB2312" w:cs="黑体"/>
                <w:kern w:val="0"/>
                <w:szCs w:val="21"/>
              </w:rPr>
              <w:t>委托招标</w:t>
            </w:r>
          </w:p>
        </w:tc>
        <w:tc>
          <w:tcPr>
            <w:tcW w:w="1124" w:type="dxa"/>
            <w:vAlign w:val="center"/>
          </w:tcPr>
          <w:p>
            <w:pPr>
              <w:spacing w:line="300" w:lineRule="exact"/>
              <w:jc w:val="center"/>
              <w:rPr>
                <w:rFonts w:ascii="仿宋_GB2312" w:hAnsi="黑体" w:eastAsia="仿宋_GB2312" w:cs="黑体"/>
                <w:kern w:val="0"/>
                <w:sz w:val="21"/>
                <w:szCs w:val="21"/>
                <w:lang w:val="en-US" w:eastAsia="zh-CN" w:bidi="ar-SA"/>
              </w:rPr>
            </w:pPr>
          </w:p>
        </w:tc>
        <w:tc>
          <w:tcPr>
            <w:tcW w:w="1281" w:type="dxa"/>
            <w:vAlign w:val="center"/>
          </w:tcPr>
          <w:p>
            <w:pPr>
              <w:spacing w:line="300" w:lineRule="exact"/>
              <w:jc w:val="center"/>
              <w:rPr>
                <w:rFonts w:ascii="仿宋_GB2312" w:hAnsi="黑体" w:eastAsia="仿宋_GB2312" w:cs="黑体"/>
                <w:kern w:val="0"/>
                <w:sz w:val="21"/>
                <w:szCs w:val="21"/>
                <w:lang w:val="en-US" w:eastAsia="zh-CN" w:bidi="ar-SA"/>
              </w:rPr>
            </w:pPr>
          </w:p>
        </w:tc>
      </w:tr>
      <w:bookmark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9071" w:type="dxa"/>
            <w:gridSpan w:val="7"/>
          </w:tcPr>
          <w:p>
            <w:pPr>
              <w:spacing w:line="300" w:lineRule="exact"/>
              <w:rPr>
                <w:rFonts w:hint="eastAsia" w:ascii="仿宋_GB2312" w:hAnsi="黑体" w:eastAsia="仿宋_GB2312" w:cs="黑体"/>
                <w:kern w:val="0"/>
                <w:szCs w:val="21"/>
                <w:lang w:eastAsia="zh-CN"/>
              </w:rPr>
            </w:pPr>
            <w:r>
              <w:rPr>
                <w:rFonts w:hint="eastAsia" w:ascii="仿宋_GB2312" w:hAnsi="黑体" w:eastAsia="仿宋_GB2312" w:cs="黑体"/>
                <w:kern w:val="0"/>
                <w:szCs w:val="21"/>
              </w:rPr>
              <w:t>核准意见说明：无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9071" w:type="dxa"/>
            <w:gridSpan w:val="7"/>
            <w:tcBorders>
              <w:left w:val="nil"/>
              <w:bottom w:val="nil"/>
              <w:right w:val="nil"/>
            </w:tcBorders>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b/>
                <w:kern w:val="0"/>
                <w:szCs w:val="21"/>
              </w:rPr>
            </w:pPr>
            <w:r>
              <w:rPr>
                <w:rFonts w:hint="eastAsia" w:ascii="仿宋_GB2312" w:hAnsi="仿宋_GB2312" w:eastAsia="仿宋_GB2312" w:cs="仿宋_GB2312"/>
                <w:b/>
                <w:kern w:val="0"/>
                <w:szCs w:val="21"/>
              </w:rPr>
              <w:t>注意事项：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cs="仿宋_GB2312"/>
                <w:kern w:val="0"/>
                <w:szCs w:val="21"/>
              </w:rPr>
              <w:t xml:space="preserve">    1</w:t>
            </w:r>
            <w:r>
              <w:rPr>
                <w:rFonts w:hint="eastAsia" w:ascii="仿宋_GB2312" w:hAnsi="仿宋_GB2312" w:eastAsia="仿宋_GB2312" w:cs="仿宋_GB2312"/>
                <w:kern w:val="0"/>
                <w:szCs w:val="21"/>
              </w:rPr>
              <w:t xml:space="preserve">、根据《招标公告和公示信息发布管理办法》（国家发展改革委令第10号），依法必须招标项目的招标公告和公示信息应当在北京市公共资源交易服务平台、中国招标投标公共服务平台上发布。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2、政府投资项目，项目单位应当将资格预审公告、招标公告、中标候选人公示、中标结果公示等信息在北京市公共资源交易服务平台（ggzyfw.beijing.gov.cn）上全过程公开。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 xml:space="preserve">    3、招标方案核准意见在本项目实施全过程有效。在项目实施过程中，如确有特殊情况需要变更已经核准的招标方案的，应当报我委重新核准。</w:t>
            </w:r>
          </w:p>
        </w:tc>
      </w:tr>
      <w:bookmarkEnd w:id="2"/>
    </w:tbl>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ascii="仿宋_GB2312" w:hAnsi="文星仿宋" w:eastAsia="仿宋_GB2312" w:cs="Times New Roman"/>
          <w:sz w:val="32"/>
          <w:szCs w:val="32"/>
        </w:rPr>
      </w:pPr>
    </w:p>
    <w:p>
      <w:pPr>
        <w:pStyle w:val="6"/>
        <w:keepNext w:val="0"/>
        <w:keepLines w:val="0"/>
        <w:pageBreakBefore w:val="0"/>
        <w:widowControl w:val="0"/>
        <w:kinsoku/>
        <w:wordWrap/>
        <w:overflowPunct/>
        <w:topLinePunct w:val="0"/>
        <w:autoSpaceDE/>
        <w:autoSpaceDN/>
        <w:bidi w:val="0"/>
        <w:adjustRightInd/>
        <w:snapToGrid/>
        <w:spacing w:line="480" w:lineRule="exact"/>
        <w:ind w:left="0" w:leftChars="0" w:right="420" w:rightChars="200" w:firstLine="0" w:firstLineChars="0"/>
        <w:textAlignment w:val="auto"/>
        <w:rPr>
          <w:rFonts w:hint="eastAsia" w:ascii="仿宋_GB2312" w:hAnsi="文星仿宋" w:eastAsia="仿宋_GB2312" w:cs="仿宋_GB2312"/>
          <w:w w:val="93"/>
          <w:sz w:val="28"/>
          <w:szCs w:val="28"/>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420" w:rightChars="200" w:firstLine="0" w:firstLineChars="0"/>
        <w:textAlignment w:val="auto"/>
        <w:rPr>
          <w:rFonts w:hint="eastAsia" w:ascii="仿宋_GB2312" w:hAnsi="文星仿宋" w:eastAsia="仿宋_GB2312" w:cs="仿宋_GB2312"/>
          <w:w w:val="93"/>
          <w:sz w:val="28"/>
          <w:szCs w:val="28"/>
          <w:lang w:eastAsia="zh-CN"/>
        </w:rPr>
      </w:pP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420" w:rightChars="200" w:firstLine="280" w:firstLineChars="100"/>
        <w:textAlignment w:val="auto"/>
        <w:rPr>
          <w:rFonts w:hint="eastAsia" w:ascii="文星仿宋" w:hAnsi="文星仿宋" w:eastAsia="仿宋_GB2312" w:cs="Times New Roman"/>
          <w:w w:val="100"/>
          <w:sz w:val="10"/>
          <w:szCs w:val="10"/>
          <w:lang w:val="en-US" w:eastAsia="zh-CN"/>
        </w:rPr>
      </w:pPr>
      <w:r>
        <w:rPr>
          <w:rFonts w:hint="eastAsia" w:ascii="仿宋_GB2312" w:hAnsi="文星仿宋" w:eastAsia="仿宋_GB2312" w:cs="仿宋_GB2312"/>
          <w:spacing w:val="0"/>
          <w:w w:val="100"/>
          <w:sz w:val="28"/>
          <w:szCs w:val="28"/>
        </w:rPr>
        <w:t>北京市通州区</w:t>
      </w:r>
      <w:r>
        <w:rPr>
          <w:rFonts w:hint="eastAsia" w:ascii="仿宋_GB2312" w:hAnsi="文星仿宋" w:eastAsia="仿宋_GB2312" w:cs="仿宋_GB2312"/>
          <w:spacing w:val="0"/>
          <w:w w:val="100"/>
          <w:sz w:val="28"/>
          <w:szCs w:val="28"/>
          <w:lang w:eastAsia="zh-CN"/>
        </w:rPr>
        <w:t>发展和改革委员会</w:t>
      </w:r>
      <w:r>
        <w:rPr>
          <w:rFonts w:hint="eastAsia" w:ascii="仿宋_GB2312" w:hAnsi="文星仿宋" w:eastAsia="仿宋_GB2312" w:cs="仿宋_GB2312"/>
          <w:spacing w:val="0"/>
          <w:w w:val="100"/>
          <w:sz w:val="28"/>
          <w:szCs w:val="28"/>
        </w:rPr>
        <w:t>办公室</w:t>
      </w:r>
      <w:r>
        <w:rPr>
          <w:rFonts w:ascii="仿宋_GB2312" w:hAnsi="文星仿宋" w:eastAsia="仿宋_GB2312" w:cs="仿宋_GB2312"/>
          <w:spacing w:val="0"/>
          <w:w w:val="100"/>
          <w:sz w:val="28"/>
          <w:szCs w:val="28"/>
        </w:rPr>
        <w:t xml:space="preserve">     202</w:t>
      </w:r>
      <w:r>
        <w:rPr>
          <w:rFonts w:hint="eastAsia" w:ascii="仿宋_GB2312" w:hAnsi="文星仿宋" w:eastAsia="仿宋_GB2312" w:cs="仿宋_GB2312"/>
          <w:spacing w:val="0"/>
          <w:w w:val="100"/>
          <w:sz w:val="28"/>
          <w:szCs w:val="28"/>
          <w:lang w:val="en-US" w:eastAsia="zh-CN"/>
        </w:rPr>
        <w:t>6</w:t>
      </w:r>
      <w:r>
        <w:rPr>
          <w:rFonts w:hint="eastAsia" w:ascii="仿宋_GB2312" w:hAnsi="文星仿宋" w:eastAsia="仿宋_GB2312" w:cs="仿宋_GB2312"/>
          <w:spacing w:val="0"/>
          <w:w w:val="100"/>
          <w:sz w:val="28"/>
          <w:szCs w:val="28"/>
        </w:rPr>
        <w:t>年</w:t>
      </w:r>
      <w:r>
        <w:rPr>
          <w:rFonts w:hint="eastAsia" w:ascii="仿宋_GB2312" w:eastAsia="仿宋_GB2312" w:cs="仿宋_GB2312"/>
          <w:spacing w:val="0"/>
          <w:w w:val="100"/>
          <w:sz w:val="28"/>
          <w:szCs w:val="28"/>
          <w:lang w:val="en-US" w:eastAsia="zh-CN"/>
        </w:rPr>
        <w:t>3</w:t>
      </w:r>
      <w:r>
        <w:rPr>
          <w:rFonts w:hint="eastAsia" w:ascii="仿宋_GB2312" w:hAnsi="文星仿宋" w:eastAsia="仿宋_GB2312" w:cs="仿宋_GB2312"/>
          <w:spacing w:val="0"/>
          <w:w w:val="100"/>
          <w:sz w:val="28"/>
          <w:szCs w:val="28"/>
        </w:rPr>
        <w:t>月</w:t>
      </w:r>
      <w:r>
        <w:rPr>
          <w:rFonts w:hint="eastAsia" w:ascii="仿宋_GB2312" w:hAnsi="文星仿宋" w:eastAsia="仿宋_GB2312" w:cs="仿宋_GB2312"/>
          <w:spacing w:val="0"/>
          <w:w w:val="100"/>
          <w:sz w:val="28"/>
          <w:szCs w:val="28"/>
          <w:lang w:val="en-US" w:eastAsia="zh-CN"/>
        </w:rPr>
        <w:t>5</w:t>
      </w:r>
      <w:r>
        <w:rPr>
          <w:rFonts w:hint="eastAsia" w:ascii="仿宋_GB2312" w:hAnsi="文星仿宋" w:eastAsia="仿宋_GB2312" w:cs="仿宋_GB2312"/>
          <w:spacing w:val="0"/>
          <w:w w:val="100"/>
          <w:sz w:val="28"/>
          <w:szCs w:val="28"/>
        </w:rPr>
        <w:t>日印</w:t>
      </w:r>
      <w:r>
        <w:rPr>
          <w:rFonts w:hint="eastAsia" w:ascii="仿宋_GB2312" w:hAnsi="文星仿宋" w:eastAsia="仿宋_GB2312" w:cs="仿宋_GB2312"/>
          <w:spacing w:val="0"/>
          <w:w w:val="100"/>
          <w:sz w:val="28"/>
          <w:szCs w:val="28"/>
          <w:lang w:val="en-US" w:eastAsia="zh-CN"/>
        </w:rPr>
        <w:t>发</w:t>
      </w:r>
      <w:r>
        <w:rPr>
          <w:w w:val="100"/>
        </w:rPr>
        <mc:AlternateContent>
          <mc:Choice Requires="wps">
            <w:drawing>
              <wp:anchor distT="0" distB="0" distL="114300" distR="114300" simplePos="0" relativeHeight="251661312" behindDoc="0" locked="1" layoutInCell="1" allowOverlap="1">
                <wp:simplePos x="0" y="0"/>
                <wp:positionH relativeFrom="column">
                  <wp:posOffset>19050</wp:posOffset>
                </wp:positionH>
                <wp:positionV relativeFrom="paragraph">
                  <wp:posOffset>41910</wp:posOffset>
                </wp:positionV>
                <wp:extent cx="5600700" cy="0"/>
                <wp:effectExtent l="0" t="6350" r="0" b="6350"/>
                <wp:wrapNone/>
                <wp:docPr id="1" name="直线 19"/>
                <wp:cNvGraphicFramePr/>
                <a:graphic xmlns:a="http://schemas.openxmlformats.org/drawingml/2006/main">
                  <a:graphicData uri="http://schemas.microsoft.com/office/word/2010/wordprocessingShape">
                    <wps:wsp>
                      <wps:cNvSp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flip:y;margin-left:1.5pt;margin-top:3.3pt;height:0pt;width:441pt;z-index:251661312;mso-width-relative:page;mso-height-relative:page;" filled="f" stroked="t" coordsize="21600,21600" o:gfxdata="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B9o/J61AAAAAUBAAAPAAAAAAAAAAEAIAAAADgAAABkcnMvZG93bnJl&#10;di54bWxQSwECFAAUAAAACACHTuJAVk767usBAADnAwAADgAAAAAAAAABACAAAAA5AQAAZHJzL2Uy&#10;b0RvYy54bWxQSwUGAAAAAAYABgBZAQAAlgUAAAAA&#10;">
                <v:fill on="f" focussize="0,0"/>
                <v:stroke weight="1pt" color="#000000" joinstyle="round"/>
                <v:imagedata o:title=""/>
                <o:lock v:ext="edit" aspectratio="f"/>
                <w10:anchorlock/>
              </v:line>
            </w:pict>
          </mc:Fallback>
        </mc:AlternateContent>
      </w:r>
      <w:r>
        <w:rPr>
          <w:w w:val="100"/>
        </w:rPr>
        <mc:AlternateContent>
          <mc:Choice Requires="wps">
            <w:drawing>
              <wp:anchor distT="0" distB="0" distL="114300" distR="114300" simplePos="0" relativeHeight="251662336" behindDoc="0" locked="1" layoutInCell="1" allowOverlap="1">
                <wp:simplePos x="0" y="0"/>
                <wp:positionH relativeFrom="column">
                  <wp:posOffset>22860</wp:posOffset>
                </wp:positionH>
                <wp:positionV relativeFrom="paragraph">
                  <wp:posOffset>408940</wp:posOffset>
                </wp:positionV>
                <wp:extent cx="5600700" cy="0"/>
                <wp:effectExtent l="0" t="6350" r="0" b="6350"/>
                <wp:wrapNone/>
                <wp:docPr id="2" name="直线 20"/>
                <wp:cNvGraphicFramePr/>
                <a:graphic xmlns:a="http://schemas.openxmlformats.org/drawingml/2006/main">
                  <a:graphicData uri="http://schemas.microsoft.com/office/word/2010/wordprocessingShape">
                    <wps:wsp>
                      <wps:cNvSpPr/>
                      <wps:spPr>
                        <a:xfrm flipV="1">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0" o:spid="_x0000_s1026" o:spt="20" style="position:absolute;left:0pt;flip:y;margin-left:1.8pt;margin-top:32.2pt;height:0pt;width:441pt;z-index:251662336;mso-width-relative:page;mso-height-relative:page;" filled="f" stroked="t" coordsize="21600,21600" o:gfxdata="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CkljiC1AAAAAcBAAAPAAAAAAAAAAEAIAAAADgAAABkcnMvZG93bnJl&#10;di54bWxQSwECFAAUAAAACACHTuJAbj2c6esBAADnAwAADgAAAAAAAAABACAAAAA5AQAAZHJzL2Uy&#10;b0RvYy54bWxQSwUGAAAAAAYABgBZAQAAlgUAAAAA&#10;">
                <v:fill on="f" focussize="0,0"/>
                <v:stroke weight="1pt" color="#000000" joinstyle="round"/>
                <v:imagedata o:title=""/>
                <o:lock v:ext="edit" aspectratio="f"/>
                <w10:anchorlock/>
              </v:line>
            </w:pict>
          </mc:Fallback>
        </mc:AlternateContent>
      </w:r>
    </w:p>
    <w:sectPr>
      <w:footerReference r:id="rId4" w:type="default"/>
      <w:headerReference r:id="rId3" w:type="even"/>
      <w:footerReference r:id="rId5" w:type="even"/>
      <w:pgSz w:w="11906" w:h="16838"/>
      <w:pgMar w:top="1701" w:right="1474" w:bottom="1701" w:left="1588" w:header="851" w:footer="1304" w:gutter="0"/>
      <w:pgNumType w:fmt="decimal"/>
      <w:cols w:space="425" w:num="1"/>
      <w:docGrid w:type="line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文星标宋">
    <w:altName w:val="方正书宋_GBK"/>
    <w:panose1 w:val="02010604000101010101"/>
    <w:charset w:val="86"/>
    <w:family w:val="auto"/>
    <w:pitch w:val="default"/>
    <w:sig w:usb0="00000000" w:usb1="00000000" w:usb2="00000000" w:usb3="00000000" w:csb0="00040001" w:csb1="00000000"/>
  </w:font>
  <w:font w:name="华文仿宋">
    <w:altName w:val="方正仿宋_GBK"/>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0" w:csb1="00000000"/>
  </w:font>
  <w:font w:name="仿宋体">
    <w:altName w:val="方正仿宋_GBK"/>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ind w:right="170"/>
      <w:rPr>
        <w:rFonts w:asci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blNpbIAQAAmQMAAA4AAABkcnMv&#10;ZTJvRG9jLnhtbK1TzY7TMBC+I/EOlu/UaZF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behrShy3OPDL92+XH78uP7+SZZanD1Bj1kPAvDTc+QGXZvYDOjPrQUWbv8iHYBzFPV/FlUMi&#10;Ij9ar9brCkMCY/MF8dnj8xAhvZXekmw0NOL0iqj89B7SmDqn5GrO32tjygSN+8uBmNnDcu9jj9lK&#10;w36YCO19e0Y+PQ6+oQ73nBLzzqGueUdmI87GfjaOIepDV5Yo14Nwe0zYROktVxhhp8I4scJu2q68&#10;En/eS9bjH7X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AG5TaWyAEAAJkDAAAOAAAAAAAA&#10;AAEAIAAAADQBAABkcnMvZTJvRG9jLnhtbFBLBQYAAAAABgAGAFkBAABuBQ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0sF/fckBAACZAwAADgAAAAAA&#10;AAABACAAAAA0AQAAZHJzL2Uyb0RvYy54bWxQSwUGAAAAAAYABgBZAQAAbwUAAAAA&#10;">
              <v:fill on="f" focussize="0,0"/>
              <v:stroke on="f"/>
              <v:imagedata o:title=""/>
              <o:lock v:ext="edit" aspectratio="f"/>
              <v:textbox inset="0mm,0mm,0mm,0mm" style="mso-fit-shape-to-text:t;">
                <w:txbxContent>
                  <w:p>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evenAndOddHeaders w:val="1"/>
  <w:drawingGridHorizontalSpacing w:val="211"/>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013"/>
    <w:rsid w:val="0000667A"/>
    <w:rsid w:val="00010673"/>
    <w:rsid w:val="00014725"/>
    <w:rsid w:val="00014F13"/>
    <w:rsid w:val="000353CD"/>
    <w:rsid w:val="0007565F"/>
    <w:rsid w:val="000A127E"/>
    <w:rsid w:val="000A17BF"/>
    <w:rsid w:val="000D5DF8"/>
    <w:rsid w:val="001105BE"/>
    <w:rsid w:val="00131206"/>
    <w:rsid w:val="00131CB5"/>
    <w:rsid w:val="00145DD3"/>
    <w:rsid w:val="001772A7"/>
    <w:rsid w:val="001812CA"/>
    <w:rsid w:val="00186038"/>
    <w:rsid w:val="00191B2D"/>
    <w:rsid w:val="001B77A9"/>
    <w:rsid w:val="001C62B3"/>
    <w:rsid w:val="0020323B"/>
    <w:rsid w:val="00211E68"/>
    <w:rsid w:val="00214713"/>
    <w:rsid w:val="00236C82"/>
    <w:rsid w:val="00244981"/>
    <w:rsid w:val="002614DF"/>
    <w:rsid w:val="002704EA"/>
    <w:rsid w:val="00273E5E"/>
    <w:rsid w:val="00280C3B"/>
    <w:rsid w:val="00297A36"/>
    <w:rsid w:val="002A1386"/>
    <w:rsid w:val="002B62DE"/>
    <w:rsid w:val="002B7019"/>
    <w:rsid w:val="002C1013"/>
    <w:rsid w:val="002D7B20"/>
    <w:rsid w:val="002E1CCE"/>
    <w:rsid w:val="00304484"/>
    <w:rsid w:val="003115E7"/>
    <w:rsid w:val="003177EF"/>
    <w:rsid w:val="00326C17"/>
    <w:rsid w:val="00351489"/>
    <w:rsid w:val="003753E1"/>
    <w:rsid w:val="0037728D"/>
    <w:rsid w:val="00396C59"/>
    <w:rsid w:val="003A0052"/>
    <w:rsid w:val="003A77A6"/>
    <w:rsid w:val="003B2066"/>
    <w:rsid w:val="003D06F1"/>
    <w:rsid w:val="003F4399"/>
    <w:rsid w:val="004053F1"/>
    <w:rsid w:val="0041557E"/>
    <w:rsid w:val="00424AE5"/>
    <w:rsid w:val="00432541"/>
    <w:rsid w:val="004504BD"/>
    <w:rsid w:val="0048390F"/>
    <w:rsid w:val="00494250"/>
    <w:rsid w:val="004A0916"/>
    <w:rsid w:val="004D45DB"/>
    <w:rsid w:val="004E093E"/>
    <w:rsid w:val="004E44BE"/>
    <w:rsid w:val="004E636A"/>
    <w:rsid w:val="004E7CFC"/>
    <w:rsid w:val="004F2261"/>
    <w:rsid w:val="004F51F6"/>
    <w:rsid w:val="004F6879"/>
    <w:rsid w:val="00500E5A"/>
    <w:rsid w:val="00507F10"/>
    <w:rsid w:val="00540DDA"/>
    <w:rsid w:val="00570460"/>
    <w:rsid w:val="00573E76"/>
    <w:rsid w:val="005A7B10"/>
    <w:rsid w:val="005B7909"/>
    <w:rsid w:val="005E1B21"/>
    <w:rsid w:val="006031AA"/>
    <w:rsid w:val="006115A3"/>
    <w:rsid w:val="00611B25"/>
    <w:rsid w:val="00615889"/>
    <w:rsid w:val="00620D95"/>
    <w:rsid w:val="00664A53"/>
    <w:rsid w:val="00677BC9"/>
    <w:rsid w:val="006911A1"/>
    <w:rsid w:val="006A2719"/>
    <w:rsid w:val="006E75EF"/>
    <w:rsid w:val="00706987"/>
    <w:rsid w:val="00717D7C"/>
    <w:rsid w:val="00725935"/>
    <w:rsid w:val="007371B1"/>
    <w:rsid w:val="007431F4"/>
    <w:rsid w:val="00751180"/>
    <w:rsid w:val="007626CC"/>
    <w:rsid w:val="007824AD"/>
    <w:rsid w:val="007B2F45"/>
    <w:rsid w:val="007D6001"/>
    <w:rsid w:val="007F1C23"/>
    <w:rsid w:val="007F4D41"/>
    <w:rsid w:val="00800F10"/>
    <w:rsid w:val="00801903"/>
    <w:rsid w:val="00810CC6"/>
    <w:rsid w:val="00822257"/>
    <w:rsid w:val="00830D78"/>
    <w:rsid w:val="00831C06"/>
    <w:rsid w:val="00842714"/>
    <w:rsid w:val="00861CFB"/>
    <w:rsid w:val="008B1897"/>
    <w:rsid w:val="008C69B1"/>
    <w:rsid w:val="008D3345"/>
    <w:rsid w:val="008F0FC7"/>
    <w:rsid w:val="008F511C"/>
    <w:rsid w:val="00904653"/>
    <w:rsid w:val="009235F3"/>
    <w:rsid w:val="00925DE1"/>
    <w:rsid w:val="00954EF1"/>
    <w:rsid w:val="00967101"/>
    <w:rsid w:val="00970B47"/>
    <w:rsid w:val="00994A02"/>
    <w:rsid w:val="009A0551"/>
    <w:rsid w:val="009A62DC"/>
    <w:rsid w:val="009D6C34"/>
    <w:rsid w:val="009E5BB4"/>
    <w:rsid w:val="009F06F4"/>
    <w:rsid w:val="00A018DE"/>
    <w:rsid w:val="00A063F7"/>
    <w:rsid w:val="00A12746"/>
    <w:rsid w:val="00A3546D"/>
    <w:rsid w:val="00A43788"/>
    <w:rsid w:val="00A56013"/>
    <w:rsid w:val="00A94C0F"/>
    <w:rsid w:val="00A9626D"/>
    <w:rsid w:val="00AB0B40"/>
    <w:rsid w:val="00AC7875"/>
    <w:rsid w:val="00B16B5B"/>
    <w:rsid w:val="00B361C6"/>
    <w:rsid w:val="00B66722"/>
    <w:rsid w:val="00B75929"/>
    <w:rsid w:val="00B75CBC"/>
    <w:rsid w:val="00B91845"/>
    <w:rsid w:val="00B92DC4"/>
    <w:rsid w:val="00BA2158"/>
    <w:rsid w:val="00BC6563"/>
    <w:rsid w:val="00BD35FB"/>
    <w:rsid w:val="00BE6181"/>
    <w:rsid w:val="00BF2CC5"/>
    <w:rsid w:val="00BF3396"/>
    <w:rsid w:val="00C000C3"/>
    <w:rsid w:val="00C06BB8"/>
    <w:rsid w:val="00C571A7"/>
    <w:rsid w:val="00C71099"/>
    <w:rsid w:val="00C7153C"/>
    <w:rsid w:val="00C904B1"/>
    <w:rsid w:val="00C955D6"/>
    <w:rsid w:val="00CA0B4F"/>
    <w:rsid w:val="00CB082F"/>
    <w:rsid w:val="00CD70C5"/>
    <w:rsid w:val="00CE1764"/>
    <w:rsid w:val="00CF0043"/>
    <w:rsid w:val="00CF00D3"/>
    <w:rsid w:val="00D1642A"/>
    <w:rsid w:val="00D32404"/>
    <w:rsid w:val="00D55E18"/>
    <w:rsid w:val="00D72CE8"/>
    <w:rsid w:val="00D75347"/>
    <w:rsid w:val="00D75CAD"/>
    <w:rsid w:val="00DA44E8"/>
    <w:rsid w:val="00DB1F64"/>
    <w:rsid w:val="00DC0EB8"/>
    <w:rsid w:val="00DC431A"/>
    <w:rsid w:val="00DD36B5"/>
    <w:rsid w:val="00DF00C3"/>
    <w:rsid w:val="00DF79BB"/>
    <w:rsid w:val="00E12D3B"/>
    <w:rsid w:val="00E1757C"/>
    <w:rsid w:val="00E17B9D"/>
    <w:rsid w:val="00E26648"/>
    <w:rsid w:val="00E328DE"/>
    <w:rsid w:val="00E91C32"/>
    <w:rsid w:val="00EA1102"/>
    <w:rsid w:val="00EF4772"/>
    <w:rsid w:val="00EF77A7"/>
    <w:rsid w:val="00F20AD9"/>
    <w:rsid w:val="00F324FF"/>
    <w:rsid w:val="00F70440"/>
    <w:rsid w:val="00F761E4"/>
    <w:rsid w:val="00F842C8"/>
    <w:rsid w:val="00F85F6B"/>
    <w:rsid w:val="00FA05A5"/>
    <w:rsid w:val="00FD081B"/>
    <w:rsid w:val="00FD5910"/>
    <w:rsid w:val="00FE206C"/>
    <w:rsid w:val="034507E9"/>
    <w:rsid w:val="03DF79CC"/>
    <w:rsid w:val="081D7A54"/>
    <w:rsid w:val="08AA3A82"/>
    <w:rsid w:val="09A839C7"/>
    <w:rsid w:val="09B824A0"/>
    <w:rsid w:val="0C51061C"/>
    <w:rsid w:val="0D0B4353"/>
    <w:rsid w:val="107D30EF"/>
    <w:rsid w:val="10DB0321"/>
    <w:rsid w:val="12754131"/>
    <w:rsid w:val="13D85EB2"/>
    <w:rsid w:val="194D2EC2"/>
    <w:rsid w:val="1E1475FD"/>
    <w:rsid w:val="1FDF4450"/>
    <w:rsid w:val="23265C15"/>
    <w:rsid w:val="25C95C0F"/>
    <w:rsid w:val="2C525072"/>
    <w:rsid w:val="2C5C1B0D"/>
    <w:rsid w:val="2D934B94"/>
    <w:rsid w:val="36F95A78"/>
    <w:rsid w:val="38772A18"/>
    <w:rsid w:val="394164F2"/>
    <w:rsid w:val="3AED2C43"/>
    <w:rsid w:val="3B77FB9B"/>
    <w:rsid w:val="3FD56A4E"/>
    <w:rsid w:val="41405FE2"/>
    <w:rsid w:val="46075765"/>
    <w:rsid w:val="4DC91086"/>
    <w:rsid w:val="4E1A6488"/>
    <w:rsid w:val="50F30EB2"/>
    <w:rsid w:val="51592281"/>
    <w:rsid w:val="550120B8"/>
    <w:rsid w:val="57671B35"/>
    <w:rsid w:val="5FC64084"/>
    <w:rsid w:val="6674308F"/>
    <w:rsid w:val="68970CA0"/>
    <w:rsid w:val="6A36456D"/>
    <w:rsid w:val="729B651D"/>
    <w:rsid w:val="77CF16A2"/>
    <w:rsid w:val="77DC39FB"/>
    <w:rsid w:val="79F7C3B7"/>
    <w:rsid w:val="7A233522"/>
    <w:rsid w:val="7D241C70"/>
    <w:rsid w:val="7FF6F744"/>
    <w:rsid w:val="B772A56A"/>
    <w:rsid w:val="BE5F56A9"/>
    <w:rsid w:val="D7F715DC"/>
    <w:rsid w:val="ED75D518"/>
    <w:rsid w:val="F7C76AA7"/>
    <w:rsid w:val="FDEE2FE9"/>
    <w:rsid w:val="FFAF3D24"/>
    <w:rsid w:val="FFDD98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ocked="1"/>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4">
    <w:name w:val="Default Paragraph Font"/>
    <w:link w:val="15"/>
    <w:semiHidden/>
    <w:qFormat/>
    <w:locked/>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szCs w:val="21"/>
    </w:rPr>
  </w:style>
  <w:style w:type="paragraph" w:styleId="3">
    <w:name w:val="annotation text"/>
    <w:basedOn w:val="1"/>
    <w:link w:val="22"/>
    <w:semiHidden/>
    <w:qFormat/>
    <w:uiPriority w:val="99"/>
    <w:pPr>
      <w:jc w:val="left"/>
    </w:pPr>
  </w:style>
  <w:style w:type="paragraph" w:styleId="4">
    <w:name w:val="Body Text"/>
    <w:basedOn w:val="1"/>
    <w:next w:val="5"/>
    <w:link w:val="20"/>
    <w:qFormat/>
    <w:uiPriority w:val="99"/>
    <w:rPr>
      <w:rFonts w:ascii="文星标宋" w:hAnsi="文星标宋" w:eastAsia="文星标宋" w:cs="文星标宋"/>
      <w:color w:val="FF0000"/>
      <w:spacing w:val="30"/>
      <w:sz w:val="72"/>
      <w:szCs w:val="72"/>
    </w:rPr>
  </w:style>
  <w:style w:type="paragraph" w:styleId="5">
    <w:name w:val="Body Text 2"/>
    <w:basedOn w:val="1"/>
    <w:link w:val="23"/>
    <w:qFormat/>
    <w:uiPriority w:val="99"/>
    <w:rPr>
      <w:color w:val="0000FF"/>
      <w:sz w:val="18"/>
      <w:szCs w:val="18"/>
    </w:rPr>
  </w:style>
  <w:style w:type="paragraph" w:styleId="6">
    <w:name w:val="Body Text Indent"/>
    <w:basedOn w:val="1"/>
    <w:link w:val="18"/>
    <w:qFormat/>
    <w:uiPriority w:val="99"/>
    <w:pPr>
      <w:spacing w:line="600" w:lineRule="exact"/>
      <w:ind w:firstLine="600" w:firstLineChars="200"/>
    </w:pPr>
    <w:rPr>
      <w:rFonts w:ascii="华文仿宋" w:hAnsi="华文仿宋" w:eastAsia="华文仿宋" w:cs="华文仿宋"/>
      <w:sz w:val="30"/>
      <w:szCs w:val="30"/>
    </w:rPr>
  </w:style>
  <w:style w:type="paragraph" w:styleId="7">
    <w:name w:val="Date"/>
    <w:basedOn w:val="1"/>
    <w:next w:val="1"/>
    <w:link w:val="19"/>
    <w:qFormat/>
    <w:uiPriority w:val="99"/>
    <w:pPr>
      <w:ind w:left="100" w:leftChars="2500"/>
    </w:pPr>
    <w:rPr>
      <w:rFonts w:ascii="仿宋_GB2312" w:hAnsi="华文仿宋" w:eastAsia="仿宋_GB2312" w:cs="仿宋_GB2312"/>
      <w:sz w:val="32"/>
      <w:szCs w:val="32"/>
    </w:rPr>
  </w:style>
  <w:style w:type="paragraph" w:styleId="8">
    <w:name w:val="Body Text Indent 2"/>
    <w:basedOn w:val="1"/>
    <w:link w:val="21"/>
    <w:qFormat/>
    <w:uiPriority w:val="99"/>
    <w:pPr>
      <w:ind w:firstLine="660"/>
    </w:pPr>
    <w:rPr>
      <w:rFonts w:ascii="文星仿宋" w:hAnsi="文星仿宋" w:eastAsia="文星仿宋" w:cs="文星仿宋"/>
      <w:sz w:val="32"/>
      <w:szCs w:val="32"/>
    </w:rPr>
  </w:style>
  <w:style w:type="paragraph" w:styleId="9">
    <w:name w:val="Balloon Text"/>
    <w:basedOn w:val="1"/>
    <w:link w:val="26"/>
    <w:semiHidden/>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sz w:val="18"/>
      <w:szCs w:val="18"/>
    </w:rPr>
  </w:style>
  <w:style w:type="paragraph" w:styleId="11">
    <w:name w:val="header"/>
    <w:basedOn w:val="1"/>
    <w:link w:val="25"/>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4"/>
    <w:next w:val="1"/>
    <w:qFormat/>
    <w:uiPriority w:val="0"/>
    <w:pPr>
      <w:widowControl/>
      <w:overflowPunct w:val="0"/>
      <w:autoSpaceDE w:val="0"/>
      <w:autoSpaceDN w:val="0"/>
      <w:adjustRightInd w:val="0"/>
      <w:ind w:firstLine="420" w:firstLineChars="100"/>
      <w:jc w:val="left"/>
      <w:textAlignment w:val="baseline"/>
    </w:pPr>
    <w:rPr>
      <w:rFonts w:ascii="仿宋体" w:eastAsia="仿宋体"/>
    </w:rPr>
  </w:style>
  <w:style w:type="paragraph" w:customStyle="1" w:styleId="15">
    <w:name w:val="Char Char Char Char"/>
    <w:basedOn w:val="1"/>
    <w:link w:val="14"/>
    <w:qFormat/>
    <w:uiPriority w:val="99"/>
    <w:pPr>
      <w:spacing w:line="360" w:lineRule="auto"/>
      <w:ind w:firstLine="480" w:firstLineChars="200"/>
    </w:pPr>
  </w:style>
  <w:style w:type="character" w:styleId="16">
    <w:name w:val="page number"/>
    <w:basedOn w:val="14"/>
    <w:qFormat/>
    <w:uiPriority w:val="99"/>
  </w:style>
  <w:style w:type="character" w:styleId="17">
    <w:name w:val="annotation reference"/>
    <w:basedOn w:val="14"/>
    <w:semiHidden/>
    <w:qFormat/>
    <w:uiPriority w:val="99"/>
    <w:rPr>
      <w:sz w:val="21"/>
      <w:szCs w:val="21"/>
    </w:rPr>
  </w:style>
  <w:style w:type="character" w:customStyle="1" w:styleId="18">
    <w:name w:val="Body Text Indent Char"/>
    <w:basedOn w:val="14"/>
    <w:link w:val="6"/>
    <w:semiHidden/>
    <w:qFormat/>
    <w:locked/>
    <w:uiPriority w:val="99"/>
    <w:rPr>
      <w:sz w:val="21"/>
      <w:szCs w:val="21"/>
    </w:rPr>
  </w:style>
  <w:style w:type="character" w:customStyle="1" w:styleId="19">
    <w:name w:val="Date Char"/>
    <w:basedOn w:val="14"/>
    <w:link w:val="7"/>
    <w:semiHidden/>
    <w:qFormat/>
    <w:locked/>
    <w:uiPriority w:val="99"/>
    <w:rPr>
      <w:sz w:val="21"/>
      <w:szCs w:val="21"/>
    </w:rPr>
  </w:style>
  <w:style w:type="character" w:customStyle="1" w:styleId="20">
    <w:name w:val="Body Text Char"/>
    <w:basedOn w:val="14"/>
    <w:link w:val="4"/>
    <w:semiHidden/>
    <w:qFormat/>
    <w:locked/>
    <w:uiPriority w:val="99"/>
    <w:rPr>
      <w:sz w:val="21"/>
      <w:szCs w:val="21"/>
    </w:rPr>
  </w:style>
  <w:style w:type="character" w:customStyle="1" w:styleId="21">
    <w:name w:val="Body Text Indent 2 Char"/>
    <w:basedOn w:val="14"/>
    <w:link w:val="8"/>
    <w:semiHidden/>
    <w:qFormat/>
    <w:locked/>
    <w:uiPriority w:val="99"/>
    <w:rPr>
      <w:sz w:val="21"/>
      <w:szCs w:val="21"/>
    </w:rPr>
  </w:style>
  <w:style w:type="character" w:customStyle="1" w:styleId="22">
    <w:name w:val="Comment Text Char"/>
    <w:basedOn w:val="14"/>
    <w:link w:val="3"/>
    <w:semiHidden/>
    <w:qFormat/>
    <w:locked/>
    <w:uiPriority w:val="99"/>
    <w:rPr>
      <w:sz w:val="21"/>
      <w:szCs w:val="21"/>
    </w:rPr>
  </w:style>
  <w:style w:type="character" w:customStyle="1" w:styleId="23">
    <w:name w:val="Body Text 2 Char"/>
    <w:basedOn w:val="14"/>
    <w:link w:val="5"/>
    <w:semiHidden/>
    <w:qFormat/>
    <w:locked/>
    <w:uiPriority w:val="99"/>
    <w:rPr>
      <w:sz w:val="21"/>
      <w:szCs w:val="21"/>
    </w:rPr>
  </w:style>
  <w:style w:type="character" w:customStyle="1" w:styleId="24">
    <w:name w:val="Footer Char"/>
    <w:basedOn w:val="14"/>
    <w:link w:val="10"/>
    <w:qFormat/>
    <w:locked/>
    <w:uiPriority w:val="99"/>
    <w:rPr>
      <w:kern w:val="2"/>
      <w:sz w:val="18"/>
      <w:szCs w:val="18"/>
    </w:rPr>
  </w:style>
  <w:style w:type="character" w:customStyle="1" w:styleId="25">
    <w:name w:val="Header Char"/>
    <w:basedOn w:val="14"/>
    <w:link w:val="11"/>
    <w:semiHidden/>
    <w:qFormat/>
    <w:locked/>
    <w:uiPriority w:val="99"/>
    <w:rPr>
      <w:sz w:val="18"/>
      <w:szCs w:val="18"/>
    </w:rPr>
  </w:style>
  <w:style w:type="character" w:customStyle="1" w:styleId="26">
    <w:name w:val="Balloon Text Char"/>
    <w:basedOn w:val="14"/>
    <w:link w:val="9"/>
    <w:qFormat/>
    <w:locked/>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BJ</Company>
  <Pages>4</Pages>
  <Words>1285</Words>
  <Characters>1386</Characters>
  <Lines>0</Lines>
  <Paragraphs>0</Paragraphs>
  <TotalTime>2</TotalTime>
  <ScaleCrop>false</ScaleCrop>
  <LinksUpToDate>false</LinksUpToDate>
  <CharactersWithSpaces>1440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2020-08-28T18:49:00Z</dcterms:created>
  <dc:creator>BJGOV</dc:creator>
  <cp:lastModifiedBy>zhibanshi</cp:lastModifiedBy>
  <cp:lastPrinted>2026-01-29T11:45:00Z</cp:lastPrinted>
  <dcterms:modified xsi:type="dcterms:W3CDTF">2026-03-06T10:13:03Z</dcterms:modified>
  <dc:title>北京市人民政府办公厅</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C76C806A6E429A362F38AA69F497465E</vt:lpwstr>
  </property>
</Properties>
</file>