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对违反《宗教事务条例》规定，修建大型露天宗教造像的行为的检查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违反《宗教事务条例》规定，修建大型露天宗教造像的行为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修建大型露天宗教造像的行为经省级宗教事务部门征求所在地区人民政府的意见，必要时，征求当地省级人民政府土地、建设、环保、文物、旅游等部门意见后，报国家宗教事务局审批。</w:t>
      </w:r>
    </w:p>
    <w:p>
      <w:pPr>
        <w:spacing w:line="560" w:lineRule="exact"/>
        <w:ind w:firstLine="642" w:firstLineChars="200"/>
        <w:rPr>
          <w:rFonts w:ascii="黑体" w:hAnsi="黑体" w:eastAsia="仿宋" w:cs="黑体"/>
          <w:sz w:val="32"/>
          <w:szCs w:val="32"/>
        </w:rPr>
      </w:pPr>
      <w:r>
        <w:rPr>
          <w:rFonts w:hint="eastAsia" w:ascii="仿宋_GB2312" w:hAnsi="仿宋_GB2312" w:eastAsia="仿宋_GB2312" w:cs="仿宋_GB2312"/>
          <w:b/>
          <w:bCs/>
          <w:sz w:val="32"/>
          <w:szCs w:val="32"/>
        </w:rPr>
        <w:t>不合格情形：</w:t>
      </w:r>
      <w:r>
        <w:rPr>
          <w:rFonts w:hint="eastAsia" w:ascii="仿宋" w:hAnsi="仿宋" w:eastAsia="仿宋" w:cs="仿宋"/>
          <w:sz w:val="30"/>
          <w:szCs w:val="30"/>
        </w:rPr>
        <w:t>1.</w:t>
      </w:r>
      <w:r>
        <w:rPr>
          <w:rFonts w:hint="eastAsia" w:ascii="仿宋" w:hAnsi="仿宋" w:eastAsia="仿宋"/>
          <w:sz w:val="30"/>
          <w:szCs w:val="30"/>
        </w:rPr>
        <w:t>修建大型露天宗教造像的行为未经省级宗教事务部门征求所在地区人民政府的意见；2.未获国家宗教事务局审批。</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DFBCD3A"/>
    <w:rsid w:val="1EC3056E"/>
    <w:rsid w:val="23C203E0"/>
    <w:rsid w:val="2CA97F9E"/>
    <w:rsid w:val="2CE454BA"/>
    <w:rsid w:val="2FA75A41"/>
    <w:rsid w:val="394D43E6"/>
    <w:rsid w:val="3BEB2303"/>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AFBD5AF7"/>
    <w:rsid w:val="AFDAD9FA"/>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2025-07-15T18:52:02Z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