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宗教团体、宗教院校、宗教活动场所违反国家有关财务、会计、资产、税收管理规定情节严重的行为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是否存在宗教团体、宗教院校、宗教活动场所违反国家有关财务、会计、资产、税收管理规定情节严重的行为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违反国家有关财务、会计、资产、税收管理规定情节严重的行为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bookmarkStart w:id="0" w:name="_GoBack"/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违反国家有关财务、会计、资产、税收管理规定情节严重的行为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751872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6751872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  <w:rsid w:val="D63DF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2021-09-10T11:13:00Z</dcterms:created>
  <dc:creator>刘畅</dc:creator>
  <cp:lastModifiedBy>鑫者无疆01</cp:lastModifiedBy>
  <dcterms:modified xsi:type="dcterms:W3CDTF">2025-07-15T17:13:18Z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3D5FF3FE942D432F85FC1440CAC536B0</vt:lpwstr>
  </property>
</Properties>
</file>