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0FA64">
      <w:pPr>
        <w:pStyle w:val="11"/>
        <w:spacing w:before="0" w:after="0"/>
        <w:rPr>
          <w:rFonts w:ascii="方正小标宋简体" w:eastAsia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《关于北京城市副中心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支持数智创新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OPC创新发展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的若干措施》申报指南</w:t>
      </w:r>
    </w:p>
    <w:bookmarkEnd w:id="0"/>
    <w:p w14:paraId="1A37C348"/>
    <w:p w14:paraId="62BBCA2F">
      <w:pPr>
        <w:ind w:firstLine="64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一、申报方式</w:t>
      </w:r>
    </w:p>
    <w:p w14:paraId="32E75C1D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（一）申报时间：2026年</w:t>
      </w: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28</w:t>
      </w:r>
      <w:r>
        <w:rPr>
          <w:rFonts w:hint="eastAsia" w:ascii="仿宋_GB2312" w:hAnsi="仿宋_GB2312" w:cs="仿宋_GB2312"/>
        </w:rPr>
        <w:t>日至</w:t>
      </w:r>
      <w:r>
        <w:rPr>
          <w:rFonts w:hint="eastAsia" w:ascii="仿宋_GB2312" w:hAnsi="仿宋_GB2312" w:cs="仿宋_GB2312"/>
          <w:lang w:val="en-US" w:eastAsia="zh-CN"/>
        </w:rPr>
        <w:t>11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16</w:t>
      </w:r>
      <w:r>
        <w:rPr>
          <w:rFonts w:hint="eastAsia" w:ascii="仿宋_GB2312" w:hAnsi="仿宋_GB2312" w:cs="仿宋_GB2312"/>
        </w:rPr>
        <w:t>日</w:t>
      </w:r>
      <w:r>
        <w:rPr>
          <w:rFonts w:hint="eastAsia" w:ascii="仿宋_GB2312" w:hAnsi="仿宋_GB2312" w:cs="仿宋_GB2312"/>
          <w:lang w:val="en-US" w:eastAsia="zh-CN"/>
        </w:rPr>
        <w:t>12：00</w:t>
      </w:r>
      <w:r>
        <w:rPr>
          <w:rFonts w:hint="eastAsia" w:ascii="仿宋_GB2312" w:hAnsi="仿宋_GB2312" w:cs="仿宋_GB2312"/>
        </w:rPr>
        <w:t>。</w:t>
      </w:r>
      <w:r>
        <w:rPr>
          <w:rFonts w:hint="eastAsia" w:ascii="仿宋_GB2312" w:hAnsi="仿宋_GB2312" w:cs="仿宋_GB2312"/>
          <w:lang w:val="en-US" w:eastAsia="zh-CN"/>
        </w:rPr>
        <w:t>届时系统将自动关闭，逾期不予受理。</w:t>
      </w:r>
    </w:p>
    <w:p w14:paraId="1BEF52AF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（二）申报方式：申报主体登录北京市人民政府门户网站“政策兑现专区”（https://zhengce.beijing.gov.cn），按要求注册或登录单位账号，选择对应的项目并上传电子版材料进行申报。</w:t>
      </w:r>
    </w:p>
    <w:p w14:paraId="63951832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三</w:t>
      </w:r>
      <w:r>
        <w:rPr>
          <w:rFonts w:hint="eastAsia" w:ascii="仿宋_GB2312" w:hAnsi="仿宋_GB2312" w:cs="仿宋_GB2312"/>
        </w:rPr>
        <w:t>）申报主体对申报材料的合法性、真实性、完整性和有效性负全部责任。申报主体涉及伪造、编造申请资料，或违反相关法律法规获取支持资金的，一经查实，申报主体须退回支持资金，并取消其5年内申请资格，性质严重者移交司法机关处理。</w:t>
      </w:r>
    </w:p>
    <w:p w14:paraId="0BCDD804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四）申报单位申报的同一项目和同一事项不进行重复支持；已获得区级其他专项的项目不得申报。</w:t>
      </w:r>
    </w:p>
    <w:p w14:paraId="1858C30A">
      <w:pPr>
        <w:ind w:firstLine="640" w:firstLineChars="20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lang w:eastAsia="zh-CN"/>
        </w:rPr>
        <w:t>支持内容</w:t>
      </w:r>
    </w:p>
    <w:p w14:paraId="463EE63E">
      <w:pPr>
        <w:widowControl/>
        <w:overflowPunct/>
        <w:spacing w:afterLines="0" w:line="600" w:lineRule="exact"/>
        <w:ind w:firstLine="640" w:firstLineChars="200"/>
        <w:jc w:val="left"/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/>
          <w14:ligatures w14:val="none"/>
        </w:rPr>
      </w:pPr>
      <w:r>
        <w:rPr>
          <w:rFonts w:hint="eastAsia" w:ascii="楷体_GB2312" w:hAnsi="楷体_GB2312" w:eastAsia="楷体_GB2312" w:cs="楷体_GB2312"/>
          <w:b w:val="0"/>
          <w:bCs/>
          <w:kern w:val="0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/>
          <w14:ligatures w14:val="none"/>
        </w:rPr>
        <w:t>支持建设OPC生态友好社区</w:t>
      </w:r>
    </w:p>
    <w:p w14:paraId="15C47A4C">
      <w:pPr>
        <w:widowControl/>
        <w:overflowPunct/>
        <w:spacing w:afterLines="0" w:line="600" w:lineRule="exact"/>
        <w:ind w:firstLine="640" w:firstLineChars="200"/>
        <w:jc w:val="left"/>
        <w:rPr>
          <w:rFonts w:hint="eastAsia" w:ascii="仿宋_GB2312" w:hAnsi="仿宋_GB2312" w:cs="仿宋_GB2312"/>
          <w:kern w:val="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  <w14:ligatures w14:val="none"/>
        </w:rPr>
        <w:t>鼓励园区或孵化器积极打造OPC生态社区，为数智创新OPC提供企业登记、税务、法律咨询等一站式服务，以及低成本办公、AI工具等全周期服务，鼓励举办数智创新OPC生态活动、营造“单人成军”的浓厚创业氛围。对生态友好社区，每年给予最高200万元资金支持。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/>
          <w14:ligatures w14:val="none"/>
        </w:rPr>
        <w:t>其中：</w:t>
      </w:r>
    </w:p>
    <w:p w14:paraId="7E9E8000">
      <w:pPr>
        <w:widowControl/>
        <w:numPr>
          <w:ilvl w:val="0"/>
          <w:numId w:val="0"/>
        </w:numPr>
        <w:spacing w:afterLines="0"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本次申报年度中，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培育数智创新OPC企业达到10家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后，经认定后，给予30万元奖励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，超过10家后，每新增1家数智创新OPC企业给予</w:t>
      </w:r>
      <w:r>
        <w:rPr>
          <w:rFonts w:hint="eastAsia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万元资金支持，最高给予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0万元奖励。</w:t>
      </w:r>
    </w:p>
    <w:p w14:paraId="1965D1E9">
      <w:pPr>
        <w:widowControl/>
        <w:numPr>
          <w:ilvl w:val="0"/>
          <w:numId w:val="0"/>
        </w:numPr>
        <w:spacing w:afterLines="0"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本次申报年度中，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社区建设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或运营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服务OPC的各类研发创新平台和基础设施，包括但不限于概念验证中心、专业实验室、应用场景实验室、技术研发中心、算力中心等，为OPC提供算力、大模型等稳定可靠的人工智能要素和生产工具支持，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经认定后，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根据资金投入的50%最高给予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0万元支持。</w:t>
      </w:r>
    </w:p>
    <w:p w14:paraId="2F476138">
      <w:pPr>
        <w:widowControl/>
        <w:numPr>
          <w:ilvl w:val="0"/>
          <w:numId w:val="0"/>
        </w:numPr>
        <w:spacing w:afterLines="0"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本次申报年度中，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社区内单家数智创新OPC企业研发费用总额不低于100万元且占营业收入总额比重不低于3%，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经认定后，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一家符合条件的OPC企业给予</w:t>
      </w:r>
      <w:r>
        <w:rPr>
          <w:rFonts w:hint="eastAsia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万元支持，最高给予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0万元支持。</w:t>
      </w:r>
    </w:p>
    <w:p w14:paraId="0237DB44">
      <w:pPr>
        <w:widowControl/>
        <w:numPr>
          <w:ilvl w:val="0"/>
          <w:numId w:val="0"/>
        </w:numPr>
        <w:spacing w:afterLines="0"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（4）孵化OPC企业中，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本次申报年度中，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每有一家OPC企业获得过专业投资机构的私募投资，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经认定后，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给予5万元奖励，最高给予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0万元支持。</w:t>
      </w:r>
    </w:p>
    <w:p w14:paraId="182147F8">
      <w:pPr>
        <w:widowControl/>
        <w:overflowPunct/>
        <w:spacing w:afterLines="0" w:line="600" w:lineRule="exact"/>
        <w:ind w:firstLine="640" w:firstLineChars="200"/>
        <w:jc w:val="left"/>
        <w:rPr>
          <w:rFonts w:hint="eastAsia" w:ascii="楷体_GB2312" w:hAnsi="楷体_GB2312" w:eastAsia="楷体_GB2312" w:cs="楷体_GB2312"/>
          <w:b w:val="0"/>
          <w:bCs/>
          <w:kern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kern w:val="0"/>
          <w:szCs w:val="32"/>
          <w:lang w:eastAsia="zh-CN"/>
        </w:rPr>
        <w:t>（二）申报条件</w:t>
      </w:r>
    </w:p>
    <w:p w14:paraId="33BA9D81">
      <w:pPr>
        <w:widowControl/>
        <w:snapToGrid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b/>
          <w:szCs w:val="32"/>
        </w:rPr>
        <w:t>申报主体需满足：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本措施适用于在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本地依法合规经营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，为数智创新OPC提供办公空间、专业服务、资源对接等孵化服务的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生态友好社区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。申请认定的数智创新OPC及OPC生态友好社区核心要求如下：</w:t>
      </w:r>
    </w:p>
    <w:p w14:paraId="50D48953">
      <w:pPr>
        <w:widowControl/>
        <w:snapToGrid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数智创新OPC：</w:t>
      </w:r>
    </w:p>
    <w:p w14:paraId="5EA3D1B9">
      <w:pPr>
        <w:numPr>
          <w:ilvl w:val="0"/>
          <w:numId w:val="0"/>
        </w:num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  <w14:ligatures w14:val="none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团队</w:t>
      </w:r>
      <w:r>
        <w:rPr>
          <w:rFonts w:hint="eastAsia" w:ascii="仿宋_GB2312" w:hAnsi="仿宋_GB2312" w:cs="仿宋_GB2312"/>
          <w:sz w:val="32"/>
          <w:szCs w:val="32"/>
          <w:lang w:val="en-US" w:eastAsia="zh-CN"/>
          <w14:ligatures w14:val="none"/>
        </w:rPr>
        <w:t>在本地依法合规经营</w:t>
      </w:r>
      <w:r>
        <w:rPr>
          <w:rFonts w:hint="eastAsia" w:ascii="Times New Roman" w:hAnsi="Times New Roman" w:cs="Times New Roman"/>
          <w:kern w:val="0"/>
          <w:sz w:val="32"/>
          <w:szCs w:val="32"/>
          <w:shd w:val="clear" w:color="auto" w:fill="FFFFFF"/>
          <w:lang w:val="en-US" w:eastAsia="zh-CN"/>
          <w14:ligatures w14:val="none"/>
        </w:rPr>
        <w:t>，财务制度健全稳定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，由一人独资设立或以其为核心设立。</w:t>
      </w:r>
    </w:p>
    <w:p w14:paraId="21594895">
      <w:pPr>
        <w:numPr>
          <w:ilvl w:val="0"/>
          <w:numId w:val="0"/>
        </w:num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（2）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以数智创新技术研究、开发、应用或服务及“人工智能+”场景应用为核心业务并实现商业闭环的有限责任公司。以数据要素、算法模型、软件著作权和发明专利等技术型要素为核心资产，以模型训练、算法优化、数据治理等数智技术为核心研发投入，以技术解决方案、智能系统、数据产品、垂类模型等数智产品为主要产出。</w:t>
      </w:r>
    </w:p>
    <w:p w14:paraId="20CB3475">
      <w:pPr>
        <w:numPr>
          <w:ilvl w:val="0"/>
          <w:numId w:val="0"/>
        </w:num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（3）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团队成员数量不超过10名。</w:t>
      </w:r>
    </w:p>
    <w:p w14:paraId="3D3DEEE1">
      <w:pPr>
        <w:numPr>
          <w:ilvl w:val="0"/>
          <w:numId w:val="0"/>
        </w:num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（4）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单一个人在企业的技术创新、战略决策和主要业务执行中发挥主导作用（经股权穿透后，单一创始人合计持股比例超过50%）。</w:t>
      </w:r>
    </w:p>
    <w:p w14:paraId="7871168C">
      <w:p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  <w14:ligatures w14:val="none"/>
        </w:rPr>
        <w:t>（5）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近三个月内Token、算力、数据消耗大于1000元。</w:t>
      </w:r>
    </w:p>
    <w:p w14:paraId="19C5020A">
      <w:pPr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  <w14:ligatures w14:val="none"/>
        </w:rPr>
        <w:t>（6）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近三年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企业无严重违法违规记录和不良信用记录。</w:t>
      </w:r>
    </w:p>
    <w:p w14:paraId="5D3FB19A">
      <w:pPr>
        <w:widowControl/>
        <w:snapToGrid w:val="0"/>
        <w:spacing w:line="560" w:lineRule="exact"/>
        <w:ind w:firstLine="643" w:firstLineChars="200"/>
        <w:jc w:val="both"/>
        <w:rPr>
          <w:rFonts w:hint="eastAsia" w:ascii="仿宋_GB2312" w:hAnsi="仿宋_GB2312" w:cs="仿宋_GB2312"/>
          <w:b/>
          <w:bCs/>
          <w:kern w:val="0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OPC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 w:bidi="ar"/>
        </w:rPr>
        <w:t>生态友好社区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申报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 w:bidi="ar"/>
        </w:rPr>
        <w:t>基础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条件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 w:bidi="ar"/>
        </w:rPr>
        <w:t>（必须全部满足）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：</w:t>
      </w:r>
    </w:p>
    <w:p w14:paraId="6394F7AF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近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三</w:t>
      </w:r>
      <w:r>
        <w:rPr>
          <w:rFonts w:hint="eastAsia" w:ascii="仿宋_GB2312" w:hAnsi="仿宋_GB2312" w:cs="仿宋_GB2312"/>
          <w:bCs w:val="0"/>
          <w:szCs w:val="32"/>
        </w:rPr>
        <w:t>年内未受到刑事及严重行政处罚，不存在严重失信行为；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财务制度健全稳定</w:t>
      </w:r>
      <w:r>
        <w:rPr>
          <w:rFonts w:hint="eastAsia" w:ascii="仿宋_GB2312" w:hAnsi="仿宋_GB2312" w:cs="仿宋_GB2312"/>
          <w:bCs w:val="0"/>
          <w:szCs w:val="32"/>
        </w:rPr>
        <w:t>；社区具备管理运营主体，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28303E"/>
          <w:spacing w:val="0"/>
          <w:sz w:val="32"/>
          <w:szCs w:val="32"/>
          <w:shd w:val="clear" w:fill="auto"/>
        </w:rPr>
        <w:t>运营主体在</w:t>
      </w:r>
      <w:r>
        <w:rPr>
          <w:rFonts w:hint="eastAsia" w:ascii="仿宋_GB2312" w:hAnsi="仿宋_GB2312" w:cs="仿宋_GB2312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/>
          <w:lang w:val="en-US" w:eastAsia="zh-CN"/>
          <w14:textFill>
            <w14:solidFill>
              <w14:schemeClr w14:val="tx1"/>
            </w14:solidFill>
          </w14:textFill>
        </w:rPr>
        <w:t>通州区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28303E"/>
          <w:spacing w:val="0"/>
          <w:sz w:val="32"/>
          <w:szCs w:val="32"/>
          <w:shd w:val="clear" w:fill="auto"/>
        </w:rPr>
        <w:t>合法经营并稳定运营一年以上</w:t>
      </w:r>
      <w:r>
        <w:rPr>
          <w:rFonts w:hint="eastAsia" w:ascii="仿宋_GB2312" w:hAnsi="仿宋_GB2312" w:cs="仿宋_GB2312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cs="仿宋_GB2312"/>
          <w:bCs w:val="0"/>
          <w:szCs w:val="32"/>
        </w:rPr>
        <w:t>运营管理规范，规章制度完备；单位法定代表人诚信、守法，无不良信用记录。</w:t>
      </w:r>
    </w:p>
    <w:p w14:paraId="7419EB8C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聚焦数智产业，已入驻并集聚10家（个）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数智创新类</w:t>
      </w:r>
      <w:r>
        <w:rPr>
          <w:rFonts w:hint="eastAsia" w:ascii="仿宋_GB2312" w:hAnsi="仿宋_GB2312" w:cs="仿宋_GB2312"/>
          <w:bCs w:val="0"/>
          <w:szCs w:val="32"/>
        </w:rPr>
        <w:t>OPC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需满足数智创新OPC企业条件）</w:t>
      </w:r>
      <w:r>
        <w:rPr>
          <w:rFonts w:hint="eastAsia" w:ascii="仿宋_GB2312" w:hAnsi="仿宋_GB2312" w:cs="仿宋_GB2312"/>
          <w:bCs w:val="0"/>
          <w:szCs w:val="32"/>
        </w:rPr>
        <w:t>。</w:t>
      </w:r>
    </w:p>
    <w:p w14:paraId="5C238CCB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运营团队：拥有专业化、职业化的运营服务团队，聘用全职或专职的OPC服务人员不少于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bCs w:val="0"/>
          <w:szCs w:val="32"/>
        </w:rPr>
        <w:t>人</w:t>
      </w:r>
      <w:r>
        <w:rPr>
          <w:rFonts w:hint="eastAsia" w:ascii="仿宋_GB2312" w:hAnsi="仿宋_GB2312" w:cs="仿宋_GB2312"/>
          <w:bCs w:val="0"/>
          <w:color w:val="auto"/>
          <w:szCs w:val="32"/>
        </w:rPr>
        <w:t>。</w:t>
      </w:r>
      <w:r>
        <w:rPr>
          <w:rFonts w:hint="eastAsia" w:ascii="仿宋_GB2312" w:hAnsi="仿宋_GB2312" w:cs="仿宋_GB2312"/>
          <w:bCs w:val="0"/>
          <w:szCs w:val="32"/>
        </w:rPr>
        <w:t>能够对接区域内中试平台、概念验证中心及各类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专业</w:t>
      </w:r>
      <w:r>
        <w:rPr>
          <w:rFonts w:hint="eastAsia" w:ascii="仿宋_GB2312" w:hAnsi="仿宋_GB2312" w:cs="仿宋_GB2312"/>
          <w:bCs w:val="0"/>
          <w:szCs w:val="32"/>
        </w:rPr>
        <w:t>服务资源，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能够</w:t>
      </w:r>
      <w:r>
        <w:rPr>
          <w:rFonts w:hint="eastAsia" w:ascii="仿宋_GB2312" w:hAnsi="仿宋_GB2312" w:cs="仿宋_GB2312"/>
          <w:bCs w:val="0"/>
          <w:szCs w:val="32"/>
        </w:rPr>
        <w:t>为OPC社区入驻企业提供公共服务包，财务、税务、法律咨询及专利申报等，具备覆盖OPC全成长周期的专业化服务能力。</w:t>
      </w:r>
    </w:p>
    <w:p w14:paraId="7FA4BB54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拥有支持OPC发展的办公场地，自主支配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集中</w:t>
      </w:r>
      <w:r>
        <w:rPr>
          <w:rFonts w:hint="eastAsia" w:ascii="仿宋_GB2312" w:hAnsi="仿宋_GB2312" w:cs="仿宋_GB2312"/>
          <w:bCs w:val="0"/>
          <w:szCs w:val="32"/>
        </w:rPr>
        <w:t>场地面积不低于1000平方米。同时须配套公共服务场地及设施，近3年内未发生重大安全或环保事故。</w:t>
      </w:r>
    </w:p>
    <w:p w14:paraId="6B4C5E95">
      <w:pPr>
        <w:pStyle w:val="6"/>
        <w:ind w:firstLine="643"/>
        <w:rPr>
          <w:rFonts w:hint="eastAsia" w:ascii="仿宋_GB2312" w:hAnsi="仿宋_GB2312" w:cs="仿宋_GB2312"/>
          <w:bCs w:val="0"/>
          <w:color w:val="auto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color w:val="auto"/>
          <w:szCs w:val="32"/>
        </w:rPr>
        <w:t>具备接入或者高效链接普惠算力、高质量数据集、主流开发工具与模型的能力，为入驻OPC提供算力补贴、数据资源、模型服务等</w:t>
      </w:r>
      <w:r>
        <w:rPr>
          <w:rFonts w:hint="eastAsia" w:ascii="仿宋_GB2312" w:hAnsi="仿宋_GB2312" w:cs="仿宋_GB2312"/>
          <w:bCs w:val="0"/>
          <w:color w:val="auto"/>
          <w:szCs w:val="32"/>
          <w:lang w:val="en-US" w:eastAsia="zh-CN"/>
        </w:rPr>
        <w:t>专业化</w:t>
      </w:r>
      <w:r>
        <w:rPr>
          <w:rFonts w:hint="eastAsia" w:ascii="仿宋_GB2312" w:hAnsi="仿宋_GB2312" w:cs="仿宋_GB2312"/>
          <w:bCs w:val="0"/>
          <w:color w:val="auto"/>
          <w:szCs w:val="32"/>
        </w:rPr>
        <w:t>支持。</w:t>
      </w:r>
    </w:p>
    <w:p w14:paraId="3A48DACD">
      <w:pPr>
        <w:pStyle w:val="6"/>
        <w:ind w:firstLine="643"/>
        <w:rPr>
          <w:rFonts w:hint="eastAsia" w:ascii="仿宋_GB2312" w:hAnsi="仿宋_GB2312" w:cs="仿宋_GB2312"/>
          <w:bCs w:val="0"/>
          <w:color w:val="auto"/>
          <w:szCs w:val="32"/>
        </w:rPr>
      </w:pPr>
      <w:r>
        <w:rPr>
          <w:rFonts w:hint="eastAsia" w:ascii="仿宋_GB2312" w:hAnsi="仿宋_GB2312" w:cs="仿宋_GB2312"/>
          <w:bCs w:val="0"/>
          <w:color w:val="auto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color w:val="auto"/>
          <w:szCs w:val="32"/>
          <w:lang w:val="en-US" w:eastAsia="zh-CN"/>
        </w:rPr>
        <w:t>6</w:t>
      </w:r>
      <w:r>
        <w:rPr>
          <w:rFonts w:hint="eastAsia" w:ascii="仿宋_GB2312" w:hAnsi="仿宋_GB2312" w:cs="仿宋_GB2312"/>
          <w:bCs w:val="0"/>
          <w:color w:val="auto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color w:val="auto"/>
          <w:szCs w:val="32"/>
        </w:rPr>
        <w:t>制度建设：拥有完备的管理制度，主要包括但不限于建立健全OPC创业者入驻评估、毕业与退出机制，明确入驻条件、孵化周期、服务内容与流程、退出标准等；建立服务质量监督和反馈机制，及时收集OPC创业者的意见和建议，持续改进服务质量。</w:t>
      </w:r>
    </w:p>
    <w:p w14:paraId="3456DA8F">
      <w:pPr>
        <w:pStyle w:val="6"/>
        <w:ind w:firstLine="643"/>
        <w:rPr>
          <w:rFonts w:hint="eastAsia" w:ascii="仿宋_GB2312" w:hAnsi="仿宋_GB2312" w:eastAsia="仿宋_GB2312" w:cs="仿宋_GB2312"/>
          <w:bCs w:val="0"/>
          <w:szCs w:val="32"/>
          <w:lang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7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社区能够为各类活动提供场地支持，每年开展项目路演、科技沙龙、技能培训等OPC生态活动不少于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12</w:t>
      </w:r>
      <w:r>
        <w:rPr>
          <w:rFonts w:hint="eastAsia" w:ascii="仿宋_GB2312" w:hAnsi="仿宋_GB2312" w:cs="仿宋_GB2312"/>
          <w:bCs w:val="0"/>
          <w:szCs w:val="32"/>
        </w:rPr>
        <w:t>场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。</w:t>
      </w:r>
    </w:p>
    <w:p w14:paraId="6F36BAF1">
      <w:pPr>
        <w:ind w:firstLine="64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三</w:t>
      </w:r>
      <w:r>
        <w:rPr>
          <w:rFonts w:hint="eastAsia" w:ascii="黑体" w:hAnsi="黑体" w:eastAsia="黑体" w:cs="黑体"/>
        </w:rPr>
        <w:t>、申报材料</w:t>
      </w:r>
    </w:p>
    <w:p w14:paraId="791832E9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）通州区数智创新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OPC生态友好社区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申报书（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附件1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ab/>
      </w:r>
    </w:p>
    <w:p w14:paraId="0F3681A9">
      <w:pPr>
        <w:pStyle w:val="6"/>
        <w:ind w:firstLine="643"/>
        <w:rPr>
          <w:rFonts w:hint="eastAsia" w:ascii="仿宋_GB2312" w:hAnsi="仿宋_GB2312" w:cs="仿宋_GB2312"/>
          <w:bCs w:val="0"/>
          <w:szCs w:val="32"/>
          <w:lang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承诺书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</w:rPr>
        <w:t>请加盖公章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）（附件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</w:p>
    <w:p w14:paraId="71542B4F">
      <w:pPr>
        <w:pStyle w:val="6"/>
        <w:ind w:firstLine="643"/>
        <w:rPr>
          <w:rFonts w:hint="eastAsia" w:ascii="仿宋_GB2312" w:hAnsi="仿宋_GB2312" w:cs="仿宋_GB2312"/>
          <w:bCs w:val="0"/>
          <w:szCs w:val="32"/>
          <w:lang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“信用中国”下载生成的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申报</w:t>
      </w:r>
      <w:r>
        <w:rPr>
          <w:rFonts w:hint="eastAsia" w:ascii="仿宋_GB2312" w:hAnsi="仿宋_GB2312" w:cs="仿宋_GB2312"/>
          <w:bCs w:val="0"/>
          <w:szCs w:val="32"/>
        </w:rPr>
        <w:t>主体信用信息报告</w:t>
      </w:r>
    </w:p>
    <w:p w14:paraId="0EA265A8">
      <w:pPr>
        <w:pStyle w:val="6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</w:rPr>
        <w:t>在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通州区</w:t>
      </w:r>
      <w:r>
        <w:rPr>
          <w:rFonts w:hint="eastAsia" w:ascii="仿宋_GB2312" w:hAnsi="仿宋_GB2312" w:cs="仿宋_GB2312"/>
          <w:bCs w:val="0"/>
          <w:szCs w:val="32"/>
        </w:rPr>
        <w:t>实际经营证明材料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OPC生态社区运营团队证明材料（申报单位营业执照复印件、相关资质证书、劳动合同或社保记录））</w:t>
      </w:r>
    </w:p>
    <w:p w14:paraId="57961206">
      <w:pPr>
        <w:pStyle w:val="6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5）场地设施证明材料（包括硬件设施照片；场地面积证明文件&lt;自有产权证明须提供产权证复印件；受托管理须提供受托管理合同及产权证复印件；租赁需提供租赁场地合同复印件及产权证复印件&gt;；可为入驻者提供的租金减免、拎包入住、零租工位、设施共享等服务的证明材料）</w:t>
      </w:r>
    </w:p>
    <w:p w14:paraId="111B17F9">
      <w:pPr>
        <w:pStyle w:val="6"/>
        <w:ind w:firstLine="643"/>
        <w:rPr>
          <w:rFonts w:hint="eastAsia"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6）专业服务证明材料（包括接入或者链接的普惠算力、高质量数据集、主流开发工具与模型的合同、协议或者其他证明材料，可为入驻OPC提供的算力补贴、数据资源、模型服务等支持证明材料、举办生态活动证明材料）</w:t>
      </w:r>
    </w:p>
    <w:p w14:paraId="027BE612">
      <w:pPr>
        <w:pStyle w:val="6"/>
        <w:ind w:firstLine="643"/>
        <w:rPr>
          <w:rFonts w:hint="default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7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数智创新OPC社区运营团队成员名单及入驻企业情况（申报主体需提供能证明股权结构的证明材料，需提供OPC服务工作人员劳动合同或社保缴费记录等证明材料）（附件3）</w:t>
      </w:r>
    </w:p>
    <w:p w14:paraId="6E1858A5">
      <w:pPr>
        <w:pStyle w:val="6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8）</w:t>
      </w:r>
      <w:r>
        <w:rPr>
          <w:rFonts w:hint="eastAsia" w:ascii="仿宋_GB2312" w:hAnsi="仿宋_GB2312" w:cs="仿宋_GB2312"/>
          <w:bCs w:val="0"/>
          <w:szCs w:val="32"/>
        </w:rPr>
        <w:t>入驻企业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信息表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及数智创新OPC证明材料（1.提供有效期覆盖申报截止日的入驻合同或孵化协议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。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2.提供以下内容至少一类：数智创新技术应用说明（技术方案、产品说明及应用场景）、大模型或智能体等AI工具的采购合同或结算证明、API或平台使用记录和账单、能证明AI技术的知识产权）（附件4）</w:t>
      </w:r>
    </w:p>
    <w:p w14:paraId="7EA9EB3D">
      <w:pPr>
        <w:ind w:firstLine="640" w:firstLineChars="20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四、联系方式</w:t>
      </w:r>
    </w:p>
    <w:p w14:paraId="551A621D">
      <w:pPr>
        <w:pStyle w:val="6"/>
        <w:rPr>
          <w:rFonts w:hint="eastAsia" w:ascii="仿宋_GB2312" w:hAnsi="仿宋_GB2312" w:eastAsia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Cs w:val="32"/>
          <w:lang w:val="en-US" w:eastAsia="zh-CN"/>
        </w:rPr>
        <w:t>联系人：邢老师、徐老师</w:t>
      </w:r>
    </w:p>
    <w:p w14:paraId="389F0DD7">
      <w:pPr>
        <w:pStyle w:val="6"/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 w:val="0"/>
          <w:szCs w:val="32"/>
          <w:lang w:val="en-US" w:eastAsia="zh-CN"/>
        </w:rPr>
        <w:t>联系电话：</w:t>
      </w:r>
      <w:r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010-</w:t>
      </w:r>
      <w:r>
        <w:rPr>
          <w:rFonts w:hint="eastAsia" w:ascii="仿宋_GB2312" w:hAnsi="仿宋_GB2312" w:eastAsia="仿宋_GB2312" w:cs="仿宋_GB2312"/>
          <w:bCs w:val="0"/>
          <w:szCs w:val="32"/>
          <w:lang w:val="en-US" w:eastAsia="zh-CN"/>
        </w:rPr>
        <w:t>61560083</w:t>
      </w:r>
    </w:p>
    <w:p w14:paraId="132576EE">
      <w:pPr>
        <w:pStyle w:val="6"/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咨询时间：工作日9:00—1</w:t>
      </w:r>
      <w:r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0、13:30—1</w:t>
      </w:r>
      <w:r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:00</w:t>
      </w:r>
    </w:p>
    <w:p w14:paraId="5424B160">
      <w:pPr>
        <w:pStyle w:val="6"/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咨询地点：北京市通州区东关一街1号院复地金融中心B座18层1801室</w:t>
      </w:r>
    </w:p>
    <w:p w14:paraId="07E80AFF">
      <w:pPr>
        <w:numPr>
          <w:ilvl w:val="-1"/>
          <w:numId w:val="0"/>
        </w:numPr>
        <w:ind w:firstLine="640" w:firstLineChars="200"/>
        <w:rPr>
          <w:rFonts w:hint="eastAsia" w:ascii="黑体" w:hAnsi="黑体" w:eastAsia="黑体" w:cs="黑体"/>
          <w:color w:val="auto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Cs w:val="24"/>
          <w:lang w:val="en-US" w:eastAsia="zh-CN"/>
        </w:rPr>
        <w:t>五、其他事项</w:t>
      </w:r>
    </w:p>
    <w:p w14:paraId="613586B2">
      <w:pPr>
        <w:numPr>
          <w:ilvl w:val="-1"/>
          <w:numId w:val="0"/>
        </w:numPr>
        <w:ind w:firstLine="640" w:firstLineChars="200"/>
        <w:rPr>
          <w:rFonts w:hint="eastAsia" w:ascii="仿宋_GB2312" w:hAnsi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中关村通州园管委会未指定、授权或委托任何中介机构或个人从事该专项代理申请活动，代理机构或个人的行为与中关村通州园管委会无关。</w:t>
      </w:r>
    </w:p>
    <w:p w14:paraId="64158785">
      <w:pPr>
        <w:numPr>
          <w:ilvl w:val="-1"/>
          <w:numId w:val="0"/>
        </w:numPr>
        <w:ind w:firstLine="640" w:firstLineChars="200"/>
        <w:rPr>
          <w:rFonts w:hint="eastAsia" w:ascii="仿宋_GB2312" w:hAnsi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482E378">
      <w:pPr>
        <w:numPr>
          <w:ilvl w:val="-1"/>
          <w:numId w:val="0"/>
        </w:numPr>
        <w:ind w:left="1280" w:hanging="1280" w:hangingChars="400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p w14:paraId="36644C8C">
      <w:pPr>
        <w:ind w:firstLine="3840" w:firstLineChars="1200"/>
        <w:jc w:val="right"/>
        <w:rPr>
          <w:rFonts w:hint="default" w:ascii="仿宋_GB2312" w:hAnsi="仿宋_GB2312" w:cs="仿宋_GB2312"/>
          <w:bCs w:val="0"/>
          <w:szCs w:val="32"/>
          <w:lang w:val="en-US" w:eastAsia="zh-CN"/>
        </w:rPr>
      </w:pPr>
      <w:r>
        <w:rPr>
          <w:rFonts w:hint="default" w:ascii="仿宋_GB2312" w:hAnsi="仿宋_GB2312" w:cs="仿宋_GB2312"/>
          <w:bCs w:val="0"/>
          <w:szCs w:val="32"/>
          <w:lang w:val="en-US" w:eastAsia="zh-CN"/>
        </w:rPr>
        <w:t>中关村科技园区通州园管理委员会</w:t>
      </w:r>
    </w:p>
    <w:p w14:paraId="75549DB3">
      <w:pPr>
        <w:wordWrap w:val="0"/>
        <w:autoSpaceDE/>
        <w:autoSpaceDN/>
        <w:ind w:firstLine="3840" w:firstLineChars="1200"/>
        <w:contextualSpacing w:val="0"/>
        <w:jc w:val="right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cs="仿宋_GB2312"/>
          <w:bCs w:val="0"/>
          <w:szCs w:val="32"/>
          <w:lang w:val="en-US" w:eastAsia="zh-CN"/>
        </w:rPr>
        <w:t>2026年10月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28</w:t>
      </w:r>
      <w:r>
        <w:rPr>
          <w:rFonts w:hint="default" w:ascii="仿宋_GB2312" w:hAnsi="仿宋_GB2312" w:cs="仿宋_GB2312"/>
          <w:bCs w:val="0"/>
          <w:szCs w:val="32"/>
          <w:lang w:val="en-US" w:eastAsia="zh-CN"/>
        </w:rPr>
        <w:t>日</w:t>
      </w:r>
      <w:r>
        <w:rPr>
          <w:rFonts w:hint="eastAsia" w:ascii="仿宋_GB2312" w:hAnsi="仿宋_GB2312" w:cs="仿宋_GB2312"/>
          <w:lang w:val="en-US" w:eastAsia="zh-CN"/>
        </w:rPr>
        <w:t xml:space="preserve">      </w:t>
      </w:r>
    </w:p>
    <w:sectPr>
      <w:footerReference r:id="rId5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1FA9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5B2B8">
                          <w:pPr>
                            <w:pStyle w:val="7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75B2B8">
                    <w:pPr>
                      <w:pStyle w:val="7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F210F"/>
    <w:rsid w:val="00017809"/>
    <w:rsid w:val="000B0C77"/>
    <w:rsid w:val="0028461D"/>
    <w:rsid w:val="002B40B0"/>
    <w:rsid w:val="002D6668"/>
    <w:rsid w:val="002E5C97"/>
    <w:rsid w:val="003D4205"/>
    <w:rsid w:val="00422729"/>
    <w:rsid w:val="004E36D4"/>
    <w:rsid w:val="005318F7"/>
    <w:rsid w:val="005337E2"/>
    <w:rsid w:val="0054740B"/>
    <w:rsid w:val="007554E0"/>
    <w:rsid w:val="007E28E4"/>
    <w:rsid w:val="0082454F"/>
    <w:rsid w:val="0082757F"/>
    <w:rsid w:val="00885C5C"/>
    <w:rsid w:val="008C7E1D"/>
    <w:rsid w:val="0092368D"/>
    <w:rsid w:val="00967657"/>
    <w:rsid w:val="00985F6B"/>
    <w:rsid w:val="009F654C"/>
    <w:rsid w:val="00A51103"/>
    <w:rsid w:val="00A65B9D"/>
    <w:rsid w:val="00B61DD9"/>
    <w:rsid w:val="00BA6422"/>
    <w:rsid w:val="00BF3CD4"/>
    <w:rsid w:val="00C42CC8"/>
    <w:rsid w:val="00C86949"/>
    <w:rsid w:val="00D975C3"/>
    <w:rsid w:val="00E728F9"/>
    <w:rsid w:val="00F21BCD"/>
    <w:rsid w:val="00F53371"/>
    <w:rsid w:val="00FB693F"/>
    <w:rsid w:val="09BE460B"/>
    <w:rsid w:val="0BE744B1"/>
    <w:rsid w:val="0DAD02E4"/>
    <w:rsid w:val="0DB31D8B"/>
    <w:rsid w:val="0EE626A3"/>
    <w:rsid w:val="137FD301"/>
    <w:rsid w:val="13A3487F"/>
    <w:rsid w:val="16AD33A8"/>
    <w:rsid w:val="17AA2C19"/>
    <w:rsid w:val="1C996B45"/>
    <w:rsid w:val="28223BE7"/>
    <w:rsid w:val="29EE39D4"/>
    <w:rsid w:val="2B714DB5"/>
    <w:rsid w:val="2EB63532"/>
    <w:rsid w:val="2FF86E39"/>
    <w:rsid w:val="34A672EE"/>
    <w:rsid w:val="386B0BB0"/>
    <w:rsid w:val="39C74525"/>
    <w:rsid w:val="3BEFA64F"/>
    <w:rsid w:val="3C1578E2"/>
    <w:rsid w:val="3DFFD1FC"/>
    <w:rsid w:val="3E422FB2"/>
    <w:rsid w:val="3F7AC3BF"/>
    <w:rsid w:val="3FBE8ACC"/>
    <w:rsid w:val="3FDD5185"/>
    <w:rsid w:val="3FE7A1F6"/>
    <w:rsid w:val="3FFFDE97"/>
    <w:rsid w:val="406F0398"/>
    <w:rsid w:val="46B74910"/>
    <w:rsid w:val="48A56BE5"/>
    <w:rsid w:val="4BA5A14F"/>
    <w:rsid w:val="4FD7B1A9"/>
    <w:rsid w:val="53DDC686"/>
    <w:rsid w:val="53FF92B0"/>
    <w:rsid w:val="54677738"/>
    <w:rsid w:val="569C2EC3"/>
    <w:rsid w:val="57EFC76B"/>
    <w:rsid w:val="5B5F48CD"/>
    <w:rsid w:val="5DDF818D"/>
    <w:rsid w:val="5EBFF1AA"/>
    <w:rsid w:val="5FDF9EA8"/>
    <w:rsid w:val="5FE7F060"/>
    <w:rsid w:val="5FF3ABF6"/>
    <w:rsid w:val="63BEDDDC"/>
    <w:rsid w:val="63F37163"/>
    <w:rsid w:val="63FF2586"/>
    <w:rsid w:val="679B17DC"/>
    <w:rsid w:val="67FFD27F"/>
    <w:rsid w:val="69F775F9"/>
    <w:rsid w:val="6B5CBF69"/>
    <w:rsid w:val="6BBF168B"/>
    <w:rsid w:val="6BEF126B"/>
    <w:rsid w:val="6CB82B2E"/>
    <w:rsid w:val="6D7C0F9E"/>
    <w:rsid w:val="6EDBF737"/>
    <w:rsid w:val="6FBA8CC7"/>
    <w:rsid w:val="6FF966D8"/>
    <w:rsid w:val="6FFAA2CC"/>
    <w:rsid w:val="6FFBF4CA"/>
    <w:rsid w:val="727331D4"/>
    <w:rsid w:val="73AD40A4"/>
    <w:rsid w:val="766719F1"/>
    <w:rsid w:val="767FB510"/>
    <w:rsid w:val="76DB84D4"/>
    <w:rsid w:val="779E1C33"/>
    <w:rsid w:val="77B2D0D7"/>
    <w:rsid w:val="77B8822B"/>
    <w:rsid w:val="77FD6E8E"/>
    <w:rsid w:val="79660AA2"/>
    <w:rsid w:val="79BCD49B"/>
    <w:rsid w:val="7A7CEAFC"/>
    <w:rsid w:val="7AF5D0A5"/>
    <w:rsid w:val="7BDEABA2"/>
    <w:rsid w:val="7DDFE7AC"/>
    <w:rsid w:val="7DF747A2"/>
    <w:rsid w:val="7DFFEB90"/>
    <w:rsid w:val="7E7F3B47"/>
    <w:rsid w:val="7EB4D164"/>
    <w:rsid w:val="7F4B5A50"/>
    <w:rsid w:val="7F7FA018"/>
    <w:rsid w:val="7FAA2CCF"/>
    <w:rsid w:val="7FB51CD0"/>
    <w:rsid w:val="7FB68203"/>
    <w:rsid w:val="7FBAD0D0"/>
    <w:rsid w:val="7FFF3FB0"/>
    <w:rsid w:val="7FFF7E69"/>
    <w:rsid w:val="7FFFFCEC"/>
    <w:rsid w:val="8FFF8333"/>
    <w:rsid w:val="97F78451"/>
    <w:rsid w:val="9DFBBF00"/>
    <w:rsid w:val="9EAE99A0"/>
    <w:rsid w:val="A5F3446A"/>
    <w:rsid w:val="AA8D75CA"/>
    <w:rsid w:val="ACFF98D3"/>
    <w:rsid w:val="B7FB9A19"/>
    <w:rsid w:val="B7FE2421"/>
    <w:rsid w:val="BB4F3FF5"/>
    <w:rsid w:val="BFFF5172"/>
    <w:rsid w:val="CC777D46"/>
    <w:rsid w:val="CFEC62A2"/>
    <w:rsid w:val="D53DA399"/>
    <w:rsid w:val="D6FDA92F"/>
    <w:rsid w:val="D7FCC049"/>
    <w:rsid w:val="DCFF74D4"/>
    <w:rsid w:val="DD7F050D"/>
    <w:rsid w:val="DDD78DEC"/>
    <w:rsid w:val="DDDDAA2C"/>
    <w:rsid w:val="DE7DB2EB"/>
    <w:rsid w:val="DEF6F896"/>
    <w:rsid w:val="DF775F5D"/>
    <w:rsid w:val="DFD60224"/>
    <w:rsid w:val="DFEB838C"/>
    <w:rsid w:val="E1DFD6A7"/>
    <w:rsid w:val="E3A14038"/>
    <w:rsid w:val="E7BFF3AD"/>
    <w:rsid w:val="EAEA981E"/>
    <w:rsid w:val="EF36360F"/>
    <w:rsid w:val="EF6C5D8E"/>
    <w:rsid w:val="EFBFB430"/>
    <w:rsid w:val="EFCF3254"/>
    <w:rsid w:val="EFEEC84B"/>
    <w:rsid w:val="F5DE0EE3"/>
    <w:rsid w:val="F5DE2964"/>
    <w:rsid w:val="F5F4FE55"/>
    <w:rsid w:val="F77F3E62"/>
    <w:rsid w:val="F7EB19ED"/>
    <w:rsid w:val="F7F3EDE3"/>
    <w:rsid w:val="F7F5165E"/>
    <w:rsid w:val="F87716DE"/>
    <w:rsid w:val="F99E7186"/>
    <w:rsid w:val="F9FA6BA5"/>
    <w:rsid w:val="FBBF0070"/>
    <w:rsid w:val="FBFEA98A"/>
    <w:rsid w:val="FDAF653A"/>
    <w:rsid w:val="FDBABF8D"/>
    <w:rsid w:val="FDD0F53D"/>
    <w:rsid w:val="FEDF34AD"/>
    <w:rsid w:val="FF5CC3C2"/>
    <w:rsid w:val="FF7F47A8"/>
    <w:rsid w:val="FF9582C3"/>
    <w:rsid w:val="FFAD67B8"/>
    <w:rsid w:val="FFEF210F"/>
    <w:rsid w:val="FFFDB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adjustRightInd/>
      <w:snapToGrid/>
      <w:spacing w:line="360" w:lineRule="auto"/>
      <w:jc w:val="center"/>
      <w:outlineLvl w:val="0"/>
    </w:pPr>
    <w:rPr>
      <w:rFonts w:ascii="黑体" w:hAnsi="黑体" w:eastAsia="黑体"/>
      <w:b/>
      <w:bCs/>
      <w:color w:val="000000" w:themeColor="text1"/>
      <w:kern w:val="44"/>
      <w:szCs w:val="32"/>
      <w14:textFill>
        <w14:solidFill>
          <w14:schemeClr w14:val="tx1"/>
        </w14:solidFill>
      </w14:textFill>
    </w:rPr>
  </w:style>
  <w:style w:type="paragraph" w:styleId="3">
    <w:name w:val="heading 3"/>
    <w:basedOn w:val="1"/>
    <w:next w:val="1"/>
    <w:qFormat/>
    <w:uiPriority w:val="0"/>
    <w:pPr>
      <w:keepNext/>
      <w:keepLines/>
      <w:suppressAutoHyphens/>
      <w:spacing w:before="260" w:after="260" w:line="415" w:lineRule="auto"/>
      <w:outlineLvl w:val="2"/>
    </w:pPr>
    <w:rPr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Cs w:val="20"/>
      <w:u w:color="00000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link w:val="19"/>
    <w:qFormat/>
    <w:uiPriority w:val="99"/>
    <w:pPr>
      <w:ind w:firstLine="723" w:firstLineChars="200"/>
    </w:pPr>
    <w:rPr>
      <w:bCs/>
      <w:color w:val="000000" w:themeColor="text1"/>
      <w14:textFill>
        <w14:solidFill>
          <w14:schemeClr w14:val="tx1"/>
        </w14:solidFill>
      </w14:textFill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9">
    <w:name w:val="index 9"/>
    <w:basedOn w:val="1"/>
    <w:next w:val="1"/>
    <w:unhideWhenUsed/>
    <w:qFormat/>
    <w:uiPriority w:val="0"/>
    <w:pPr>
      <w:adjustRightInd/>
      <w:snapToGrid/>
      <w:spacing w:line="240" w:lineRule="auto"/>
      <w:ind w:left="1600" w:leftChars="1600"/>
    </w:pPr>
    <w:rPr>
      <w:rFonts w:ascii="Times New Roman" w:hAnsi="Times New Roman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paragraph" w:styleId="12">
    <w:name w:val="Body Text First Indent"/>
    <w:basedOn w:val="6"/>
    <w:qFormat/>
    <w:uiPriority w:val="0"/>
    <w:pPr>
      <w:ind w:firstLine="420" w:firstLineChars="100"/>
    </w:pPr>
  </w:style>
  <w:style w:type="character" w:customStyle="1" w:styleId="15">
    <w:name w:val="页眉 字符"/>
    <w:basedOn w:val="14"/>
    <w:link w:val="8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6">
    <w:name w:val="页脚 字符"/>
    <w:basedOn w:val="14"/>
    <w:link w:val="7"/>
    <w:qFormat/>
    <w:uiPriority w:val="99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7">
    <w:name w:val="标题 1 字符"/>
    <w:basedOn w:val="14"/>
    <w:link w:val="2"/>
    <w:qFormat/>
    <w:uiPriority w:val="9"/>
    <w:rPr>
      <w:rFonts w:ascii="黑体" w:hAnsi="黑体" w:eastAsia="黑体" w:cs="Times New Roman"/>
      <w:b/>
      <w:bCs/>
      <w:color w:val="000000" w:themeColor="text1"/>
      <w:kern w:val="44"/>
      <w:sz w:val="32"/>
      <w:szCs w:val="32"/>
      <w14:textFill>
        <w14:solidFill>
          <w14:schemeClr w14:val="tx1"/>
        </w14:solidFill>
      </w14:textFill>
    </w:rPr>
  </w:style>
  <w:style w:type="paragraph" w:styleId="18">
    <w:name w:val="List Paragraph"/>
    <w:basedOn w:val="1"/>
    <w:unhideWhenUsed/>
    <w:qFormat/>
    <w:uiPriority w:val="99"/>
    <w:pPr>
      <w:adjustRightInd/>
      <w:snapToGrid/>
      <w:spacing w:line="240" w:lineRule="auto"/>
      <w:ind w:firstLine="420" w:firstLineChars="200"/>
    </w:pPr>
    <w:rPr>
      <w:rFonts w:ascii="Times New Roman" w:hAnsi="Times New Roman"/>
      <w:szCs w:val="20"/>
    </w:rPr>
  </w:style>
  <w:style w:type="character" w:customStyle="1" w:styleId="19">
    <w:name w:val="正文文本 字符"/>
    <w:basedOn w:val="14"/>
    <w:link w:val="6"/>
    <w:qFormat/>
    <w:uiPriority w:val="99"/>
    <w:rPr>
      <w:rFonts w:ascii="Calibri" w:hAnsi="Calibri" w:eastAsia="仿宋_GB2312" w:cs="Times New Roman"/>
      <w:bCs/>
      <w:color w:val="000000" w:themeColor="text1"/>
      <w:kern w:val="2"/>
      <w:sz w:val="32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2513</Words>
  <Characters>2693</Characters>
  <Lines>43</Lines>
  <Paragraphs>12</Paragraphs>
  <TotalTime>19</TotalTime>
  <ScaleCrop>false</ScaleCrop>
  <LinksUpToDate>false</LinksUpToDate>
  <CharactersWithSpaces>2700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2026-07-04T17:06:00Z</dcterms:created>
  <dc:creator>admin</dc:creator>
  <cp:lastModifiedBy>Lob City</cp:lastModifiedBy>
  <cp:lastPrinted>2026-10-28T19:21:00Z</cp:lastPrinted>
  <dcterms:modified xsi:type="dcterms:W3CDTF">2026-10-28T10:03:12Z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63EA33DF7D8A45F0BC4CF393016C43E0_13</vt:lpwstr>
  </property>
  <property fmtid="{D5CDD505-2E9C-101B-9397-08002B2CF9AE}" pid="4" name="KSOTemplateDocerSaveRecord">
    <vt:lpwstr>eyJoZGlkIjoiOTM0NzZiODBjMzZjNzEzNWY1NjYyMTI5OWFkMjllN2YiLCJ1c2VySWQiOiI0MTk0OTEzNTkifQ==</vt:lpwstr>
  </property>
</Properties>
</file>