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>
      <w:pPr>
        <w:adjustRightInd w:val="0"/>
        <w:snapToGrid w:val="0"/>
        <w:spacing w:line="600" w:lineRule="exact"/>
        <w:rPr>
          <w:rFonts w:hint="eastAsia" w:ascii="仿宋_GB2312"/>
          <w:color w:val="auto"/>
          <w:szCs w:val="32"/>
        </w:rPr>
      </w:pPr>
    </w:p>
    <w:p>
      <w:pPr>
        <w:adjustRightInd w:val="0"/>
        <w:snapToGrid w:val="0"/>
        <w:spacing w:line="600" w:lineRule="exact"/>
        <w:rPr>
          <w:rFonts w:hint="eastAsia" w:ascii="仿宋_GB2312"/>
          <w:color w:val="auto"/>
          <w:szCs w:val="32"/>
        </w:rPr>
      </w:pPr>
    </w:p>
    <w:p>
      <w:pPr>
        <w:adjustRightInd w:val="0"/>
        <w:snapToGrid w:val="0"/>
        <w:spacing w:line="600" w:lineRule="exact"/>
        <w:rPr>
          <w:rFonts w:hint="eastAsia" w:ascii="仿宋_GB2312"/>
          <w:color w:val="auto"/>
          <w:szCs w:val="32"/>
        </w:rPr>
      </w:pPr>
    </w:p>
    <w:p>
      <w:pPr>
        <w:adjustRightInd w:val="0"/>
        <w:snapToGrid w:val="0"/>
        <w:jc w:val="center"/>
        <w:rPr>
          <w:rFonts w:hint="default" w:ascii="方正小标宋简体" w:hAnsi="方正小标宋简体" w:eastAsia="方正小标宋简体" w:cs="方正小标宋简体"/>
          <w:bCs/>
          <w:color w:val="auto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52"/>
          <w:szCs w:val="52"/>
          <w:lang w:eastAsia="zh-CN" w:bidi="ar"/>
        </w:rPr>
        <w:t>通州区数智创新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52"/>
          <w:szCs w:val="52"/>
          <w:lang w:val="en-US" w:eastAsia="zh-CN" w:bidi="ar"/>
        </w:rPr>
        <w:t>OPC生态友好社区</w:t>
      </w:r>
    </w:p>
    <w:p>
      <w:pPr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52"/>
          <w:szCs w:val="52"/>
          <w:lang w:bidi="ar"/>
        </w:rPr>
        <w:t>申报书</w:t>
      </w:r>
    </w:p>
    <w:p>
      <w:pPr>
        <w:adjustRightInd w:val="0"/>
        <w:snapToGrid w:val="0"/>
        <w:spacing w:line="600" w:lineRule="exact"/>
        <w:rPr>
          <w:rFonts w:hint="eastAsia" w:ascii="仿宋_GB2312"/>
          <w:color w:val="auto"/>
          <w:szCs w:val="32"/>
        </w:rPr>
      </w:pPr>
    </w:p>
    <w:p>
      <w:pPr>
        <w:adjustRightInd w:val="0"/>
        <w:snapToGrid w:val="0"/>
        <w:spacing w:line="600" w:lineRule="exact"/>
        <w:rPr>
          <w:rFonts w:hint="eastAsia" w:ascii="仿宋_GB2312"/>
          <w:color w:val="auto"/>
          <w:szCs w:val="32"/>
        </w:rPr>
      </w:pPr>
    </w:p>
    <w:p>
      <w:pPr>
        <w:adjustRightInd w:val="0"/>
        <w:snapToGrid w:val="0"/>
        <w:spacing w:line="600" w:lineRule="exact"/>
        <w:rPr>
          <w:rFonts w:hint="eastAsia" w:ascii="仿宋_GB2312"/>
          <w:color w:val="auto"/>
          <w:szCs w:val="32"/>
        </w:rPr>
      </w:pPr>
    </w:p>
    <w:p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ind w:firstLine="632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 w:bidi="ar"/>
        </w:rPr>
        <w:t>社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 w:bidi="ar"/>
        </w:rPr>
        <w:t>区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名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称：</w:t>
      </w:r>
    </w:p>
    <w:p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ind w:firstLine="632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 w:bidi="ar"/>
        </w:rPr>
        <w:t>申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 w:bidi="ar"/>
        </w:rPr>
        <w:t>报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 w:bidi="ar"/>
        </w:rPr>
        <w:t>主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 w:bidi="ar"/>
        </w:rPr>
        <w:t>体</w:t>
      </w: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：（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 w:bidi="ar"/>
        </w:rPr>
        <w:t>公</w:t>
      </w: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章）</w:t>
      </w:r>
    </w:p>
    <w:p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ind w:firstLine="632" w:firstLineChars="200"/>
        <w:jc w:val="both"/>
        <w:rPr>
          <w:rFonts w:hint="eastAsia" w:ascii="黑体" w:hAnsi="黑体" w:eastAsia="黑体"/>
          <w:color w:val="auto"/>
          <w:sz w:val="32"/>
          <w:szCs w:val="32"/>
          <w:u w:val="singl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联   系   人：</w:t>
      </w:r>
    </w:p>
    <w:p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ind w:firstLine="632" w:firstLineChars="200"/>
        <w:jc w:val="both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联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系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电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话：</w:t>
      </w:r>
    </w:p>
    <w:p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ind w:firstLine="632" w:firstLineChars="200"/>
        <w:jc w:val="both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填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报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日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期：</w:t>
      </w:r>
    </w:p>
    <w:p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ind w:firstLine="632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lang w:bidi="ar"/>
        </w:rPr>
      </w:pPr>
    </w:p>
    <w:p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jc w:val="both"/>
        <w:rPr>
          <w:rFonts w:hint="eastAsia" w:ascii="仿宋_GB2312" w:hAnsi="Times New Roman" w:eastAsia="仿宋_GB2312" w:cs="楷体_GB2312"/>
          <w:color w:val="auto"/>
          <w:sz w:val="32"/>
          <w:szCs w:val="32"/>
          <w:lang w:bidi="ar"/>
        </w:rPr>
      </w:pPr>
    </w:p>
    <w:p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jc w:val="both"/>
        <w:rPr>
          <w:rFonts w:hint="eastAsia" w:ascii="仿宋_GB2312" w:hAnsi="Times New Roman" w:eastAsia="仿宋_GB2312" w:cs="楷体_GB2312"/>
          <w:color w:val="auto"/>
          <w:sz w:val="32"/>
          <w:szCs w:val="32"/>
          <w:lang w:bidi="ar"/>
        </w:rPr>
      </w:pPr>
    </w:p>
    <w:p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jc w:val="center"/>
        <w:rPr>
          <w:rFonts w:hint="eastAsia" w:ascii="楷体_GB2312" w:eastAsia="楷体_GB2312"/>
          <w:color w:val="auto"/>
          <w:sz w:val="32"/>
          <w:szCs w:val="32"/>
        </w:rPr>
      </w:pPr>
      <w:r>
        <w:rPr>
          <w:rFonts w:hint="eastAsia" w:ascii="楷体_GB2312" w:hAnsi="Times New Roman" w:eastAsia="楷体_GB2312" w:cs="楷体_GB2312"/>
          <w:color w:val="auto"/>
          <w:sz w:val="32"/>
          <w:szCs w:val="32"/>
          <w:lang w:eastAsia="zh-CN" w:bidi="ar"/>
        </w:rPr>
        <w:t>中关村通州园管委会</w:t>
      </w:r>
      <w:r>
        <w:rPr>
          <w:rFonts w:hint="eastAsia" w:ascii="楷体_GB2312" w:hAnsi="Times New Roman" w:eastAsia="楷体_GB2312" w:cs="楷体_GB2312"/>
          <w:color w:val="auto"/>
          <w:sz w:val="32"/>
          <w:szCs w:val="32"/>
          <w:lang w:bidi="ar"/>
        </w:rPr>
        <w:t>制</w:t>
      </w:r>
    </w:p>
    <w:p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jc w:val="center"/>
        <w:rPr>
          <w:color w:val="auto"/>
          <w:lang w:bidi="ar"/>
        </w:rPr>
        <w:sectPr>
          <w:footerReference r:id="rId3" w:type="default"/>
          <w:footerReference r:id="rId4" w:type="even"/>
          <w:pgSz w:w="11906" w:h="16838"/>
          <w:pgMar w:top="2098" w:right="1474" w:bottom="1985" w:left="1588" w:header="851" w:footer="992" w:gutter="0"/>
          <w:pgNumType w:fmt="numberInDash"/>
          <w:cols w:space="720" w:num="1"/>
          <w:docGrid w:type="linesAndChars" w:linePitch="579" w:charSpace="-849"/>
        </w:sectPr>
      </w:pPr>
      <w:r>
        <w:rPr>
          <w:rFonts w:hint="eastAsia" w:ascii="楷体_GB2312" w:hAnsi="Times New Roman" w:eastAsia="楷体_GB2312" w:cs="楷体_GB2312"/>
          <w:color w:val="auto"/>
          <w:sz w:val="32"/>
          <w:szCs w:val="32"/>
          <w:lang w:bidi="ar"/>
        </w:rPr>
        <w:t>二</w:t>
      </w:r>
      <w:r>
        <w:rPr>
          <w:rFonts w:hint="eastAsia" w:ascii="楷体_GB2312" w:eastAsia="方正仿宋_GBK" w:cs="黑体"/>
          <w:color w:val="auto"/>
          <w:sz w:val="32"/>
          <w:szCs w:val="32"/>
          <w:lang w:bidi="ar"/>
        </w:rPr>
        <w:t>〇</w:t>
      </w:r>
      <w:r>
        <w:rPr>
          <w:rFonts w:hint="eastAsia" w:ascii="楷体_GB2312" w:hAnsi="Times New Roman" w:eastAsia="楷体_GB2312" w:cs="楷体_GB2312"/>
          <w:color w:val="auto"/>
          <w:sz w:val="32"/>
          <w:szCs w:val="32"/>
          <w:lang w:bidi="ar"/>
        </w:rPr>
        <w:t>二六年</w:t>
      </w:r>
    </w:p>
    <w:p>
      <w:pPr>
        <w:adjustRightInd w:val="0"/>
        <w:snapToGrid w:val="0"/>
        <w:spacing w:line="570" w:lineRule="exact"/>
        <w:rPr>
          <w:color w:val="auto"/>
          <w:lang w:bidi="ar"/>
        </w:rPr>
      </w:pPr>
    </w:p>
    <w:tbl>
      <w:tblPr>
        <w:tblStyle w:val="6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3542"/>
        <w:gridCol w:w="488"/>
        <w:gridCol w:w="3049"/>
        <w:gridCol w:w="471"/>
        <w:gridCol w:w="2997"/>
        <w:gridCol w:w="69"/>
        <w:gridCol w:w="3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00" w:type="pct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  <w:lang w:bidi="ar"/>
              </w:rPr>
              <w:br w:type="page"/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bidi="ar"/>
              </w:rPr>
              <w:t>一、基本情况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2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OPC生态社区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名称</w:t>
            </w:r>
          </w:p>
        </w:tc>
        <w:tc>
          <w:tcPr>
            <w:tcW w:w="3578" w:type="pct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2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  <w:t>申报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主体名称</w:t>
            </w:r>
          </w:p>
        </w:tc>
        <w:tc>
          <w:tcPr>
            <w:tcW w:w="3578" w:type="pct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2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注册成立时间</w:t>
            </w:r>
          </w:p>
        </w:tc>
        <w:tc>
          <w:tcPr>
            <w:tcW w:w="124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057" w:type="pct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统一社会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信用代码</w:t>
            </w:r>
          </w:p>
        </w:tc>
        <w:tc>
          <w:tcPr>
            <w:tcW w:w="1278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2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24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057" w:type="pct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注册资金（万元）</w:t>
            </w:r>
          </w:p>
        </w:tc>
        <w:tc>
          <w:tcPr>
            <w:tcW w:w="1278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42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负责人</w:t>
            </w:r>
          </w:p>
        </w:tc>
        <w:tc>
          <w:tcPr>
            <w:tcW w:w="124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057" w:type="pct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1278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联系人</w:t>
            </w:r>
          </w:p>
        </w:tc>
        <w:tc>
          <w:tcPr>
            <w:tcW w:w="124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057" w:type="pct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手机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  <w:t>号码</w:t>
            </w:r>
          </w:p>
        </w:tc>
        <w:tc>
          <w:tcPr>
            <w:tcW w:w="1278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default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单位从业人数（以最近一个月实际缴纳的社保为准）</w:t>
            </w:r>
          </w:p>
        </w:tc>
        <w:tc>
          <w:tcPr>
            <w:tcW w:w="124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057" w:type="pct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服务OPC企业人数（以最近一个月实际缴纳的社保为准）</w:t>
            </w:r>
          </w:p>
        </w:tc>
        <w:tc>
          <w:tcPr>
            <w:tcW w:w="1278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2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机构性质</w:t>
            </w:r>
          </w:p>
        </w:tc>
        <w:tc>
          <w:tcPr>
            <w:tcW w:w="3578" w:type="pct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 xml:space="preserve">事业单位□   国有企业□   民营企业□   </w:t>
            </w:r>
          </w:p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其他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□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u w:val="single"/>
                <w:lang w:bidi="ar"/>
              </w:rPr>
              <w:t xml:space="preserve">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（请填写）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2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default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聚焦的数智创新领域</w:t>
            </w:r>
          </w:p>
        </w:tc>
        <w:tc>
          <w:tcPr>
            <w:tcW w:w="3578" w:type="pct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大数据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□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 xml:space="preserve">   人工智能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 xml:space="preserve">□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  <w:t xml:space="preserve"> 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大模型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 xml:space="preserve">□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  <w:t xml:space="preserve"> 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 xml:space="preserve">网络安全□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  <w:t xml:space="preserve"> 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智能体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 xml:space="preserve">□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  <w:t xml:space="preserve"> 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 xml:space="preserve">智能芯片□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  <w:t xml:space="preserve"> 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云计算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 xml:space="preserve">□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 xml:space="preserve">  </w:t>
            </w:r>
          </w:p>
          <w:p>
            <w:pPr>
              <w:adjustRightInd w:val="0"/>
              <w:snapToGrid w:val="0"/>
              <w:spacing w:line="320" w:lineRule="exact"/>
              <w:rPr>
                <w:rFonts w:hint="default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区块链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 xml:space="preserve">□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  <w:t xml:space="preserve"> 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 xml:space="preserve"> 其他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□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u w:val="single"/>
                <w:lang w:bidi="ar"/>
              </w:rPr>
              <w:t xml:space="preserve">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（请填写）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21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申报主体是否建有孵化器等孵化载体。如有，请写明载体名称</w:t>
            </w:r>
          </w:p>
        </w:tc>
        <w:tc>
          <w:tcPr>
            <w:tcW w:w="3578" w:type="pct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431" w:hRule="atLeast"/>
          <w:jc w:val="center"/>
        </w:trPr>
        <w:tc>
          <w:tcPr>
            <w:tcW w:w="5000" w:type="pct"/>
            <w:gridSpan w:val="7"/>
            <w:noWrap w:val="0"/>
            <w:vAlign w:val="top"/>
          </w:tcPr>
          <w:p>
            <w:pPr>
              <w:adjustRightInd w:val="0"/>
              <w:snapToGrid w:val="0"/>
              <w:spacing w:line="320" w:lineRule="exact"/>
              <w:jc w:val="both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机构简介：（请重点介绍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OPC生态社区品牌打造、运营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  <w:t>团队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构成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与相关资质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  <w:t>、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领军人物简介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  <w:t>、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人工智能行业经验、资源整合与孵化投资能力、运营模式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  <w:t>等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情况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）</w:t>
            </w:r>
          </w:p>
          <w:p>
            <w:pPr>
              <w:adjustRightInd w:val="0"/>
              <w:snapToGrid w:val="0"/>
              <w:spacing w:line="320" w:lineRule="exact"/>
              <w:jc w:val="both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运维人员简介：（姓名及责任分工等情况）</w:t>
            </w:r>
          </w:p>
          <w:p>
            <w:pPr>
              <w:adjustRightInd w:val="0"/>
              <w:snapToGrid w:val="0"/>
              <w:spacing w:line="320" w:lineRule="exact"/>
              <w:jc w:val="both"/>
              <w:rPr>
                <w:rFonts w:hint="default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00" w:type="pct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left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bidi="ar"/>
              </w:rPr>
              <w:t>二、服务能力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5000" w:type="pct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both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bidi="ar"/>
              </w:rPr>
              <w:t>.</w:t>
            </w: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eastAsia="zh-CN" w:bidi="ar"/>
              </w:rPr>
              <w:t>专业服务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190" w:hRule="atLeast"/>
          <w:jc w:val="center"/>
        </w:trPr>
        <w:tc>
          <w:tcPr>
            <w:tcW w:w="5000" w:type="pct"/>
            <w:gridSpan w:val="7"/>
            <w:noWrap w:val="0"/>
            <w:vAlign w:val="top"/>
          </w:tcPr>
          <w:p>
            <w:pPr>
              <w:adjustRightInd w:val="0"/>
              <w:snapToGrid w:val="0"/>
              <w:spacing w:line="32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/>
              </w:rPr>
              <w:t>（包括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  <w:t>接入或者链接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  <w:t>普惠算力、高质量数据集、主流开发工具与模型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/>
              </w:rPr>
              <w:t>等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  <w:t>，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/>
              </w:rPr>
              <w:t>可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  <w:t>为入驻OPC提供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  <w:t>算力补贴、数据资源、模型服务等支持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/>
              </w:rPr>
              <w:t>；依托或合作的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高校院所/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/>
              </w:rPr>
              <w:t>龙头企业/创新平台/投资机构/专业服务机构等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情况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00" w:type="pct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eastAsia="楷体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bidi="ar"/>
              </w:rPr>
              <w:t>.场地设施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9" w:type="pct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highlight w:val="none"/>
                <w:lang w:val="en-US" w:eastAsia="zh-CN"/>
              </w:rPr>
              <w:t>社区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highlight w:val="none"/>
                <w:lang w:eastAsia="zh-CN"/>
              </w:rPr>
              <w:t>可自主支配（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highlight w:val="none"/>
                <w:lang w:val="en-US" w:eastAsia="zh-CN"/>
              </w:rPr>
              <w:t>自有、租赁或协议使用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highlight w:val="none"/>
                <w:lang w:eastAsia="zh-CN"/>
              </w:rPr>
              <w:t>）的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highlight w:val="none"/>
              </w:rPr>
              <w:t>场地总面积（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highlight w:val="none"/>
                <w:lang w:val="en-US" w:eastAsia="zh-CN"/>
              </w:rPr>
              <w:t>㎡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highlight w:val="none"/>
              </w:rPr>
              <w:t>）</w:t>
            </w:r>
          </w:p>
        </w:tc>
        <w:tc>
          <w:tcPr>
            <w:tcW w:w="1247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247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default" w:ascii="文星仿宋" w:hAnsi="文星仿宋" w:eastAsia="文星仿宋" w:cs="文星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入驻OPC企业总数（家）</w:t>
            </w:r>
          </w:p>
        </w:tc>
        <w:tc>
          <w:tcPr>
            <w:tcW w:w="1254" w:type="pct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9" w:type="pct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highlight w:val="none"/>
                <w:lang w:val="en-US" w:eastAsia="zh-CN"/>
              </w:rPr>
              <w:t>零租工位数量（个）</w:t>
            </w:r>
          </w:p>
        </w:tc>
        <w:tc>
          <w:tcPr>
            <w:tcW w:w="1247" w:type="pct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highlight w:val="none"/>
                <w:lang w:val="en-US" w:eastAsia="zh-CN"/>
              </w:rPr>
            </w:pPr>
          </w:p>
        </w:tc>
        <w:tc>
          <w:tcPr>
            <w:tcW w:w="1247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其中：所聚焦数智创新领域企业数量（家）及占比</w:t>
            </w:r>
          </w:p>
        </w:tc>
        <w:tc>
          <w:tcPr>
            <w:tcW w:w="1254" w:type="pct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243" w:hRule="atLeast"/>
          <w:jc w:val="center"/>
        </w:trPr>
        <w:tc>
          <w:tcPr>
            <w:tcW w:w="5000" w:type="pct"/>
            <w:gridSpan w:val="7"/>
            <w:noWrap w:val="0"/>
            <w:vAlign w:val="top"/>
          </w:tcPr>
          <w:p>
            <w:pPr>
              <w:adjustRightInd w:val="0"/>
              <w:snapToGrid w:val="0"/>
              <w:spacing w:line="320" w:lineRule="exact"/>
              <w:jc w:val="both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（场地设施介绍，包括空间布局情况，可为入驻者提供租金减免、拎包入住、设施共享等服务）</w:t>
            </w:r>
          </w:p>
          <w:p>
            <w:pPr>
              <w:tabs>
                <w:tab w:val="left" w:pos="1412"/>
              </w:tabs>
              <w:adjustRightInd w:val="0"/>
              <w:snapToGrid w:val="0"/>
              <w:spacing w:line="320" w:lineRule="exact"/>
              <w:jc w:val="both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00" w:type="pct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eastAsia="楷体_GB2312"/>
                <w:color w:val="auto"/>
                <w:sz w:val="24"/>
                <w:szCs w:val="24"/>
              </w:rPr>
            </w:pP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bidi="ar"/>
              </w:rPr>
              <w:t>.金融服务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482" w:hRule="atLeast"/>
          <w:jc w:val="center"/>
        </w:trPr>
        <w:tc>
          <w:tcPr>
            <w:tcW w:w="5000" w:type="pct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both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00" w:type="pct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eastAsia="楷体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bidi="ar"/>
              </w:rPr>
              <w:t>.生活配套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182" w:hRule="atLeast"/>
          <w:jc w:val="center"/>
        </w:trPr>
        <w:tc>
          <w:tcPr>
            <w:tcW w:w="5000" w:type="pct"/>
            <w:gridSpan w:val="7"/>
            <w:noWrap w:val="0"/>
            <w:vAlign w:val="top"/>
          </w:tcPr>
          <w:p>
            <w:pPr>
              <w:adjustRightInd w:val="0"/>
              <w:snapToGrid w:val="0"/>
              <w:spacing w:line="320" w:lineRule="exact"/>
              <w:jc w:val="both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（人才公寓、餐饮、商务等生活与商业服务设施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/>
              </w:rPr>
              <w:t>等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00" w:type="pct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eastAsia="楷体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bidi="ar"/>
              </w:rPr>
              <w:t>.公共服务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996" w:hRule="atLeast"/>
          <w:jc w:val="center"/>
        </w:trPr>
        <w:tc>
          <w:tcPr>
            <w:tcW w:w="5000" w:type="pct"/>
            <w:gridSpan w:val="7"/>
            <w:noWrap w:val="0"/>
            <w:vAlign w:val="top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（可对接的中试平台、概念验证中心及各类中介服务资源，能够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/>
              </w:rPr>
              <w:t>为OPC生态社区入驻企业提供免费公共服务包，包括财务代账、税务申报、法律咨询及专利申报等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00" w:type="pct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eastAsia="楷体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bidi="ar"/>
              </w:rPr>
              <w:t>.生态活动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9" w:type="pct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default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本申报年度组织活动场次（场）</w:t>
            </w:r>
          </w:p>
        </w:tc>
        <w:tc>
          <w:tcPr>
            <w:tcW w:w="1247" w:type="pct"/>
            <w:gridSpan w:val="2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default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47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default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其中：创新创业赛事场次（场）</w:t>
            </w:r>
          </w:p>
        </w:tc>
        <w:tc>
          <w:tcPr>
            <w:tcW w:w="1254" w:type="pct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default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9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47" w:type="pct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47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其中：创新资源对接场次（场）</w:t>
            </w:r>
          </w:p>
        </w:tc>
        <w:tc>
          <w:tcPr>
            <w:tcW w:w="1254" w:type="pct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9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47" w:type="pct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47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其中：创业培训场次（场）</w:t>
            </w:r>
          </w:p>
        </w:tc>
        <w:tc>
          <w:tcPr>
            <w:tcW w:w="1254" w:type="pct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49" w:type="pct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47" w:type="pct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47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default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其中：其他活动场次（场）</w:t>
            </w:r>
          </w:p>
        </w:tc>
        <w:tc>
          <w:tcPr>
            <w:tcW w:w="1254" w:type="pct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3135" w:hRule="atLeast"/>
          <w:jc w:val="center"/>
        </w:trPr>
        <w:tc>
          <w:tcPr>
            <w:tcW w:w="5000" w:type="pct"/>
            <w:gridSpan w:val="7"/>
            <w:noWrap w:val="0"/>
            <w:vAlign w:val="top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（举办的创新创业赛事、创新资源对接、创业培训等活动的场次、规模等）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00" w:type="pct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  <w:t>7.</w:t>
            </w: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bidi="ar"/>
              </w:rPr>
              <w:t>场景支持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497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default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联合所在区，上年度为入驻OPC挖掘的应用场景数量（个）</w:t>
            </w:r>
          </w:p>
        </w:tc>
        <w:tc>
          <w:tcPr>
            <w:tcW w:w="2502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497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default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上年度促成应用场景落地数量（个）</w:t>
            </w:r>
          </w:p>
        </w:tc>
        <w:tc>
          <w:tcPr>
            <w:tcW w:w="2502" w:type="pct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8708" w:hRule="atLeast"/>
          <w:jc w:val="center"/>
        </w:trPr>
        <w:tc>
          <w:tcPr>
            <w:tcW w:w="5000" w:type="pct"/>
            <w:gridSpan w:val="7"/>
            <w:noWrap w:val="0"/>
            <w:vAlign w:val="top"/>
          </w:tcPr>
          <w:p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  <w:t>（包括为OPC企业挖掘场景的工作机制，上年度为入驻OPC挖掘的应用场景，促成落地的应用场景等）</w:t>
            </w:r>
          </w:p>
        </w:tc>
      </w:tr>
    </w:tbl>
    <w:p>
      <w:pPr>
        <w:bidi w:val="0"/>
        <w:jc w:val="left"/>
        <w:rPr>
          <w:rFonts w:hint="default" w:ascii="文星仿宋" w:hAnsi="文星仿宋" w:eastAsia="文星仿宋" w:cs="文星仿宋"/>
          <w:color w:val="auto"/>
          <w:sz w:val="32"/>
          <w:szCs w:val="32"/>
          <w:lang w:val="en-US" w:eastAsia="zh-CN"/>
        </w:rPr>
      </w:pPr>
    </w:p>
    <w:p/>
    <w:sectPr>
      <w:footerReference r:id="rId5" w:type="default"/>
      <w:pgSz w:w="16838" w:h="11906" w:orient="landscape"/>
      <w:pgMar w:top="1800" w:right="1440" w:bottom="1800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星仿宋">
    <w:altName w:val="方正仿宋_GBK"/>
    <w:panose1 w:val="0201060900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ascii="宋体" w:hAnsi="宋体" w:eastAsia="宋体"/>
        <w:color w:val="auto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jc w:val="right"/>
                            <w:rPr>
                              <w:rFonts w:hint="eastAsia" w:ascii="文星仿宋" w:hAnsi="文星仿宋" w:eastAsia="文星仿宋" w:cs="文星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文星仿宋" w:hAnsi="文星仿宋" w:eastAsia="文星仿宋" w:cs="文星仿宋"/>
                              <w:color w:val="auto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文星仿宋" w:hAnsi="文星仿宋" w:eastAsia="文星仿宋" w:cs="文星仿宋"/>
                              <w:color w:val="auto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文星仿宋" w:hAnsi="文星仿宋" w:eastAsia="文星仿宋" w:cs="文星仿宋"/>
                              <w:color w:val="auto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文星仿宋" w:hAnsi="文星仿宋" w:eastAsia="文星仿宋" w:cs="文星仿宋"/>
                              <w:color w:val="auto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hint="eastAsia" w:ascii="文星仿宋" w:hAnsi="文星仿宋" w:eastAsia="文星仿宋" w:cs="文星仿宋"/>
                              <w:color w:val="auto"/>
                              <w:sz w:val="28"/>
                              <w:szCs w:val="28"/>
                            </w:rPr>
                            <w:t xml:space="preserve"> 27 -</w:t>
                          </w:r>
                          <w:r>
                            <w:rPr>
                              <w:rFonts w:hint="eastAsia" w:ascii="文星仿宋" w:hAnsi="文星仿宋" w:eastAsia="文星仿宋" w:cs="文星仿宋"/>
                              <w:color w:val="auto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AszGsKswEAAFIDAAAOAAAAAAAAAAEAIAAAADQ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jc w:val="right"/>
                      <w:rPr>
                        <w:rFonts w:hint="eastAsia" w:ascii="文星仿宋" w:hAnsi="文星仿宋" w:eastAsia="文星仿宋" w:cs="文星仿宋"/>
                        <w:sz w:val="28"/>
                        <w:szCs w:val="28"/>
                      </w:rPr>
                    </w:pPr>
                    <w:r>
                      <w:rPr>
                        <w:rFonts w:hint="eastAsia" w:ascii="文星仿宋" w:hAnsi="文星仿宋" w:eastAsia="文星仿宋" w:cs="文星仿宋"/>
                        <w:color w:val="auto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文星仿宋" w:hAnsi="文星仿宋" w:eastAsia="文星仿宋" w:cs="文星仿宋"/>
                        <w:color w:val="auto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文星仿宋" w:hAnsi="文星仿宋" w:eastAsia="文星仿宋" w:cs="文星仿宋"/>
                        <w:color w:val="auto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文星仿宋" w:hAnsi="文星仿宋" w:eastAsia="文星仿宋" w:cs="文星仿宋"/>
                        <w:color w:val="auto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hint="eastAsia" w:ascii="文星仿宋" w:hAnsi="文星仿宋" w:eastAsia="文星仿宋" w:cs="文星仿宋"/>
                        <w:color w:val="auto"/>
                        <w:sz w:val="28"/>
                        <w:szCs w:val="28"/>
                      </w:rPr>
                      <w:t xml:space="preserve"> 27 -</w:t>
                    </w:r>
                    <w:r>
                      <w:rPr>
                        <w:rFonts w:hint="eastAsia" w:ascii="文星仿宋" w:hAnsi="文星仿宋" w:eastAsia="文星仿宋" w:cs="文星仿宋"/>
                        <w:color w:val="auto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宋体" w:hAnsi="宋体" w:eastAsia="宋体"/>
        <w:color w:val="auto"/>
        <w:sz w:val="28"/>
        <w:szCs w:val="28"/>
      </w:rPr>
    </w:pPr>
    <w:r>
      <w:rPr>
        <w:rFonts w:ascii="宋体" w:hAnsi="宋体" w:eastAsia="宋体"/>
        <w:color w:val="auto"/>
        <w:sz w:val="28"/>
        <w:szCs w:val="28"/>
      </w:rPr>
      <w:fldChar w:fldCharType="begin"/>
    </w:r>
    <w:r>
      <w:rPr>
        <w:rFonts w:ascii="宋体" w:hAnsi="宋体" w:eastAsia="宋体"/>
        <w:color w:val="auto"/>
        <w:sz w:val="28"/>
        <w:szCs w:val="28"/>
      </w:rPr>
      <w:instrText xml:space="preserve"> PAGE   \* MERGEFORMAT </w:instrText>
    </w:r>
    <w:r>
      <w:rPr>
        <w:rFonts w:ascii="宋体" w:hAnsi="宋体" w:eastAsia="宋体"/>
        <w:color w:val="auto"/>
        <w:sz w:val="28"/>
        <w:szCs w:val="28"/>
      </w:rPr>
      <w:fldChar w:fldCharType="separate"/>
    </w:r>
    <w:r>
      <w:rPr>
        <w:rFonts w:ascii="宋体" w:hAnsi="宋体" w:eastAsia="宋体"/>
        <w:color w:val="auto"/>
        <w:sz w:val="28"/>
        <w:szCs w:val="28"/>
        <w:lang w:val="zh-CN"/>
      </w:rPr>
      <w:t>-</w:t>
    </w:r>
    <w:r>
      <w:rPr>
        <w:rFonts w:ascii="宋体" w:hAnsi="宋体" w:eastAsia="宋体"/>
        <w:color w:val="auto"/>
        <w:sz w:val="28"/>
        <w:szCs w:val="28"/>
      </w:rPr>
      <w:t xml:space="preserve"> 28 -</w:t>
    </w:r>
    <w:r>
      <w:rPr>
        <w:rFonts w:ascii="宋体" w:hAnsi="宋体" w:eastAsia="宋体"/>
        <w:color w:val="auto"/>
        <w:sz w:val="28"/>
        <w:szCs w:val="28"/>
      </w:rPr>
      <w:fldChar w:fldCharType="end"/>
    </w:r>
  </w:p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ascii="文星仿宋" w:hAnsi="文星仿宋" w:eastAsia="文星仿宋" w:cs="文星仿宋"/>
        <w:sz w:val="28"/>
        <w:szCs w:val="28"/>
      </w:rPr>
    </w:pPr>
    <w:r>
      <w:rPr>
        <w:rFonts w:hint="eastAsia" w:ascii="文星仿宋" w:hAnsi="文星仿宋" w:eastAsia="文星仿宋" w:cs="文星仿宋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文星仿宋" w:hAnsi="文星仿宋" w:eastAsia="文星仿宋" w:cs="文星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文星仿宋" w:hAnsi="文星仿宋" w:eastAsia="文星仿宋" w:cs="文星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文星仿宋" w:hAnsi="文星仿宋" w:eastAsia="文星仿宋" w:cs="文星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文星仿宋" w:hAnsi="文星仿宋" w:eastAsia="文星仿宋" w:cs="文星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文星仿宋" w:hAnsi="文星仿宋" w:eastAsia="文星仿宋" w:cs="文星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文星仿宋" w:hAnsi="文星仿宋" w:eastAsia="文星仿宋" w:cs="文星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文星仿宋" w:hAnsi="文星仿宋" w:eastAsia="文星仿宋" w:cs="文星仿宋"/>
                        <w:sz w:val="28"/>
                        <w:szCs w:val="28"/>
                      </w:rPr>
                    </w:pPr>
                    <w:r>
                      <w:rPr>
                        <w:rFonts w:hint="eastAsia" w:ascii="文星仿宋" w:hAnsi="文星仿宋" w:eastAsia="文星仿宋" w:cs="文星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文星仿宋" w:hAnsi="文星仿宋" w:eastAsia="文星仿宋" w:cs="文星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文星仿宋" w:hAnsi="文星仿宋" w:eastAsia="文星仿宋" w:cs="文星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文星仿宋" w:hAnsi="文星仿宋" w:eastAsia="文星仿宋" w:cs="文星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文星仿宋" w:hAnsi="文星仿宋" w:eastAsia="文星仿宋" w:cs="文星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3878AA"/>
    <w:rsid w:val="0F1F5AAE"/>
    <w:rsid w:val="183878AA"/>
    <w:rsid w:val="257B37D0"/>
    <w:rsid w:val="271A6159"/>
    <w:rsid w:val="2EAEB7E0"/>
    <w:rsid w:val="30F1267E"/>
    <w:rsid w:val="52F3597E"/>
    <w:rsid w:val="604764DA"/>
    <w:rsid w:val="67ED0F84"/>
    <w:rsid w:val="6EFB1A54"/>
    <w:rsid w:val="73E01823"/>
    <w:rsid w:val="77962542"/>
    <w:rsid w:val="77AA2066"/>
    <w:rsid w:val="7FB1E884"/>
    <w:rsid w:val="8EE626BF"/>
    <w:rsid w:val="EED67BE8"/>
    <w:rsid w:val="F6F9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Calibri" w:hAnsi="Calibri" w:eastAsia="宋体" w:cs="Calibri"/>
      <w:color w:val="auto"/>
      <w:sz w:val="21"/>
      <w:szCs w:val="21"/>
    </w:rPr>
  </w:style>
  <w:style w:type="paragraph" w:styleId="3">
    <w:name w:val="Plain Text"/>
    <w:basedOn w:val="1"/>
    <w:qFormat/>
    <w:uiPriority w:val="0"/>
    <w:rPr>
      <w:rFonts w:ascii="宋体" w:hAnsi="宋体" w:eastAsia="文星仿宋"/>
      <w:sz w:val="32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887</Words>
  <Characters>914</Characters>
  <Lines>0</Lines>
  <Paragraphs>0</Paragraphs>
  <TotalTime>10</TotalTime>
  <ScaleCrop>false</ScaleCrop>
  <LinksUpToDate>false</LinksUpToDate>
  <CharactersWithSpaces>986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2026-03-11T17:12:00Z</dcterms:created>
  <dc:creator>hp</dc:creator>
  <cp:lastModifiedBy>xingluyang</cp:lastModifiedBy>
  <cp:lastPrinted>2026-09-24T18:28:00Z</cp:lastPrinted>
  <dcterms:modified xsi:type="dcterms:W3CDTF">2026-10-28T11:26:59Z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2411F59646874FF091DD66F9EC13D325_13</vt:lpwstr>
  </property>
  <property fmtid="{D5CDD505-2E9C-101B-9397-08002B2CF9AE}" pid="4" name="KSOTemplateDocerSaveRecord">
    <vt:lpwstr>eyJoZGlkIjoiOTM0NzZiODBjMzZjNzEzNWY1NjYyMTI5OWFkMjllN2YiLCJ1c2VySWQiOiI0MTk0OTEzNTkifQ==</vt:lpwstr>
  </property>
</Properties>
</file>