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通州区曝光</w:t>
      </w:r>
      <w:r>
        <w:rPr>
          <w:rFonts w:hint="eastAsia" w:ascii="仿宋_GB2312" w:hAnsi="仿宋_GB2312" w:eastAsia="仿宋_GB2312" w:cs="仿宋_GB2312"/>
          <w:b/>
          <w:bCs/>
          <w:sz w:val="44"/>
          <w:szCs w:val="44"/>
          <w:lang w:val="en-US" w:eastAsia="zh"/>
        </w:rPr>
        <w:t>2022</w:t>
      </w:r>
      <w:r>
        <w:rPr>
          <w:rFonts w:hint="eastAsia"/>
          <w:b/>
          <w:bCs/>
          <w:sz w:val="44"/>
          <w:szCs w:val="44"/>
          <w:lang w:val="en-US" w:eastAsia="zh-CN"/>
        </w:rPr>
        <w:t>年第四批失信案例</w:t>
      </w:r>
    </w:p>
    <w:p>
      <w:pPr>
        <w:jc w:val="center"/>
        <w:rPr>
          <w:rFonts w:hint="eastAsia"/>
          <w:b/>
          <w:bCs/>
          <w:sz w:val="44"/>
          <w:szCs w:val="44"/>
          <w:lang w:val="en-US"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社会原本就是由人们之间各种各样的交往活动构成的，而诚信就是维系人们之间交往活动的须臾不可断裂的纽带。可以毫不夸张地说，诚信是社会系统运行的生命线，它不仅关涉经济、政治和各项社会事业能否繁荣，而且也关涉人们的生活是否安康、和谐、幸福。诚信的缺失则意味着社会生活渐趋恶化，初则矛盾丛生、问题百出，终则陷入严重的社会危机甚或导致共同生活的瓦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i w:val="0"/>
          <w:caps w:val="0"/>
          <w:color w:val="000000"/>
          <w:spacing w:val="0"/>
          <w:sz w:val="32"/>
          <w:szCs w:val="32"/>
          <w:lang w:val="en-US" w:eastAsia="zh-CN"/>
        </w:rPr>
      </w:pPr>
      <w:r>
        <w:rPr>
          <w:rStyle w:val="5"/>
          <w:rFonts w:hint="eastAsia" w:ascii="仿宋_GB2312" w:hAnsi="仿宋_GB2312" w:eastAsia="仿宋_GB2312" w:cs="仿宋_GB2312"/>
          <w:b/>
          <w:i w:val="0"/>
          <w:caps w:val="0"/>
          <w:color w:val="000000"/>
          <w:spacing w:val="0"/>
          <w:sz w:val="32"/>
          <w:szCs w:val="32"/>
          <w:lang w:val="en-US" w:eastAsia="zh-CN"/>
        </w:rPr>
        <w:t>被列入失信被执行人成“老赖”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案例一：</w:t>
      </w:r>
      <w:r>
        <w:rPr>
          <w:rStyle w:val="5"/>
          <w:rFonts w:hint="eastAsia" w:ascii="仿宋_GB2312" w:hAnsi="仿宋_GB2312" w:eastAsia="仿宋_GB2312" w:cs="仿宋_GB2312"/>
          <w:b w:val="0"/>
          <w:bCs/>
          <w:i w:val="0"/>
          <w:caps w:val="0"/>
          <w:color w:val="000000"/>
          <w:spacing w:val="0"/>
          <w:sz w:val="32"/>
          <w:szCs w:val="32"/>
          <w:lang w:val="en-US" w:eastAsia="zh-CN"/>
        </w:rPr>
        <w:t>北京海斯顿环保设备有限公司（统一社会信用代码：911101127263402236）被湘潭市雨湖区人民法院判处：一、本判决生效之日起十日内支付原告佛山市枫莱尔自动化技术有限公司货款874 000元并支付逾期付款利息（逾期付款利息以655 500元为基数按中国人民银行同期同类贷款利率为标准，自2017年11月10日计算至2019年8月19日，以655 500元为基数按全国银行间同业拆借中心公布的贷款市场报价利率为标准，自2019年8朋20日计算至2019年12月1日，以874 000元为基数按全国银行间同业拆借中心公布的贷款市场报价利率为标准自2019年12月1日计算至货款清偿之日止）；二、驳回原告佛山市枫莱尔自动化技术有限公司的其他诉讼请求。如果未按判决指定的期间履行给付金钱义务，应当依照《中华人民共和国民事诉讼法》第二百五十三条之规定，加倍支付迟延履行期间的债务利息。本案案件受理费14 238元，减半收取7119元，由被告北京海斯顿环保设备有限公司负担。因其违反财产报告制度，故而于2020年12月18日被列入失信被执行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案例二：</w:t>
      </w:r>
      <w:r>
        <w:rPr>
          <w:rStyle w:val="5"/>
          <w:rFonts w:hint="eastAsia" w:ascii="仿宋_GB2312" w:hAnsi="仿宋_GB2312" w:eastAsia="仿宋_GB2312" w:cs="仿宋_GB2312"/>
          <w:b w:val="0"/>
          <w:bCs/>
          <w:i w:val="0"/>
          <w:caps w:val="0"/>
          <w:color w:val="000000"/>
          <w:spacing w:val="0"/>
          <w:sz w:val="32"/>
          <w:szCs w:val="32"/>
          <w:lang w:val="en-US" w:eastAsia="zh-CN"/>
        </w:rPr>
        <w:t>北京清燕国际家居用品有限公司（统一社会信用代码：91110112MA0180U96Q）被大厂回族自治县人民法院判处：被告陈敏燕、林东清、陈秀珍、北京清燕国际家居用品有限公司、北京臻美时空家居用品有限公司偿还原告借款本息共计1450000元，分两次付清，即2019年12月31日前偿还725000元、2020年1月15日前偿还725000元。因被告有履行能力而拒不履行，故而于2020年8月25日被列入失信被执行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案例三</w:t>
      </w:r>
      <w:r>
        <w:rPr>
          <w:rStyle w:val="5"/>
          <w:rFonts w:hint="eastAsia" w:ascii="仿宋_GB2312" w:hAnsi="仿宋_GB2312" w:eastAsia="仿宋_GB2312" w:cs="仿宋_GB2312"/>
          <w:b w:val="0"/>
          <w:bCs/>
          <w:i w:val="0"/>
          <w:caps w:val="0"/>
          <w:color w:val="000000"/>
          <w:spacing w:val="0"/>
          <w:sz w:val="32"/>
          <w:szCs w:val="32"/>
          <w:lang w:val="en-US" w:eastAsia="zh-CN"/>
        </w:rPr>
        <w:t>：北京方兴嘉业贸易有限公司（统一社会信用代码：91110112699608190N）被广州市越秀区人民法院判处：一、被执行人向申请执行人偿还贷款本金本金20699963.2元及利息、罚息、复利（暂计至2019年1月21日利息313531.12元、罚息48774.29元、复利2505.12元；自2019年1月22日期至债务清偿之日止的罚息、复利按合同约定标准计算，罚息不计算复利）。二、被执行人向申请执行人支付律师费5万元。三、被执行人向申请执行人支付公证费3000元。四、被执行人向申请执行人支付财产保全费5000元。五、申请执行人有权就编号为D18070955330的电子仓单项下的财产权利在合同约定的最高限额内享有优先受偿权六、除以上款项外，加倍支付迟延履行期间的债务利息，计至被执行人全部支付以上款项之日止。七、上述执行款项，暂计至2019年1月21日共21122773.73元。因被告有履行能力而拒不履行，故而于2020年10月22日被列入失信被执行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bCs w:val="0"/>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税务违法：因偷漏税而被列入“老赖”名单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案例四</w:t>
      </w:r>
      <w:r>
        <w:rPr>
          <w:rStyle w:val="5"/>
          <w:rFonts w:hint="eastAsia" w:ascii="仿宋_GB2312" w:hAnsi="仿宋_GB2312" w:eastAsia="仿宋_GB2312" w:cs="仿宋_GB2312"/>
          <w:b w:val="0"/>
          <w:bCs/>
          <w:i w:val="0"/>
          <w:caps w:val="0"/>
          <w:color w:val="000000"/>
          <w:spacing w:val="0"/>
          <w:sz w:val="32"/>
          <w:szCs w:val="32"/>
          <w:lang w:val="en-US" w:eastAsia="zh-CN"/>
        </w:rPr>
        <w:t>：北京联合久利文化发展有限公司（统一社会信用代码：91110112MA007LAJ18），因虚开增值税发票，由税务总局依照《中华人民共和国税收征收管理法》等相关法律法规的有关规定，已出具《已证实虚开通知单》，并列入重大税收违法案件当事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案例五</w:t>
      </w:r>
      <w:r>
        <w:rPr>
          <w:rStyle w:val="5"/>
          <w:rFonts w:hint="eastAsia" w:ascii="仿宋_GB2312" w:hAnsi="仿宋_GB2312" w:eastAsia="仿宋_GB2312" w:cs="仿宋_GB2312"/>
          <w:b w:val="0"/>
          <w:bCs/>
          <w:i w:val="0"/>
          <w:caps w:val="0"/>
          <w:color w:val="000000"/>
          <w:spacing w:val="0"/>
          <w:sz w:val="32"/>
          <w:szCs w:val="32"/>
          <w:lang w:val="en-US" w:eastAsia="zh-CN"/>
        </w:rPr>
        <w:t>：北京梦如虹商贸有限公司（统一社会信用代码:91110112MA01BE081B）,因虚开增值税发票，由税务总局依照《中华人民共和国税收征收管理法》等相关法律法规的有关规定，已出具《已证实虚开通知单》，并列入重大税收违法案件当事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案例六</w:t>
      </w:r>
      <w:r>
        <w:rPr>
          <w:rStyle w:val="5"/>
          <w:rFonts w:hint="eastAsia" w:ascii="仿宋_GB2312" w:hAnsi="仿宋_GB2312" w:eastAsia="仿宋_GB2312" w:cs="仿宋_GB2312"/>
          <w:b w:val="0"/>
          <w:bCs/>
          <w:i w:val="0"/>
          <w:caps w:val="0"/>
          <w:color w:val="000000"/>
          <w:spacing w:val="0"/>
          <w:sz w:val="32"/>
          <w:szCs w:val="32"/>
          <w:lang w:val="en-US" w:eastAsia="zh-CN"/>
        </w:rPr>
        <w:t>：北京明宇芯贸易有限公司（统一社会信用代码：91110112MA01CWMA2L），因虚开增值税发票，由税务总局依照《中华人民共和国税收征收管理法》等相关法律法规的有关规定，已出具《已证实虚开通知单》，并列入重大税收违法案件当事人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ED260"/>
    <w:rsid w:val="56EFE65B"/>
    <w:rsid w:val="7B9ED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2022-06-08T18:55:00Z</dcterms:created>
  <dc:creator>a123</dc:creator>
  <cp:lastModifiedBy>a123</cp:lastModifiedBy>
  <dcterms:modified xsi:type="dcterms:W3CDTF">2022-07-20T14:02:32Z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