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3年第三季度企业“黑名单”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（第三批）</w:t>
      </w: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3700"/>
        <w:gridCol w:w="2458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北京东方领航农牧科技发展有限公司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北京东方康乐福超市有限公司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北京东方巨威木业有限公司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北京东方恒利建筑装饰工程有限公司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北京东方丰利达科技有限公司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北京东昌万通科贸有限公司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北京东昌恒通商贸有限公司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北京定荣家科技有限公司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北京鼎运达科技有限公司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北京鼎鑫伟业房地产经纪有限公司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北京鼎泰艺苑进出口有限公司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北京鼎森蓝捷工贸有限公司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北京典洋商贸有限公司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北京第三开关厂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北京地意园林景观工程有限公司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北京地景天成园林绿化工程有限公司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北京创博源商贸有限公司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北京传士文化传播有限责任公司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北京传石博石材有限公司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北京楚天悦文化发展有限公司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C786"/>
    <w:rsid w:val="48AD5146"/>
    <w:rsid w:val="5A8DC786"/>
    <w:rsid w:val="6EFA7F0E"/>
    <w:rsid w:val="7E8C0C01"/>
    <w:rsid w:val="7EEA20FF"/>
    <w:rsid w:val="9ECF5723"/>
    <w:rsid w:val="B7FB65A9"/>
    <w:rsid w:val="C6BF3C4F"/>
    <w:rsid w:val="FBAF1316"/>
    <w:rsid w:val="FDD781B6"/>
    <w:rsid w:val="FDE4E1C0"/>
    <w:rsid w:val="FFEB9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2023-08-09T14:23:00Z</dcterms:created>
  <dc:creator>a123</dc:creator>
  <cp:lastModifiedBy>a123</cp:lastModifiedBy>
  <dcterms:modified xsi:type="dcterms:W3CDTF">2023-09-28T09:22:05Z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