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u w:val="non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eastAsia="zh-CN"/>
        </w:rPr>
        <w:t>北京市通州区城市管理综合行政执法局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</w:rPr>
        <w:t>年政府信息公开工作年度报告</w:t>
      </w:r>
    </w:p>
    <w:bookmarkEnd w:id="0"/>
    <w:p>
      <w:pPr>
        <w:spacing w:line="560" w:lineRule="exact"/>
        <w:jc w:val="center"/>
        <w:rPr>
          <w:color w:val="auto"/>
          <w:sz w:val="44"/>
          <w:szCs w:val="44"/>
          <w:highlight w:val="none"/>
          <w:u w:val="none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highlight w:val="none"/>
          <w:u w:val="none"/>
        </w:rPr>
        <w:t>　</w:t>
      </w:r>
      <w:r>
        <w:rPr>
          <w:rFonts w:hint="eastAsia" w:ascii="微软雅黑" w:hAnsi="微软雅黑" w:eastAsia="微软雅黑" w:cs="宋体"/>
          <w:color w:val="auto"/>
          <w:kern w:val="0"/>
          <w:sz w:val="32"/>
          <w:szCs w:val="32"/>
          <w:highlight w:val="none"/>
          <w:u w:val="none"/>
        </w:rPr>
        <w:t xml:space="preserve"> </w:t>
      </w:r>
      <w:r>
        <w:rPr>
          <w:rFonts w:ascii="微软雅黑" w:hAnsi="微软雅黑" w:eastAsia="微软雅黑" w:cs="宋体"/>
          <w:color w:val="auto"/>
          <w:kern w:val="0"/>
          <w:sz w:val="32"/>
          <w:szCs w:val="32"/>
          <w:highlight w:val="none"/>
          <w:u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u w:val="none"/>
        </w:rPr>
        <w:t>依据《中华人民共和国政府信息公开条例》(以下简称《政府信息公开条例》)第五十条规定，编制本报告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color w:val="auto"/>
          <w:spacing w:val="8"/>
          <w:kern w:val="0"/>
          <w:sz w:val="32"/>
          <w:szCs w:val="32"/>
          <w:highlight w:val="none"/>
          <w:u w:val="none"/>
        </w:rPr>
      </w:pPr>
      <w:r>
        <w:rPr>
          <w:rFonts w:ascii="黑体" w:hAnsi="黑体" w:eastAsia="黑体" w:cs="宋体"/>
          <w:color w:val="auto"/>
          <w:spacing w:val="8"/>
          <w:kern w:val="0"/>
          <w:sz w:val="32"/>
          <w:szCs w:val="32"/>
          <w:highlight w:val="none"/>
          <w:u w:val="none"/>
        </w:rPr>
        <w:t>一、总体情况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2024年，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区城管执法局严格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按照市、区关于政府信息公开工作的有关要求，以习近平新时代中国特色社会主义思想为指导，全面贯彻落实党的二十大、二十届二中、三中全会精神，把政府信息公开工作摆在重要位置，切实加强组织领导，认真落实工作责任，强化日常监督检查，使政府信息公开工作取得了明显成效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（一）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严格落实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主动公开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严格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落实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《2024年北京市通州区政务公开工作要点》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，按照《通州区城市管理综合行政执法局政府信息主动公开全清单》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，加大政府信息主动公开力度，做到了“应公开尽公开”。本年度区城管执法局主动公开政府信息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条,其中业务动态类信息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、财政预决算信息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2条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（二）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规范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依申请公开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区城管执法局高度重视依申请公开工作，严格按照依申请公开办理程序，规范信息公开申请接收、答复等环节，保障申请人依法获取政府信息。本年度区城管执法局共收到政府信息公开申请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件，均已按时答复。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</w:rPr>
        <w:t>（三）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  <w:t>强化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</w:rPr>
        <w:t>组织领导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</w:pPr>
      <w:r>
        <w:rPr>
          <w:rFonts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深入贯彻落实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市、区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两级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工作部署，把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政府信息公开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工作纳入整体工作，形成齐抓共管、纵横结合的工作格局，明确政府信息公开工作主管领导，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并由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</w:rPr>
        <w:t>局办公室为通州区城市管理综合行政执法局政府信息公开工作机构，负责政府信息公开工作，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安排专人具体负责政府信息公开各项工作，按照“谁制发、谁提出，谁审查、谁办理，谁公开、谁负责”原则，对所公开事项内容进行审核、把关，确保公开内容合法性、准确性、严肃性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，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保证信息公开工作顺利推进。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（四）加强业务培训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</w:rPr>
        <w:t>为高质量的开展好政府信息公开工作，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  <w:t>通过线上线下的方式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</w:rPr>
        <w:t>积极参加区信息公开管理部门组织的</w:t>
      </w:r>
      <w:r>
        <w:rPr>
          <w:rFonts w:ascii="仿宋_GB2312" w:hAnsi="仿宋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政策和业务能力培训，同时与区级单位加强沟通，</w:t>
      </w:r>
      <w:r>
        <w:rPr>
          <w:rFonts w:hint="eastAsia" w:ascii="仿宋_GB2312" w:hAnsi="仿宋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切实提升业务能力和水平。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（五）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加强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监督保障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严格按照市、区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两级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有关政府信息公开的文件精神和工作部署，落实规范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政府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网站信息发布审核要求，加强政府信息规范化管理。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</w:rPr>
        <w:t>由法制科负责政务公开工作法律监督，由局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  <w:t>保密负责人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</w:rPr>
        <w:t>进行保密审查，由业务部门负责人进行内容督查，严格落实三审三校的审查程序、标准、责任，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规范信息公开内容，建立政府信息公开工作长效机制。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</w:rPr>
        <w:t>主动公开政府信息情况</w:t>
      </w:r>
    </w:p>
    <w:p>
      <w:pPr>
        <w:pStyle w:val="2"/>
        <w:spacing w:line="560" w:lineRule="exact"/>
        <w:rPr>
          <w:rFonts w:hint="eastAsia"/>
          <w:color w:val="auto"/>
          <w:highlight w:val="none"/>
          <w:u w:val="none"/>
        </w:rPr>
      </w:pPr>
    </w:p>
    <w:tbl>
      <w:tblPr>
        <w:tblStyle w:val="8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Theme="minorEastAsia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  <w:u w:val="none"/>
                <w:lang w:val="en-US" w:eastAsia="zh-CN"/>
              </w:rPr>
              <w:t>0</w:t>
            </w:r>
          </w:p>
        </w:tc>
      </w:tr>
    </w:tbl>
    <w:p>
      <w:pPr>
        <w:pStyle w:val="2"/>
        <w:spacing w:line="560" w:lineRule="exact"/>
        <w:rPr>
          <w:rFonts w:hint="eastAsia"/>
          <w:color w:val="auto"/>
          <w:highlight w:val="none"/>
          <w:u w:val="none"/>
        </w:rPr>
      </w:pP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</w:rPr>
        <w:t>收到和处理政府信息公开申请情况</w:t>
      </w:r>
    </w:p>
    <w:p>
      <w:pPr>
        <w:pStyle w:val="7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宋体" w:hAnsi="宋体" w:cs="宋体"/>
          <w:color w:val="auto"/>
          <w:highlight w:val="none"/>
          <w:u w:val="none"/>
        </w:rPr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highlight w:val="none"/>
                <w:u w:val="none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商业</w:t>
            </w:r>
          </w:p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科研</w:t>
            </w:r>
          </w:p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spacing w:line="560" w:lineRule="exact"/>
        <w:ind w:left="420" w:leftChars="200"/>
        <w:rPr>
          <w:rFonts w:hint="eastAsia"/>
          <w:color w:val="auto"/>
          <w:highlight w:val="none"/>
          <w:u w:val="none"/>
        </w:rPr>
      </w:pPr>
    </w:p>
    <w:p>
      <w:pPr>
        <w:pStyle w:val="2"/>
        <w:spacing w:line="560" w:lineRule="exact"/>
        <w:ind w:left="420" w:leftChars="200"/>
        <w:rPr>
          <w:rFonts w:hint="eastAsia"/>
          <w:color w:val="auto"/>
          <w:highlight w:val="none"/>
          <w:u w:val="none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</w:rPr>
        <w:t>四、政府信息公开行政复议、行政诉讼情况</w:t>
      </w:r>
    </w:p>
    <w:p>
      <w:pPr>
        <w:widowControl/>
        <w:spacing w:line="560" w:lineRule="exact"/>
        <w:jc w:val="center"/>
        <w:rPr>
          <w:color w:val="auto"/>
          <w:highlight w:val="none"/>
          <w:u w:val="none"/>
        </w:rPr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结果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尚未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结果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结果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尚未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结果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结果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尚未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eastAsiaTheme="minorEastAsia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  <w:u w:val="none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jc w:val="left"/>
        <w:rPr>
          <w:color w:val="auto"/>
          <w:highlight w:val="none"/>
          <w:u w:val="none"/>
        </w:rPr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color w:val="auto"/>
          <w:spacing w:val="8"/>
          <w:kern w:val="0"/>
          <w:sz w:val="24"/>
          <w:highlight w:val="none"/>
          <w:u w:val="none"/>
        </w:rPr>
      </w:pPr>
      <w:r>
        <w:rPr>
          <w:rFonts w:ascii="黑体" w:hAnsi="黑体" w:eastAsia="黑体" w:cs="宋体"/>
          <w:color w:val="auto"/>
          <w:spacing w:val="8"/>
          <w:kern w:val="0"/>
          <w:sz w:val="32"/>
          <w:szCs w:val="32"/>
          <w:highlight w:val="none"/>
          <w:u w:val="none"/>
        </w:rPr>
        <w:t>五、存在的主要问题及改进情况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color w:val="auto"/>
          <w:highlight w:val="none"/>
          <w:u w:val="none"/>
        </w:rPr>
      </w:pPr>
      <w:r>
        <w:rPr>
          <w:rFonts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存在的主要问题：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一是政府信息公开意识还有所欠缺，各业务部门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对政府信息公开工作的认识程度不一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，存在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重公开而轻参与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的现象。二是</w:t>
      </w:r>
      <w:r>
        <w:rPr>
          <w:rFonts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信息公开内容的广度和深度有待提升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。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三是信息发布和更新效率有待提高，公开内容还需进一步细化。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改进情况：一是加强业务学习，提升政务公开能力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，以求真务实的工作作风，扎实做好政府信息公开工作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。二是高效发布政府信息公开法定内容。全面落实市、区政务公开工作部署，及时公布重要信息，不断提升信息发布的深度和广度。三是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严格按照《政府信息公开条例》要求，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进一步规范和完善政务公开的内容、形式，对涉及公众关心的重大问题做到及时主动公开。</w:t>
      </w:r>
    </w:p>
    <w:p>
      <w:pPr>
        <w:widowControl/>
        <w:spacing w:line="560" w:lineRule="exact"/>
        <w:ind w:firstLine="675"/>
        <w:jc w:val="left"/>
        <w:rPr>
          <w:rFonts w:ascii="黑体" w:hAnsi="黑体" w:eastAsia="黑体" w:cs="宋体"/>
          <w:color w:val="auto"/>
          <w:spacing w:val="8"/>
          <w:kern w:val="0"/>
          <w:sz w:val="32"/>
          <w:szCs w:val="32"/>
          <w:highlight w:val="none"/>
          <w:u w:val="none"/>
        </w:rPr>
      </w:pPr>
      <w:r>
        <w:rPr>
          <w:rFonts w:ascii="黑体" w:hAnsi="黑体" w:eastAsia="黑体" w:cs="宋体"/>
          <w:color w:val="auto"/>
          <w:spacing w:val="8"/>
          <w:kern w:val="0"/>
          <w:sz w:val="32"/>
          <w:szCs w:val="32"/>
          <w:highlight w:val="none"/>
          <w:u w:val="none"/>
        </w:rPr>
        <w:t>六、其他需要报告的事项</w:t>
      </w:r>
    </w:p>
    <w:p>
      <w:pPr>
        <w:widowControl/>
        <w:spacing w:line="560" w:lineRule="exact"/>
        <w:ind w:firstLine="675"/>
        <w:jc w:val="left"/>
        <w:rPr>
          <w:rFonts w:ascii="Calibri" w:hAnsi="Calibri" w:cs="Calibri"/>
          <w:i w:val="0"/>
          <w:caps w:val="0"/>
          <w:color w:val="auto"/>
          <w:spacing w:val="0"/>
          <w:sz w:val="21"/>
          <w:szCs w:val="21"/>
          <w:highlight w:val="none"/>
          <w:u w:val="none"/>
        </w:rPr>
      </w:pPr>
      <w:r>
        <w:rPr>
          <w:rFonts w:ascii="仿宋_GB2312" w:hAnsi="仿宋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根据《政府信息公开信息处理费管理办法》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(国办函〔2020〕109号)，202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4</w:t>
      </w:r>
      <w:r>
        <w:rPr>
          <w:rFonts w:hint="eastAsia" w:ascii="仿宋_GB2312" w:hAnsi="仿宋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年度</w:t>
      </w:r>
      <w:r>
        <w:rPr>
          <w:rFonts w:hint="eastAsia" w:ascii="仿宋_GB2312" w:hAnsi="仿宋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北京市通州区城市管理综合行政执法局</w:t>
      </w:r>
      <w:r>
        <w:rPr>
          <w:rFonts w:hint="eastAsia" w:ascii="仿宋_GB2312" w:hAnsi="仿宋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收取信息处理费情况为：发出收费通知的件数为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0件，总金额为0元，实际收取的总金额为0元。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72"/>
        <w:jc w:val="both"/>
        <w:rPr>
          <w:rFonts w:hint="default" w:ascii="Calibri" w:hAnsi="Calibri" w:cs="Calibri"/>
          <w:i w:val="0"/>
          <w:caps w:val="0"/>
          <w:color w:val="auto"/>
          <w:spacing w:val="0"/>
          <w:sz w:val="21"/>
          <w:szCs w:val="21"/>
          <w:highlight w:val="none"/>
          <w:u w:val="none"/>
        </w:rPr>
      </w:pPr>
      <w:r>
        <w:rPr>
          <w:rFonts w:hint="eastAsia" w:ascii="仿宋_GB2312" w:hAnsi="仿宋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北京市通州区人民政府网站网址为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https://www.bjtzh.gov.cn/，如需了解更多政府信息，请登录查询。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  <w:highlight w:val="none"/>
          <w:u w:val="none"/>
        </w:rPr>
      </w:pPr>
    </w:p>
    <w:p>
      <w:pPr>
        <w:pStyle w:val="2"/>
        <w:spacing w:line="560" w:lineRule="exact"/>
        <w:rPr>
          <w:rFonts w:hint="eastAsia"/>
          <w:highlight w:val="none"/>
          <w:u w:val="none"/>
        </w:rPr>
      </w:pP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  <w:u w:val="none"/>
        </w:rPr>
        <w:t xml:space="preserve"> </w:t>
      </w: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ZTdjODNhNmU5MGMyNTg1ODJiZThhMzlkZWE3YmIifQ=="/>
  </w:docVars>
  <w:rsids>
    <w:rsidRoot w:val="30807B4B"/>
    <w:rsid w:val="00442DB0"/>
    <w:rsid w:val="05D85E3B"/>
    <w:rsid w:val="05E4647C"/>
    <w:rsid w:val="0ABA6173"/>
    <w:rsid w:val="0AE80091"/>
    <w:rsid w:val="0B9064BE"/>
    <w:rsid w:val="0C082AAD"/>
    <w:rsid w:val="0CC11C92"/>
    <w:rsid w:val="0E36675F"/>
    <w:rsid w:val="0F071AFE"/>
    <w:rsid w:val="11205883"/>
    <w:rsid w:val="13002EED"/>
    <w:rsid w:val="134E798B"/>
    <w:rsid w:val="14A80DA5"/>
    <w:rsid w:val="17D26A70"/>
    <w:rsid w:val="1A7D285E"/>
    <w:rsid w:val="1B2C1A76"/>
    <w:rsid w:val="1B543C65"/>
    <w:rsid w:val="1DBF0083"/>
    <w:rsid w:val="1DFFEA69"/>
    <w:rsid w:val="1FFB0140"/>
    <w:rsid w:val="24010760"/>
    <w:rsid w:val="25315F52"/>
    <w:rsid w:val="26913541"/>
    <w:rsid w:val="299920BB"/>
    <w:rsid w:val="2BEB3657"/>
    <w:rsid w:val="2CE40508"/>
    <w:rsid w:val="2D47153F"/>
    <w:rsid w:val="2D862FF9"/>
    <w:rsid w:val="2ED871E9"/>
    <w:rsid w:val="30807B4B"/>
    <w:rsid w:val="31413674"/>
    <w:rsid w:val="318DF538"/>
    <w:rsid w:val="3221404A"/>
    <w:rsid w:val="327FC6D4"/>
    <w:rsid w:val="332871CB"/>
    <w:rsid w:val="33BD4470"/>
    <w:rsid w:val="34817233"/>
    <w:rsid w:val="385E5017"/>
    <w:rsid w:val="3967423C"/>
    <w:rsid w:val="3B546DFA"/>
    <w:rsid w:val="3BE8322F"/>
    <w:rsid w:val="3BF015BF"/>
    <w:rsid w:val="3C246C86"/>
    <w:rsid w:val="3F177636"/>
    <w:rsid w:val="3FD15EAF"/>
    <w:rsid w:val="40DD0B8E"/>
    <w:rsid w:val="44F55CE1"/>
    <w:rsid w:val="488E7D6F"/>
    <w:rsid w:val="4A751FBB"/>
    <w:rsid w:val="4B7A615D"/>
    <w:rsid w:val="4CBF17DE"/>
    <w:rsid w:val="4CF21E21"/>
    <w:rsid w:val="4CF54579"/>
    <w:rsid w:val="4E767533"/>
    <w:rsid w:val="52305BB2"/>
    <w:rsid w:val="535D2A8E"/>
    <w:rsid w:val="537A699B"/>
    <w:rsid w:val="53A771E4"/>
    <w:rsid w:val="53D538D6"/>
    <w:rsid w:val="53ED0FC0"/>
    <w:rsid w:val="54FB6504"/>
    <w:rsid w:val="566E25A6"/>
    <w:rsid w:val="56980686"/>
    <w:rsid w:val="584339B6"/>
    <w:rsid w:val="5B45742E"/>
    <w:rsid w:val="5B885BB0"/>
    <w:rsid w:val="5F0C50B4"/>
    <w:rsid w:val="628544F4"/>
    <w:rsid w:val="63941218"/>
    <w:rsid w:val="661750EF"/>
    <w:rsid w:val="67201D7D"/>
    <w:rsid w:val="67384093"/>
    <w:rsid w:val="691875C8"/>
    <w:rsid w:val="6C660F51"/>
    <w:rsid w:val="6C7926D4"/>
    <w:rsid w:val="6D5D5120"/>
    <w:rsid w:val="6D677B57"/>
    <w:rsid w:val="6DE128CD"/>
    <w:rsid w:val="6EAD309C"/>
    <w:rsid w:val="6F7DD279"/>
    <w:rsid w:val="6FE850EB"/>
    <w:rsid w:val="74550C88"/>
    <w:rsid w:val="75432B9D"/>
    <w:rsid w:val="77C7F0E0"/>
    <w:rsid w:val="782567A5"/>
    <w:rsid w:val="79333E39"/>
    <w:rsid w:val="7BDB1E9F"/>
    <w:rsid w:val="7C55591F"/>
    <w:rsid w:val="7ECB27F6"/>
    <w:rsid w:val="7FFA135B"/>
    <w:rsid w:val="9FFF627B"/>
    <w:rsid w:val="A7CFA9B7"/>
    <w:rsid w:val="B79B2EF7"/>
    <w:rsid w:val="BDDEA136"/>
    <w:rsid w:val="DE7D437D"/>
    <w:rsid w:val="EA7E8771"/>
    <w:rsid w:val="EB0BB7E6"/>
    <w:rsid w:val="F5FF3CAB"/>
    <w:rsid w:val="FBFF9624"/>
    <w:rsid w:val="FDEA7CF5"/>
    <w:rsid w:val="FFDE8BC0"/>
    <w:rsid w:val="FFF5B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qFormat/>
    <w:uiPriority w:val="0"/>
    <w:rPr>
      <w:rFonts w:eastAsia="宋体"/>
      <w:bCs/>
      <w:color w:val="auto"/>
      <w:szCs w:val="24"/>
    </w:rPr>
  </w:style>
  <w:style w:type="paragraph" w:styleId="4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5743</Words>
  <Characters>6080</Characters>
  <Lines>0</Lines>
  <Paragraphs>0</Paragraphs>
  <TotalTime>47</TotalTime>
  <ScaleCrop>false</ScaleCrop>
  <LinksUpToDate>false</LinksUpToDate>
  <CharactersWithSpaces>6343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2020-12-17T07:14:00Z</dcterms:created>
  <dc:creator>HS</dc:creator>
  <cp:lastModifiedBy>user</cp:lastModifiedBy>
  <cp:lastPrinted>2025-01-10T18:55:00Z</cp:lastPrinted>
  <dcterms:modified xsi:type="dcterms:W3CDTF">2025-01-15T15:12:57Z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FE31FDA3AF9A44E7908C228B7DFF7827_13</vt:lpwstr>
  </property>
</Properties>
</file>