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outlineLvl w:val="0"/>
        <w:rPr>
          <w:rFonts w:hint="eastAsia" w:ascii="方正小标宋简体" w:hAnsi="方正小标宋简体" w:eastAsia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/>
          <w:sz w:val="44"/>
          <w:szCs w:val="44"/>
          <w:lang w:eastAsia="zh-CN"/>
        </w:rPr>
        <w:t>北京市通州区城市管理指挥中心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outlineLvl w:val="0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/>
          <w:sz w:val="44"/>
          <w:szCs w:val="44"/>
        </w:rPr>
        <w:t>年政府信息公开工作年度报告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center"/>
        <w:rPr>
          <w:rFonts w:hint="eastAsia" w:ascii="微软雅黑" w:hAnsi="微软雅黑" w:eastAsia="微软雅黑"/>
          <w:color w:val="404040"/>
          <w:kern w:val="0"/>
          <w:sz w:val="32"/>
          <w:szCs w:val="32"/>
        </w:rPr>
      </w:pPr>
      <w:r>
        <w:rPr>
          <w:rFonts w:hint="eastAsia" w:ascii="微软雅黑" w:hAnsi="微软雅黑" w:eastAsia="微软雅黑"/>
          <w:color w:val="404040"/>
          <w:kern w:val="0"/>
          <w:sz w:val="32"/>
          <w:szCs w:val="32"/>
        </w:rPr>
        <w:t xml:space="preserve"> </w:t>
      </w:r>
      <w:r>
        <w:rPr>
          <w:rFonts w:ascii="微软雅黑" w:hAnsi="微软雅黑" w:eastAsia="微软雅黑"/>
          <w:color w:val="40404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72" w:firstLineChars="200"/>
        <w:jc w:val="left"/>
        <w:rPr>
          <w:rFonts w:hint="eastAsia" w:ascii="仿宋_GB2312" w:hAnsi="宋体" w:eastAsia="仿宋_GB2312"/>
          <w:spacing w:val="8"/>
          <w:kern w:val="0"/>
          <w:sz w:val="32"/>
          <w:szCs w:val="32"/>
        </w:rPr>
      </w:pPr>
      <w:r>
        <w:rPr>
          <w:rFonts w:hint="eastAsia" w:ascii="仿宋_GB2312" w:hAnsi="宋体" w:eastAsia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72" w:firstLineChars="200"/>
        <w:jc w:val="left"/>
        <w:outlineLvl w:val="0"/>
        <w:rPr>
          <w:rFonts w:ascii="黑体" w:hAnsi="黑体" w:eastAsia="黑体"/>
          <w:spacing w:val="8"/>
          <w:kern w:val="0"/>
          <w:sz w:val="32"/>
          <w:szCs w:val="32"/>
        </w:rPr>
      </w:pPr>
      <w:r>
        <w:rPr>
          <w:rFonts w:ascii="黑体" w:hAnsi="黑体" w:eastAsia="黑体"/>
          <w:spacing w:val="8"/>
          <w:kern w:val="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75"/>
        <w:jc w:val="both"/>
        <w:rPr>
          <w:rFonts w:hint="eastAsia" w:ascii="仿宋_GB2312" w:hAnsi="宋体" w:eastAsia="仿宋_GB2312"/>
          <w:spacing w:val="8"/>
          <w:sz w:val="32"/>
          <w:lang w:val="en-US" w:eastAsia="zh-CN"/>
        </w:rPr>
      </w:pPr>
      <w:r>
        <w:rPr>
          <w:rFonts w:hint="eastAsia" w:ascii="仿宋_GB2312" w:hAnsi="宋体" w:eastAsia="仿宋_GB2312"/>
          <w:spacing w:val="8"/>
          <w:kern w:val="0"/>
          <w:sz w:val="32"/>
          <w:szCs w:val="32"/>
          <w:lang w:val="en-US" w:eastAsia="zh-CN"/>
        </w:rPr>
        <w:t>2024年，</w:t>
      </w:r>
      <w:r>
        <w:rPr>
          <w:rFonts w:hint="eastAsia" w:ascii="仿宋_GB2312" w:hAnsi="宋体" w:eastAsia="仿宋_GB2312"/>
          <w:spacing w:val="8"/>
          <w:kern w:val="0"/>
          <w:sz w:val="32"/>
          <w:szCs w:val="32"/>
          <w:lang w:eastAsia="zh-CN"/>
        </w:rPr>
        <w:t>北京市通州区城市管理指挥中心</w:t>
      </w:r>
      <w:r>
        <w:rPr>
          <w:rFonts w:hint="eastAsia" w:ascii="仿宋_GB2312" w:hAnsi="宋体" w:eastAsia="仿宋_GB2312"/>
          <w:spacing w:val="8"/>
          <w:sz w:val="32"/>
          <w:lang w:eastAsia="zh-CN"/>
        </w:rPr>
        <w:t>严格按照政务公开规章制度及审批流程，进行信息公开。切实加强对实行主动公开和依申请公开制度的领导。做到主要领导亲自抓，分管领导具体抓，各科（室）主要负责人为工作责任人。政办室负责定期对各科（室）主动公开和依申请公开制度实施情况进行监督检查；同时，自觉接受人大、政协和纪检监察部门的监督，认真接受人民群众、政务公开监督员和新闻媒体的监督。对群众反映的问题，及时进行整改。</w:t>
      </w:r>
      <w:r>
        <w:rPr>
          <w:rFonts w:hint="eastAsia" w:ascii="仿宋_GB2312" w:hAnsi="宋体" w:eastAsia="仿宋_GB2312"/>
          <w:spacing w:val="8"/>
          <w:sz w:val="32"/>
          <w:lang w:eastAsia="zh-CN"/>
        </w:rPr>
        <w:br w:type="textWrapping"/>
      </w:r>
      <w:r>
        <w:rPr>
          <w:rFonts w:hint="eastAsia" w:ascii="仿宋_GB2312" w:hAnsi="宋体" w:eastAsia="仿宋_GB2312"/>
          <w:spacing w:val="8"/>
          <w:sz w:val="32"/>
          <w:lang w:eastAsia="zh-CN"/>
        </w:rPr>
        <w:t>　</w:t>
      </w:r>
      <w:r>
        <w:rPr>
          <w:rFonts w:hint="eastAsia" w:ascii="仿宋_GB2312" w:hAnsi="宋体" w:eastAsia="仿宋_GB2312"/>
          <w:spacing w:val="8"/>
          <w:sz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pacing w:val="8"/>
          <w:sz w:val="32"/>
          <w:lang w:eastAsia="zh-CN"/>
        </w:rPr>
        <w:t>主动公开稳步推进。坚持以公开为常态、不公开为例外，按照《政府信息公开条例》规定的主动公开政府信息范围及本单位政府信息主动公开全清单，进行逐项公开和实时更新。2024年我单位在通州区政府门户网站信息公开部门动态20条，通过“通州E政通”微信公众号主动公开280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75"/>
        <w:jc w:val="both"/>
        <w:rPr>
          <w:rFonts w:hint="eastAsia" w:ascii="仿宋_GB2312" w:hAnsi="宋体" w:eastAsia="仿宋_GB2312"/>
          <w:spacing w:val="8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pacing w:val="8"/>
          <w:sz w:val="32"/>
          <w:lang w:eastAsia="zh-CN"/>
        </w:rPr>
        <w:t>规范依申请公开办理流程。按照《政府信息公开条例》规定，2024年我单位收到政府信息公开依申请2件。</w:t>
      </w:r>
      <w:r>
        <w:rPr>
          <w:rFonts w:hint="eastAsia" w:ascii="仿宋_GB2312" w:hAnsi="宋体" w:eastAsia="仿宋_GB2312"/>
          <w:spacing w:val="8"/>
          <w:sz w:val="32"/>
          <w:lang w:eastAsia="zh-CN"/>
        </w:rPr>
        <w:br w:type="textWrapping"/>
      </w:r>
      <w:r>
        <w:rPr>
          <w:rFonts w:hint="eastAsia" w:ascii="仿宋_GB2312" w:hAnsi="宋体" w:eastAsia="仿宋_GB2312"/>
          <w:spacing w:val="8"/>
          <w:sz w:val="32"/>
          <w:lang w:eastAsia="zh-CN"/>
        </w:rPr>
        <w:t>　　积极参加信息公开培训。全年参加有关政府公开工作类培训会议1次，认真学习《政府信息公开条例》，本年度未发生与政府信息公开有关行政诉讼及行政复议案件。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主动公开政府信息情况</w:t>
      </w:r>
    </w:p>
    <w:tbl>
      <w:tblPr>
        <w:tblStyle w:val="2"/>
        <w:tblW w:w="9740" w:type="dxa"/>
        <w:jc w:val="center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现行有效件数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kern w:val="0"/>
                <w:szCs w:val="21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kern w:val="0"/>
                <w:szCs w:val="21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kern w:val="0"/>
                <w:szCs w:val="21"/>
                <w:lang w:eastAsia="zh-CN" w:bidi="ar"/>
              </w:rPr>
            </w:pPr>
            <w:r>
              <w:rPr>
                <w:rFonts w:hint="eastAsia"/>
                <w:kern w:val="0"/>
                <w:szCs w:val="21"/>
                <w:lang w:eastAsia="zh-CN" w:bidi="ar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B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B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="630" w:leftChars="0"/>
        <w:outlineLvl w:val="0"/>
        <w:rPr>
          <w:rFonts w:hint="eastAsia" w:ascii="黑体" w:hAnsi="宋体" w:eastAsia="黑体"/>
          <w:sz w:val="32"/>
          <w:szCs w:val="32"/>
          <w:lang w:val="en-US" w:eastAsia="zh-CN" w:bidi="ar"/>
        </w:rPr>
      </w:pPr>
      <w:r>
        <w:rPr>
          <w:rFonts w:hint="eastAsia" w:ascii="黑体" w:hAnsi="宋体" w:eastAsia="黑体"/>
          <w:sz w:val="32"/>
          <w:szCs w:val="32"/>
          <w:lang w:val="en-US" w:eastAsia="zh-CN" w:bidi="ar"/>
        </w:rPr>
        <w:t>三、</w:t>
      </w:r>
      <w:r>
        <w:rPr>
          <w:rFonts w:hint="eastAsia" w:ascii="黑体" w:hAnsi="宋体" w:eastAsia="黑体"/>
          <w:sz w:val="32"/>
          <w:szCs w:val="32"/>
          <w:lang w:bidi="ar"/>
        </w:rPr>
        <w:t>收到和处理政府信息公开申请情况</w:t>
      </w:r>
    </w:p>
    <w:tbl>
      <w:tblPr>
        <w:tblStyle w:val="2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restart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楷体" w:hAnsi="楷体" w:eastAsia="楷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楷体" w:hAnsi="楷体" w:eastAsia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vMerge w:val="continue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570" w:type="dxa"/>
            <w:gridSpan w:val="5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714" w:type="dxa"/>
            <w:vMerge w:val="restart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8" w:hRule="atLeast"/>
          <w:jc w:val="center"/>
        </w:trPr>
        <w:tc>
          <w:tcPr>
            <w:tcW w:w="5150" w:type="dxa"/>
            <w:gridSpan w:val="3"/>
            <w:vMerge w:val="continue"/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vMerge w:val="continue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4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714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714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714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714" w:type="dxa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714" w:type="dxa"/>
            <w:vMerge w:val="continue"/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28" w:hRule="atLeast"/>
          <w:jc w:val="center"/>
        </w:trPr>
        <w:tc>
          <w:tcPr>
            <w:tcW w:w="5150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restart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365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hint="eastAsia" w:ascii="楷体" w:hAnsi="楷体" w:eastAsia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restart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 w:val="continue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6" w:type="dxa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785" w:type="dxa"/>
            <w:vMerge w:val="continue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gridSpan w:val="2"/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714" w:type="dxa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5150" w:type="dxa"/>
            <w:gridSpan w:val="3"/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left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6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  <w:tc>
          <w:tcPr>
            <w:tcW w:w="6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outlineLvl w:val="0"/>
        <w:rPr>
          <w:rFonts w:hint="eastAsia" w:ascii="黑体" w:hAnsi="宋体" w:eastAsia="黑体"/>
          <w:sz w:val="32"/>
          <w:szCs w:val="32"/>
          <w:lang w:bidi="ar"/>
        </w:rPr>
      </w:pPr>
      <w:r>
        <w:rPr>
          <w:rFonts w:hint="eastAsia" w:ascii="黑体" w:hAnsi="宋体" w:eastAsia="黑体"/>
          <w:sz w:val="32"/>
          <w:szCs w:val="32"/>
          <w:lang w:bidi="ar"/>
        </w:rPr>
        <w:t>四、政府信息公开行政复议、行政诉讼情况</w:t>
      </w:r>
    </w:p>
    <w:tbl>
      <w:tblPr>
        <w:tblStyle w:val="2"/>
        <w:tblW w:w="9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503" w:type="dxa"/>
            <w:gridSpan w:val="10"/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55" w:type="dxa"/>
            <w:gridSpan w:val="5"/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Merge w:val="continu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2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jc w:val="center"/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</w:pPr>
            <w:r>
              <w:rPr>
                <w:rFonts w:hint="eastAsia" w:ascii="黑体" w:hAnsi="宋体" w:eastAsia="黑体"/>
                <w:kern w:val="0"/>
                <w:sz w:val="20"/>
                <w:szCs w:val="20"/>
                <w:lang w:eastAsia="zh-CN" w:bidi="ar"/>
              </w:rPr>
              <w:t>0</w:t>
            </w:r>
          </w:p>
        </w:tc>
        <w:tc>
          <w:tcPr>
            <w:tcW w:w="643" w:type="dxa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600" w:lineRule="exact"/>
              <w:rPr>
                <w:rFonts w:hint="eastAsia" w:ascii="宋体" w:hAnsi="Times New Roman"/>
                <w:sz w:val="24"/>
                <w:lang w:val="en-US" w:eastAsia="zh-CN"/>
              </w:rPr>
            </w:pPr>
            <w:r>
              <w:rPr>
                <w:rFonts w:hint="eastAsia" w:ascii="宋体" w:hAnsi="Times New Roman"/>
                <w:sz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72" w:firstLineChars="200"/>
        <w:jc w:val="left"/>
        <w:outlineLvl w:val="0"/>
        <w:rPr>
          <w:rFonts w:hint="eastAsia" w:ascii="黑体" w:hAnsi="宋体" w:eastAsia="黑体"/>
          <w:spacing w:val="8"/>
          <w:kern w:val="0"/>
          <w:sz w:val="32"/>
          <w:szCs w:val="32"/>
          <w:lang w:bidi="ar"/>
        </w:rPr>
      </w:pPr>
      <w:r>
        <w:rPr>
          <w:rFonts w:hint="eastAsia" w:ascii="黑体" w:hAnsi="宋体" w:eastAsia="黑体"/>
          <w:spacing w:val="8"/>
          <w:kern w:val="0"/>
          <w:sz w:val="32"/>
          <w:szCs w:val="32"/>
          <w:lang w:bidi="ar"/>
        </w:rPr>
        <w:t>五、存在的主要问题及改进情况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74" w:firstLineChars="200"/>
        <w:outlineLvl w:val="1"/>
        <w:rPr>
          <w:rFonts w:hint="eastAsia" w:ascii="楷体_GB2312" w:hAnsi="楷体_GB2312" w:eastAsia="楷体_GB2312"/>
          <w:b/>
          <w:bCs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spacing w:val="8"/>
          <w:kern w:val="0"/>
          <w:sz w:val="32"/>
          <w:szCs w:val="32"/>
          <w:lang w:val="en-US" w:eastAsia="zh-CN" w:bidi="ar-SA"/>
        </w:rPr>
        <w:t>（一）公开意识方面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74" w:firstLineChars="200"/>
        <w:rPr>
          <w:rFonts w:hint="eastAsia" w:ascii="仿宋_GB2312" w:hAnsi="宋体" w:eastAsia="仿宋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pacing w:val="8"/>
          <w:kern w:val="0"/>
          <w:sz w:val="32"/>
          <w:szCs w:val="32"/>
          <w:lang w:eastAsia="zh-CN"/>
        </w:rPr>
        <w:t>主要问题：</w:t>
      </w:r>
      <w:r>
        <w:rPr>
          <w:rFonts w:hint="eastAsia" w:ascii="仿宋_GB2312" w:hAnsi="宋体" w:eastAsia="仿宋_GB2312"/>
          <w:spacing w:val="8"/>
          <w:kern w:val="0"/>
          <w:sz w:val="32"/>
          <w:szCs w:val="32"/>
          <w:lang w:eastAsia="zh-CN"/>
        </w:rPr>
        <w:t>工作人员信息公开创新意识还需进一步提升。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74" w:firstLineChars="200"/>
        <w:rPr>
          <w:rFonts w:hint="eastAsia" w:ascii="仿宋_GB2312" w:hAnsi="宋体" w:eastAsia="仿宋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pacing w:val="8"/>
          <w:kern w:val="0"/>
          <w:sz w:val="32"/>
          <w:szCs w:val="32"/>
          <w:lang w:eastAsia="zh-CN"/>
        </w:rPr>
        <w:t>改进方向：</w:t>
      </w:r>
      <w:r>
        <w:rPr>
          <w:rFonts w:hint="eastAsia" w:ascii="仿宋_GB2312" w:hAnsi="宋体" w:eastAsia="仿宋_GB2312"/>
          <w:spacing w:val="8"/>
          <w:kern w:val="0"/>
          <w:sz w:val="32"/>
          <w:szCs w:val="32"/>
          <w:lang w:eastAsia="zh-CN"/>
        </w:rPr>
        <w:t>一是进一步提高区城指中心工作人员信息公开创新意识，强化学习《政府信息公开条例》，开展“请进来”和“走出去”学习，开阔工作人员视野，学以致用，不断提升工作人员专业素养。另一方面打造过硬队伍，强化党建引领，加强对信息公开工作人员的业务培训和法律教育，提高工作效率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74" w:firstLineChars="200"/>
        <w:outlineLvl w:val="1"/>
        <w:rPr>
          <w:rFonts w:hint="eastAsia" w:ascii="楷体_GB2312" w:hAnsi="楷体_GB2312" w:eastAsia="楷体_GB2312"/>
          <w:b/>
          <w:bCs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楷体_GB2312" w:hAnsi="楷体_GB2312" w:eastAsia="楷体_GB2312"/>
          <w:b/>
          <w:bCs/>
          <w:spacing w:val="8"/>
          <w:kern w:val="0"/>
          <w:sz w:val="32"/>
          <w:szCs w:val="32"/>
          <w:lang w:val="en-US" w:eastAsia="zh-CN" w:bidi="ar-SA"/>
        </w:rPr>
        <w:t>（二）信息内容方面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74" w:firstLineChars="200"/>
        <w:rPr>
          <w:rFonts w:hint="eastAsia" w:ascii="仿宋_GB2312" w:hAnsi="宋体" w:eastAsia="仿宋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pacing w:val="8"/>
          <w:kern w:val="0"/>
          <w:sz w:val="32"/>
          <w:szCs w:val="32"/>
          <w:lang w:eastAsia="zh-CN"/>
        </w:rPr>
        <w:t>主要问题：</w:t>
      </w:r>
      <w:r>
        <w:rPr>
          <w:rFonts w:hint="eastAsia" w:ascii="仿宋_GB2312" w:eastAsia="仿宋_GB2312"/>
          <w:sz w:val="32"/>
          <w:szCs w:val="32"/>
        </w:rPr>
        <w:t>信息公开的形式</w:t>
      </w:r>
      <w:r>
        <w:rPr>
          <w:rFonts w:hint="eastAsia" w:ascii="仿宋_GB2312" w:hAnsi="宋体" w:eastAsia="仿宋_GB2312"/>
          <w:spacing w:val="8"/>
          <w:kern w:val="0"/>
          <w:sz w:val="32"/>
          <w:szCs w:val="32"/>
          <w:lang w:eastAsia="zh-CN"/>
        </w:rPr>
        <w:t>还有待进一步丰富，主动公开信息内容与公众的需求还存在一定差距。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leftChars="0" w:firstLine="674" w:firstLineChars="200"/>
        <w:rPr>
          <w:rFonts w:hint="eastAsia" w:ascii="仿宋_GB2312" w:hAnsi="宋体" w:eastAsia="仿宋_GB2312"/>
          <w:b/>
          <w:bCs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b/>
          <w:bCs/>
          <w:spacing w:val="8"/>
          <w:kern w:val="0"/>
          <w:sz w:val="32"/>
          <w:szCs w:val="32"/>
          <w:lang w:eastAsia="zh-CN"/>
        </w:rPr>
        <w:t>改进方向：</w:t>
      </w:r>
      <w:r>
        <w:rPr>
          <w:rFonts w:hint="eastAsia" w:ascii="仿宋_GB2312" w:hAnsi="宋体" w:eastAsia="仿宋_GB2312"/>
          <w:spacing w:val="8"/>
          <w:kern w:val="0"/>
          <w:sz w:val="32"/>
          <w:szCs w:val="32"/>
          <w:lang w:eastAsia="zh-CN"/>
        </w:rPr>
        <w:t>一是进一步加大工作力度。拓宽政府信息公开渠道，开展多种形式的信息公开方式。二是进一步深化信息公开的内容。加强对公众关注度高的政府信息的梳理，不断充实和完善政府信息公开内容。三是进一步加大宣传力度。开展多种形式的宣传活动，引导公众正确行使知情权，提高公众对政府信息公开的知晓率和参与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Chars="200" w:firstLine="320" w:firstLineChars="100"/>
        <w:rPr>
          <w:rFonts w:hint="eastAsia" w:ascii="黑体" w:hAns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六、</w:t>
      </w:r>
      <w:r>
        <w:rPr>
          <w:rFonts w:hint="eastAsia" w:ascii="黑体" w:hAnsi="黑体" w:eastAsia="黑体"/>
          <w:color w:val="000000"/>
          <w:sz w:val="32"/>
          <w:szCs w:val="32"/>
        </w:rPr>
        <w:t>其他需要报告的事项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>依据《政府信息公开信息处理费管理办法》（国办函〔2020〕109号）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"/>
        </w:rPr>
        <w:t>，202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"/>
        </w:rPr>
        <w:t>年度北京市通州区城市管理指挥中心收取信息处理费情况为：发出收费通知的件数为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"/>
        </w:rPr>
        <w:t>件，总金额为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"/>
        </w:rPr>
        <w:t>元，实际收取的总金额为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/>
          <w:color w:val="000000"/>
          <w:sz w:val="32"/>
          <w:szCs w:val="32"/>
          <w:lang w:val="en"/>
        </w:rPr>
        <w:t>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rPr>
          <w:rFonts w:hint="eastAsia" w:ascii="仿宋_GB2312" w:hAnsi="仿宋_GB2312" w:eastAsia="仿宋_GB2312"/>
          <w:color w:val="000000"/>
          <w:sz w:val="32"/>
          <w:szCs w:val="32"/>
          <w:lang w:val="en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"/>
        </w:rPr>
        <w:t>北京市通州区人民政府网站网址为http://www.bjtzh.gov.cn/，如需了解更多政府信息，请登录查询。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ourier New">
    <w:altName w:val="DejaVu Sans"/>
    <w:panose1 w:val="02070309020205020404"/>
    <w:charset w:val="00"/>
    <w:family w:val="modern"/>
    <w:pitch w:val="default"/>
    <w:sig w:usb0="00000000" w:usb1="00000000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rPr>
        <w:sz w:val="18"/>
      </w:rPr>
    </w:pPr>
    <w:r>
      <w:rPr>
        <w:sz w:val="18"/>
      </w:rPr>
      <mc:AlternateContent>
        <mc:Choice Requires="wps">
          <w:drawing>
            <wp:anchor distT="0" distB="0" distL="0" distR="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9"/>
                            <w:tabs>
                              <w:tab w:val="clear" w:pos="4153"/>
                              <w:tab w:val="clear" w:pos="8306"/>
                            </w:tabs>
                            <w:rPr>
                              <w:rFonts w:hint="eastAsia" w:ascii="仿宋_GB2312" w:hAnsi="仿宋_GB2312" w:eastAsia="仿宋_GB2312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="仿宋_GB2312" w:hAnsi="仿宋_GB2312" w:eastAsia="仿宋_GB2312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vert="horz" wrap="square" lIns="91440" tIns="45720" rIns="91440" bIns="45720" anchor="t" anchorCtr="false"/>
                  </wps:wsp>
                </a:graphicData>
              </a:graphic>
            </wp:anchor>
          </w:drawing>
        </mc:Choice>
        <mc:Fallback>
          <w:pict>
            <v:rect id="_x0000_s2049" o:spid="_x0000_s1026" o:spt="1" style="position:absolute;left:0pt;margin-top:0pt;height:144pt;width:144pt;mso-position-horizontal:center;mso-position-horizontal-relative:margin;z-index:524288;mso-width-relative:page;mso-height-relative:page;" filled="f" stroked="f" coordsize="21600,21600" o:gfxdata="UEsFBgAAAAAAAAAAAAAAAAAAAAAAAFBLAwQKAAAAAACHTuJAAAAAAAAAAAAAAAAABAAAAGRycy9Q&#10;SwMEFAAAAAgAh07iQNjGzwTTAAAABQEAAA8AAABkcnMvZG93bnJldi54bWxNj0FLw0AQhe+C/2EZ&#10;wYvYTXuQELPpoSAWEYqp9jzNTpPQ7Gya3Sb13zuKoJdhHm948718eXGdGmkIrWcD81kCirjytuXa&#10;wPv26T4FFSKyxc4zGfikAMvi+irHzPqJ32gsY60khEOGBpoY+0zrUDXkMMx8TyzewQ8Oo8ih1nbA&#10;ScJdpxdJ8qAdtiwfGuxp1VB1LM/OwFRtxt329Vlv7nZrz6f1aVV+vBhzezNPHkFFusS/Y/jGF3Qo&#10;hGnvz2yD6gxIkfgzxVukqcj976KLXP+nL74AUEsDBBQAAAAIAIdO4kDR7ksJoQEAADwDAAAOAAAA&#10;ZHJzL2Uyb0RvYy54bWytUk1v2zAMvQ/YfxB0X+wYaZcacXpYsaFAsRXodi4UmYoNWB8j1djZrx8l&#10;p2mw3Yb5IJMm9fzeIze3kx3EAZB67xq5XJRSgNO+7d2+kT++f/6wloKicq0avINGHoHk7fb9u80Y&#10;aqh854cWUDCIo3oMjexiDHVRkO7AKlr4AI6LxqNVkVPcFy2qkdHtUFRleV2MHtuAXgMRf72bi3Kb&#10;8Y0BHb8ZQxDF0EjmFvOJ+dyls9huVL1HFbpen2iof2BhVe/4p2eoOxWVeMH+Lyjba/TkTVxobwtv&#10;TK8ha2A1y/IPNU+dCpC1sDkUzjbR/4PVXw+PKPqWZyeFU5ZH9DyV/DxTVa5ukj9joJrbnsIjnjLi&#10;MImdDNr0Zhliyp4ez57CFIXmj8t1tV6XbL3m2mvCOMXb9YAUv4C3IgWNRB5a9lIdHijOra8tfC/R&#10;mQmkKE676cRq59sja0E/D5mXkoPO4y8pRh5wI+nni0KQYrh37ODNcrVKG5GT1dXHihO8rOwuK8pp&#10;hmpklGIOP0XOjBoIkkeZFY8o6zqtU9qByzx3vS399j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DY&#10;xs8E0wAAAAUBAAAPAAAAAAAAAAEAIAAAADgAAABkcnMvZG93bnJldi54bWxQSwECFAAUAAAACACH&#10;TuJA0e5LCaEBAAA8AwAADgAAAAAAAAABACAAAAA4AQAAZHJzL2Uyb0RvYy54bWxQSwUGAAAAAAYA&#10;BgBZAQAASwUAAAAA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pStyle w:val="9"/>
                      <w:tabs>
                        <w:tab w:val="clear" w:pos="4153"/>
                        <w:tab w:val="clear" w:pos="8306"/>
                      </w:tabs>
                      <w:rPr>
                        <w:rFonts w:hint="eastAsia" w:ascii="仿宋_GB2312" w:hAnsi="仿宋_GB2312" w:eastAsia="仿宋_GB2312"/>
                        <w:sz w:val="24"/>
                        <w:szCs w:val="24"/>
                      </w:rPr>
                    </w:pPr>
                    <w:r>
                      <w:rPr>
                        <w:rFonts w:hint="eastAsia" w:ascii="仿宋_GB2312" w:hAnsi="仿宋_GB2312" w:eastAsia="仿宋_GB2312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仿宋_GB2312" w:hAnsi="仿宋_GB2312" w:eastAsia="仿宋_GB2312"/>
                        <w:sz w:val="24"/>
                        <w:szCs w:val="24"/>
                      </w:rPr>
                      <w:fldChar w:fldCharType="end"/>
                    </w:r>
                  </w:p>
                  <w:p/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FBF937"/>
    <w:multiLevelType w:val="singleLevel"/>
    <w:tmpl w:val="F8FBF93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documentProtection w:enforcement="0"/>
  <w:defaultTabStop w:val="420"/>
  <w:displayHorizontalDrawingGridEvery w:val="1"/>
  <w:displayVerticalDrawingGridEvery w:val="1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FF6F9DB5"/>
    <w:rsid w:val="FF7CC1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  <w:style w:type="paragraph" w:customStyle="1" w:styleId="6">
    <w:name w:val="批注文字1"/>
    <w:basedOn w:val="1"/>
    <w:qFormat/>
    <w:uiPriority w:val="0"/>
    <w:pPr>
      <w:jc w:val="left"/>
    </w:pPr>
  </w:style>
  <w:style w:type="paragraph" w:customStyle="1" w:styleId="7">
    <w:name w:val="目录 31"/>
    <w:basedOn w:val="1"/>
    <w:qFormat/>
    <w:uiPriority w:val="0"/>
    <w:pPr>
      <w:ind w:left="840" w:leftChars="400"/>
    </w:pPr>
  </w:style>
  <w:style w:type="paragraph" w:customStyle="1" w:styleId="8">
    <w:name w:val="纯文本1"/>
    <w:basedOn w:val="1"/>
    <w:qFormat/>
    <w:uiPriority w:val="0"/>
    <w:rPr>
      <w:rFonts w:ascii="宋体" w:hAnsi="Courier New"/>
    </w:rPr>
  </w:style>
  <w:style w:type="paragraph" w:customStyle="1" w:styleId="9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10">
    <w:name w:val="页眉1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2025-01-13T17:13:12Z</dcterms:created>
  <dc:creator>user</dc:creator>
  <cp:lastModifiedBy>user</cp:lastModifiedBy>
  <dcterms:modified xsi:type="dcterms:W3CDTF">2025-01-13T17:25:05Z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