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北京通州文化旅游区管理委员会</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14"/>
        <w:widowControl/>
        <w:shd w:val="clear" w:color="auto" w:fill="FFFFFF"/>
        <w:spacing w:line="560" w:lineRule="atLeast"/>
        <w:ind w:firstLine="708" w:firstLineChars="211"/>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2021年,北京通州文化旅游区管理委员会在区政府信息公开办公室的正确领导下,</w:t>
      </w:r>
      <w:r>
        <w:rPr>
          <w:rFonts w:ascii="仿宋_GB2312" w:hAnsi="宋体" w:eastAsia="仿宋_GB2312" w:cs="宋体"/>
          <w:spacing w:val="8"/>
          <w:kern w:val="0"/>
          <w:sz w:val="32"/>
          <w:szCs w:val="32"/>
        </w:rPr>
        <w:t xml:space="preserve"> 坚持把《政府信息公开条例》作为依法推进政府信息公开的根本遵循，</w:t>
      </w:r>
      <w:r>
        <w:rPr>
          <w:rFonts w:hint="eastAsia" w:ascii="仿宋_GB2312" w:hAnsi="宋体" w:eastAsia="仿宋_GB2312" w:cs="宋体"/>
          <w:spacing w:val="8"/>
          <w:kern w:val="0"/>
          <w:sz w:val="32"/>
          <w:szCs w:val="32"/>
        </w:rPr>
        <w:t>紧抓平台</w:t>
      </w:r>
      <w:r>
        <w:rPr>
          <w:rFonts w:ascii="仿宋_GB2312" w:hAnsi="宋体" w:eastAsia="仿宋_GB2312" w:cs="宋体"/>
          <w:spacing w:val="8"/>
          <w:kern w:val="0"/>
          <w:sz w:val="32"/>
          <w:szCs w:val="32"/>
        </w:rPr>
        <w:t>度建设，</w:t>
      </w:r>
      <w:r>
        <w:rPr>
          <w:rFonts w:hint="eastAsia" w:ascii="仿宋_GB2312" w:hAnsi="宋体" w:eastAsia="仿宋_GB2312" w:cs="宋体"/>
          <w:spacing w:val="8"/>
          <w:kern w:val="0"/>
          <w:sz w:val="32"/>
          <w:szCs w:val="32"/>
        </w:rPr>
        <w:t>健全机构组织,加强专业培训，拓宽信息渠道，</w:t>
      </w:r>
      <w:r>
        <w:rPr>
          <w:rFonts w:ascii="仿宋_GB2312" w:hAnsi="宋体" w:eastAsia="仿宋_GB2312" w:cs="宋体"/>
          <w:spacing w:val="8"/>
          <w:kern w:val="0"/>
          <w:sz w:val="32"/>
          <w:szCs w:val="32"/>
        </w:rPr>
        <w:t>不断提升政务公开工作的科学化、规范化水平</w:t>
      </w:r>
      <w:r>
        <w:rPr>
          <w:rFonts w:hint="eastAsia" w:ascii="仿宋_GB2312" w:hAnsi="宋体" w:eastAsia="仿宋_GB2312" w:cs="宋体"/>
          <w:spacing w:val="8"/>
          <w:kern w:val="0"/>
          <w:sz w:val="32"/>
          <w:szCs w:val="32"/>
        </w:rPr>
        <w:t>,积极向社会各界提供有价值的政务信息,较好地满足了广大市民对文化旅游区工作的信息需求。  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  政府信息主动公开、依申请公开、部门工作动态等基本情况</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xml:space="preserve">    1.主动公开政府信息情况:2021年，我单位共计主动公开政府信息数量2条,具体包括财政预算决算、“三公经费”和行政经费等内容。     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xml:space="preserve">    2.依申请公开政府信息情况:202</w:t>
      </w:r>
      <w:r>
        <w:rPr>
          <w:rFonts w:hint="eastAsia" w:ascii="仿宋_GB2312" w:hAnsi="宋体" w:eastAsia="仿宋_GB2312" w:cs="宋体"/>
          <w:spacing w:val="8"/>
          <w:kern w:val="0"/>
          <w:sz w:val="32"/>
          <w:szCs w:val="32"/>
          <w:lang w:val="en-US" w:eastAsia="zh-CN"/>
        </w:rPr>
        <w:t>1</w:t>
      </w:r>
      <w:r>
        <w:rPr>
          <w:rFonts w:hint="eastAsia" w:ascii="仿宋_GB2312" w:hAnsi="宋体" w:eastAsia="仿宋_GB2312" w:cs="宋体"/>
          <w:spacing w:val="8"/>
          <w:kern w:val="0"/>
          <w:sz w:val="32"/>
          <w:szCs w:val="32"/>
        </w:rPr>
        <w:t>年,我单位共计接到依申请公开信息数量1条，并按照依申请公开要求在政府信息公开网站公开。</w:t>
      </w:r>
    </w:p>
    <w:p>
      <w:pPr>
        <w:pStyle w:val="14"/>
        <w:widowControl/>
        <w:shd w:val="clear" w:color="auto" w:fill="FFFFFF"/>
        <w:spacing w:line="560" w:lineRule="atLeast"/>
        <w:ind w:firstLine="672"/>
        <w:jc w:val="left"/>
        <w:rPr>
          <w:rFonts w:ascii="仿宋_GB2312" w:eastAsia="仿宋_GB2312"/>
          <w:sz w:val="32"/>
          <w:szCs w:val="32"/>
        </w:rPr>
      </w:pPr>
      <w:r>
        <w:rPr>
          <w:rFonts w:hint="eastAsia" w:ascii="仿宋_GB2312" w:hAnsi="宋体" w:eastAsia="仿宋_GB2312" w:cs="宋体"/>
          <w:spacing w:val="8"/>
          <w:kern w:val="0"/>
          <w:sz w:val="32"/>
          <w:szCs w:val="32"/>
        </w:rPr>
        <w:t>3.部门工作动态信息情况：202</w:t>
      </w:r>
      <w:r>
        <w:rPr>
          <w:rFonts w:hint="eastAsia" w:ascii="仿宋_GB2312" w:hAnsi="宋体" w:eastAsia="仿宋_GB2312" w:cs="宋体"/>
          <w:spacing w:val="8"/>
          <w:kern w:val="0"/>
          <w:sz w:val="32"/>
          <w:szCs w:val="32"/>
          <w:lang w:val="en-US" w:eastAsia="zh-CN"/>
        </w:rPr>
        <w:t>1</w:t>
      </w:r>
      <w:bookmarkStart w:id="0" w:name="_GoBack"/>
      <w:bookmarkEnd w:id="0"/>
      <w:r>
        <w:rPr>
          <w:rFonts w:hint="eastAsia" w:ascii="仿宋_GB2312" w:hAnsi="宋体" w:eastAsia="仿宋_GB2312" w:cs="宋体"/>
          <w:spacing w:val="8"/>
          <w:kern w:val="0"/>
          <w:sz w:val="32"/>
          <w:szCs w:val="32"/>
        </w:rPr>
        <w:t>年，我单位共发布工作动态</w:t>
      </w:r>
      <w:r>
        <w:rPr>
          <w:rFonts w:hint="eastAsia" w:ascii="仿宋_GB2312" w:eastAsia="仿宋_GB2312"/>
          <w:sz w:val="32"/>
          <w:szCs w:val="32"/>
        </w:rPr>
        <w:t>55篇，其中发布党建工作16篇，本单位各部门工作动态39篇，及时准确的向公众展示文旅区管委会的工作成果。</w:t>
      </w:r>
    </w:p>
    <w:p>
      <w:pPr>
        <w:pStyle w:val="14"/>
        <w:widowControl/>
        <w:shd w:val="clear" w:color="auto" w:fill="FFFFFF"/>
        <w:spacing w:line="560" w:lineRule="atLeast"/>
        <w:ind w:firstLine="672"/>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4、行政复议和诉讼情况:无。     </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10"/>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现行有效件</w:t>
            </w:r>
            <w:r>
              <w:rPr>
                <w:rFonts w:hint="eastAsia" w:ascii="宋体" w:hAnsi="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规章</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cs="Calibri"/>
                <w:kern w:val="0"/>
                <w:szCs w:val="21"/>
              </w:rPr>
              <w:t> </w:t>
            </w:r>
            <w:r>
              <w:rPr>
                <w:rFonts w:hint="eastAsia" w:cs="Calibri"/>
                <w:kern w:val="0"/>
                <w:szCs w:val="21"/>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行政规范性文件</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cs="宋体"/>
                <w:color w:val="000000"/>
                <w:kern w:val="0"/>
                <w:sz w:val="20"/>
                <w:szCs w:val="20"/>
              </w:rPr>
              <w:t> 　0</w:t>
            </w:r>
          </w:p>
        </w:tc>
        <w:tc>
          <w:tcPr>
            <w:tcW w:w="2435" w:type="dxa"/>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cs="Calibri"/>
                <w:kern w:val="0"/>
                <w:szCs w:val="21"/>
              </w:rPr>
              <w:t> </w:t>
            </w:r>
            <w:r>
              <w:rPr>
                <w:rFonts w:hint="eastAsia" w:cs="Calibri"/>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cs="Calibri"/>
                <w:kern w:val="0"/>
                <w:szCs w:val="21"/>
              </w:rPr>
              <w:t> </w:t>
            </w:r>
            <w:r>
              <w:rPr>
                <w:rFonts w:hint="eastAsia" w:cs="Calibri"/>
                <w:kern w:val="0"/>
                <w:szCs w:val="21"/>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cs="宋体"/>
                <w:color w:val="000000"/>
                <w:kern w:val="0"/>
                <w:sz w:val="20"/>
                <w:szCs w:val="20"/>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noWrap/>
            <w:tcMar>
              <w:left w:w="57" w:type="dxa"/>
              <w:right w:w="57" w:type="dxa"/>
            </w:tcMar>
            <w:vAlign w:val="center"/>
          </w:tcPr>
          <w:p>
            <w:pPr>
              <w:widowControl/>
              <w:jc w:val="left"/>
            </w:pPr>
            <w:r>
              <w:rPr>
                <w:rFonts w:hint="eastAsia" w:ascii="宋体" w:hAnsi="宋体" w:cs="宋体"/>
                <w:color w:val="000000"/>
                <w:kern w:val="0"/>
                <w:sz w:val="20"/>
                <w:szCs w:val="20"/>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center"/>
            </w:pPr>
            <w:r>
              <w:rPr>
                <w:rFonts w:hint="eastAsia" w:ascii="宋体" w:hAnsi="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shd w:val="clear" w:color="auto" w:fill="DDEBF7"/>
            <w:noWrap/>
            <w:tcMar>
              <w:left w:w="57" w:type="dxa"/>
              <w:right w:w="57" w:type="dxa"/>
            </w:tcMar>
            <w:vAlign w:val="center"/>
          </w:tcPr>
          <w:p>
            <w:pPr>
              <w:widowControl/>
              <w:jc w:val="center"/>
            </w:pPr>
            <w:r>
              <w:rPr>
                <w:rFonts w:hint="eastAsia" w:ascii="宋体" w:hAnsi="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noWrap/>
            <w:tcMar>
              <w:left w:w="57" w:type="dxa"/>
              <w:right w:w="57" w:type="dxa"/>
            </w:tcMar>
            <w:vAlign w:val="center"/>
          </w:tcPr>
          <w:p>
            <w:pPr>
              <w:rPr>
                <w:rFonts w:ascii="宋体"/>
                <w:sz w:val="24"/>
              </w:rPr>
            </w:pPr>
            <w:r>
              <w:rPr>
                <w:rFonts w:hint="eastAsia" w:ascii="宋体"/>
                <w:sz w:val="24"/>
              </w:rPr>
              <w:t>0</w:t>
            </w:r>
          </w:p>
        </w:tc>
      </w:tr>
    </w:tbl>
    <w:p>
      <w:pPr>
        <w:pStyle w:val="2"/>
      </w:pPr>
    </w:p>
    <w:p>
      <w:pPr>
        <w:pStyle w:val="2"/>
      </w:pPr>
    </w:p>
    <w:p>
      <w:pPr>
        <w:pStyle w:val="2"/>
      </w:pPr>
    </w:p>
    <w:p>
      <w:pPr>
        <w:pStyle w:val="2"/>
      </w:pPr>
    </w:p>
    <w:p>
      <w:pPr>
        <w:pStyle w:val="2"/>
      </w:pPr>
    </w:p>
    <w:p>
      <w:pPr>
        <w:pStyle w:val="2"/>
      </w:pPr>
    </w:p>
    <w:p>
      <w:pPr>
        <w:pStyle w:val="2"/>
      </w:pP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8"/>
        <w:shd w:val="clear" w:color="auto" w:fill="FFFFFF"/>
        <w:spacing w:before="0" w:beforeAutospacing="0" w:after="0" w:afterAutospacing="0"/>
        <w:ind w:firstLine="420"/>
        <w:jc w:val="both"/>
        <w:rPr>
          <w:rFonts w:hint="default"/>
          <w:color w:val="333333"/>
        </w:rPr>
      </w:pPr>
    </w:p>
    <w:tbl>
      <w:tblPr>
        <w:tblStyle w:val="10"/>
        <w:tblW w:w="101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5"/>
        <w:gridCol w:w="959"/>
        <w:gridCol w:w="3406"/>
        <w:gridCol w:w="714"/>
        <w:gridCol w:w="714"/>
        <w:gridCol w:w="714"/>
        <w:gridCol w:w="714"/>
        <w:gridCol w:w="714"/>
        <w:gridCol w:w="714"/>
        <w:gridCol w:w="71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tcMar>
              <w:left w:w="108" w:type="dxa"/>
              <w:right w:w="108" w:type="dxa"/>
            </w:tcMar>
            <w:vAlign w:val="center"/>
          </w:tcPr>
          <w:p>
            <w:pPr>
              <w:widowControl/>
              <w:jc w:val="left"/>
            </w:pPr>
            <w:r>
              <w:rPr>
                <w:rFonts w:ascii="楷体" w:hAnsi="楷体" w:eastAsia="楷体" w:cs="楷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tcMar>
              <w:left w:w="108" w:type="dxa"/>
              <w:right w:w="108" w:type="dxa"/>
            </w:tcMar>
            <w:vAlign w:val="center"/>
          </w:tcPr>
          <w:p>
            <w:pPr>
              <w:rPr>
                <w:rFonts w:ascii="宋体"/>
                <w:sz w:val="24"/>
              </w:rPr>
            </w:pPr>
          </w:p>
        </w:tc>
        <w:tc>
          <w:tcPr>
            <w:tcW w:w="714" w:type="dxa"/>
            <w:vMerge w:val="restart"/>
            <w:tcBorders>
              <w:top w:val="nil"/>
              <w:left w:val="nil"/>
              <w:bottom w:val="single" w:color="auto" w:sz="8" w:space="0"/>
              <w:right w:val="single" w:color="auto" w:sz="8" w:space="0"/>
            </w:tcBorders>
            <w:shd w:val="clear" w:color="auto" w:fill="9BC2E6"/>
            <w:noWrap/>
            <w:tcMar>
              <w:left w:w="57" w:type="dxa"/>
              <w:right w:w="57" w:type="dxa"/>
            </w:tcMar>
            <w:vAlign w:val="center"/>
          </w:tcPr>
          <w:p>
            <w:pPr>
              <w:widowControl/>
              <w:jc w:val="center"/>
            </w:pPr>
            <w:r>
              <w:rPr>
                <w:rFonts w:hint="eastAsia" w:ascii="宋体" w:hAnsi="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tcMar>
              <w:left w:w="108" w:type="dxa"/>
              <w:right w:w="108" w:type="dxa"/>
            </w:tcMar>
            <w:vAlign w:val="center"/>
          </w:tcPr>
          <w:p>
            <w:pPr>
              <w:rPr>
                <w:rFonts w:ascii="宋体"/>
                <w:sz w:val="24"/>
              </w:rPr>
            </w:pPr>
          </w:p>
        </w:tc>
        <w:tc>
          <w:tcPr>
            <w:tcW w:w="714" w:type="dxa"/>
            <w:vMerge w:val="continue"/>
            <w:tcBorders>
              <w:top w:val="nil"/>
              <w:left w:val="nil"/>
              <w:bottom w:val="single" w:color="auto" w:sz="8" w:space="0"/>
              <w:right w:val="single" w:color="auto" w:sz="8" w:space="0"/>
            </w:tcBorders>
            <w:shd w:val="clear" w:color="auto" w:fill="9BC2E6"/>
            <w:noWrap/>
            <w:tcMar>
              <w:left w:w="57" w:type="dxa"/>
              <w:right w:w="57" w:type="dxa"/>
            </w:tcMar>
            <w:vAlign w:val="center"/>
          </w:tcPr>
          <w:p>
            <w:pPr>
              <w:rPr>
                <w:rFonts w:ascii="宋体"/>
                <w:sz w:val="24"/>
              </w:rPr>
            </w:pPr>
          </w:p>
        </w:tc>
        <w:tc>
          <w:tcPr>
            <w:tcW w:w="714" w:type="dxa"/>
            <w:tcBorders>
              <w:top w:val="nil"/>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商业</w:t>
            </w:r>
          </w:p>
          <w:p>
            <w:pPr>
              <w:widowControl/>
              <w:jc w:val="center"/>
            </w:pPr>
            <w:r>
              <w:rPr>
                <w:rFonts w:hint="eastAsia" w:ascii="宋体" w:hAnsi="宋体" w:cs="宋体"/>
                <w:kern w:val="0"/>
                <w:sz w:val="20"/>
                <w:szCs w:val="20"/>
              </w:rPr>
              <w:t>企业</w:t>
            </w:r>
          </w:p>
        </w:tc>
        <w:tc>
          <w:tcPr>
            <w:tcW w:w="714" w:type="dxa"/>
            <w:tcBorders>
              <w:top w:val="nil"/>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科研</w:t>
            </w:r>
          </w:p>
          <w:p>
            <w:pPr>
              <w:widowControl/>
              <w:jc w:val="center"/>
            </w:pPr>
            <w:r>
              <w:rPr>
                <w:rFonts w:hint="eastAsia" w:ascii="宋体" w:hAnsi="宋体" w:cs="宋体"/>
                <w:kern w:val="0"/>
                <w:sz w:val="20"/>
                <w:szCs w:val="20"/>
              </w:rPr>
              <w:t>机构</w:t>
            </w:r>
          </w:p>
        </w:tc>
        <w:tc>
          <w:tcPr>
            <w:tcW w:w="714" w:type="dxa"/>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shd w:val="clear" w:color="auto" w:fill="9BC2E6"/>
            <w:noWrap/>
            <w:tcMar>
              <w:left w:w="108" w:type="dxa"/>
              <w:right w:w="108" w:type="dxa"/>
            </w:tcMar>
            <w:vAlign w:val="center"/>
          </w:tcPr>
          <w:p>
            <w:pPr>
              <w:widowControl/>
              <w:jc w:val="center"/>
            </w:pPr>
            <w:r>
              <w:rPr>
                <w:rFonts w:hint="eastAsia" w:ascii="宋体" w:hAnsi="宋体" w:cs="宋体"/>
                <w:kern w:val="0"/>
                <w:sz w:val="20"/>
                <w:szCs w:val="20"/>
              </w:rPr>
              <w:t>其他</w:t>
            </w:r>
          </w:p>
        </w:tc>
        <w:tc>
          <w:tcPr>
            <w:tcW w:w="714" w:type="dxa"/>
            <w:vMerge w:val="continue"/>
            <w:tcBorders>
              <w:top w:val="single" w:color="auto" w:sz="8" w:space="0"/>
              <w:left w:val="nil"/>
              <w:bottom w:val="outset" w:color="auto" w:sz="8" w:space="0"/>
              <w:right w:val="single" w:color="auto" w:sz="8" w:space="0"/>
            </w:tcBorders>
            <w:shd w:val="clear" w:color="auto" w:fill="9BC2E6"/>
            <w:noWrap/>
            <w:tcMar>
              <w:left w:w="108" w:type="dxa"/>
              <w:right w:w="108"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1</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1</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三、本年度办理结果</w:t>
            </w:r>
          </w:p>
        </w:tc>
        <w:tc>
          <w:tcPr>
            <w:tcW w:w="4365" w:type="dxa"/>
            <w:gridSpan w:val="2"/>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（一）予以公开</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1</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single" w:color="auto" w:sz="8" w:space="0"/>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（二）部分公开</w:t>
            </w:r>
            <w:r>
              <w:rPr>
                <w:rFonts w:ascii="楷体" w:hAnsi="楷体" w:eastAsia="楷体" w:cs="楷体"/>
                <w:kern w:val="0"/>
                <w:sz w:val="20"/>
                <w:szCs w:val="20"/>
              </w:rPr>
              <w:t>（区分处理的，只计这一情形，不计其他情形）</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（三）不予公开</w:t>
            </w: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1.属于国家秘密</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single" w:color="auto" w:sz="8" w:space="0"/>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2.其他法律行政法规禁止公开</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3.危及“三安全一稳定”</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4.保护第三方合法权益</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5.属于三类内部事务信息</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6.属于四类过程性信息</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7.属于行政执法案卷</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8.属于行政查询事项</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（四）无法提供</w:t>
            </w: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1.本机关不掌握相关政府信息</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2.没有现成信息需要另行制作</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3.补正后申请内容仍不明确</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restart"/>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（五）不予处理</w:t>
            </w: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1.信访举报投诉类申请</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2.重复申请</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3.要求提供公开出版物</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tcPr>
          <w:p>
            <w:pPr>
              <w:widowControl/>
              <w:jc w:val="left"/>
            </w:pPr>
            <w:r>
              <w:rPr>
                <w:rFonts w:hint="eastAsia" w:ascii="宋体" w:hAnsi="宋体" w:cs="宋体"/>
                <w:kern w:val="0"/>
                <w:sz w:val="20"/>
                <w:szCs w:val="20"/>
              </w:rPr>
              <w:t>4.无正当理由大量反复申请</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nil"/>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outset" w:color="auto" w:sz="8" w:space="0"/>
              <w:right w:val="single" w:color="auto" w:sz="8" w:space="0"/>
            </w:tcBorders>
            <w:shd w:val="clear" w:color="auto" w:fill="DDEBF7"/>
            <w:noWrap/>
            <w:tcMar>
              <w:left w:w="57" w:type="dxa"/>
              <w:right w:w="57" w:type="dxa"/>
            </w:tcMar>
            <w:vAlign w:val="center"/>
          </w:tcPr>
          <w:p>
            <w:pPr>
              <w:widowControl/>
            </w:pPr>
            <w:r>
              <w:rPr>
                <w:rFonts w:hint="eastAsia" w:ascii="宋体" w:hAnsi="宋体" w:cs="宋体"/>
                <w:kern w:val="0"/>
                <w:sz w:val="20"/>
                <w:szCs w:val="20"/>
              </w:rPr>
              <w:t>5.要求行政机关确认或重新出具已获取信息</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outset"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outset"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restart"/>
            <w:tcBorders>
              <w:top w:val="outset" w:color="auto" w:sz="8" w:space="0"/>
              <w:left w:val="nil"/>
              <w:bottom w:val="outset"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（六）其他处理</w:t>
            </w:r>
          </w:p>
        </w:tc>
        <w:tc>
          <w:tcPr>
            <w:tcW w:w="3406" w:type="dxa"/>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pPr>
            <w:r>
              <w:rPr>
                <w:rFonts w:hint="eastAsia" w:ascii="宋体" w:hAnsi="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pPr>
            <w:r>
              <w:rPr>
                <w:rFonts w:hint="eastAsia" w:ascii="宋体" w:hAnsi="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959" w:type="dxa"/>
            <w:vMerge w:val="continue"/>
            <w:tcBorders>
              <w:top w:val="outset" w:color="auto" w:sz="8" w:space="0"/>
              <w:left w:val="nil"/>
              <w:bottom w:val="outset" w:color="auto" w:sz="8" w:space="0"/>
              <w:right w:val="single" w:color="auto" w:sz="8" w:space="0"/>
            </w:tcBorders>
            <w:shd w:val="clear" w:color="auto" w:fill="DDEBF7"/>
            <w:noWrap/>
            <w:tcMar>
              <w:left w:w="57" w:type="dxa"/>
              <w:right w:w="57" w:type="dxa"/>
            </w:tcMar>
            <w:vAlign w:val="center"/>
          </w:tcPr>
          <w:p>
            <w:pPr>
              <w:rPr>
                <w:rFonts w:ascii="宋体"/>
                <w:sz w:val="24"/>
              </w:rPr>
            </w:pPr>
          </w:p>
        </w:tc>
        <w:tc>
          <w:tcPr>
            <w:tcW w:w="3406" w:type="dxa"/>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3.其他</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hint="eastAsia" w:cs="Calibri"/>
                <w:kern w:val="0"/>
                <w:sz w:val="20"/>
                <w:szCs w:val="20"/>
              </w:rPr>
              <w:t>0</w:t>
            </w:r>
            <w:r>
              <w:rPr>
                <w:rFonts w:cs="Calibri"/>
                <w:kern w:val="0"/>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BDD7EE"/>
            <w:noWrap/>
            <w:tcMar>
              <w:left w:w="57" w:type="dxa"/>
              <w:right w:w="57" w:type="dxa"/>
            </w:tcMar>
            <w:vAlign w:val="center"/>
          </w:tcPr>
          <w:p>
            <w:pPr>
              <w:rPr>
                <w:rFonts w:ascii="宋体"/>
                <w:sz w:val="24"/>
              </w:rPr>
            </w:pPr>
          </w:p>
        </w:tc>
        <w:tc>
          <w:tcPr>
            <w:tcW w:w="4365" w:type="dxa"/>
            <w:gridSpan w:val="2"/>
            <w:tcBorders>
              <w:top w:val="nil"/>
              <w:left w:val="nil"/>
              <w:bottom w:val="single" w:color="auto" w:sz="8" w:space="0"/>
              <w:right w:val="single" w:color="auto" w:sz="8" w:space="0"/>
            </w:tcBorders>
            <w:shd w:val="clear" w:color="auto" w:fill="DDEBF7"/>
            <w:noWrap/>
            <w:tcMar>
              <w:left w:w="57" w:type="dxa"/>
              <w:right w:w="57" w:type="dxa"/>
            </w:tcMar>
            <w:vAlign w:val="center"/>
          </w:tcPr>
          <w:p>
            <w:pPr>
              <w:widowControl/>
              <w:jc w:val="left"/>
            </w:pPr>
            <w:r>
              <w:rPr>
                <w:rFonts w:hint="eastAsia" w:ascii="宋体" w:hAnsi="宋体" w:cs="宋体"/>
                <w:kern w:val="0"/>
                <w:sz w:val="20"/>
                <w:szCs w:val="20"/>
              </w:rPr>
              <w:t>（七）总计</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1</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hint="eastAsia" w:cs="Calibri"/>
                <w:kern w:val="0"/>
                <w:sz w:val="20"/>
                <w:szCs w:val="20"/>
              </w:rPr>
              <w:t>0</w:t>
            </w:r>
            <w:r>
              <w:rPr>
                <w:rFonts w:cs="Calibri"/>
                <w:kern w:val="0"/>
                <w:sz w:val="20"/>
                <w:szCs w:val="20"/>
              </w:rPr>
              <w:t> </w:t>
            </w:r>
          </w:p>
        </w:tc>
        <w:tc>
          <w:tcPr>
            <w:tcW w:w="714" w:type="dxa"/>
            <w:tcBorders>
              <w:top w:val="nil"/>
              <w:left w:val="nil"/>
              <w:bottom w:val="single" w:color="auto" w:sz="8" w:space="0"/>
              <w:right w:val="single" w:color="auto" w:sz="8" w:space="0"/>
            </w:tcBorders>
            <w:noWrap/>
            <w:tcMar>
              <w:left w:w="57" w:type="dxa"/>
              <w:right w:w="57" w:type="dxa"/>
            </w:tcMar>
            <w:vAlign w:val="center"/>
          </w:tcPr>
          <w:p>
            <w:pPr>
              <w:widowControl/>
              <w:jc w:val="center"/>
            </w:pPr>
            <w:r>
              <w:rPr>
                <w:rFonts w:cs="Calibri"/>
                <w:kern w:val="0"/>
                <w:sz w:val="20"/>
                <w:szCs w:val="20"/>
              </w:rPr>
              <w:t> </w:t>
            </w:r>
            <w:r>
              <w:rPr>
                <w:rFonts w:hint="eastAsia" w:cs="Calibri"/>
                <w:kern w:val="0"/>
                <w:sz w:val="20"/>
                <w:szCs w:val="20"/>
              </w:rPr>
              <w:t>0</w:t>
            </w:r>
          </w:p>
        </w:tc>
        <w:tc>
          <w:tcPr>
            <w:tcW w:w="714" w:type="dxa"/>
            <w:tcBorders>
              <w:top w:val="nil"/>
              <w:left w:val="nil"/>
              <w:bottom w:val="single" w:color="auto" w:sz="8" w:space="0"/>
              <w:right w:val="single" w:color="auto" w:sz="8" w:space="0"/>
            </w:tcBorders>
            <w:noWrap/>
            <w:tcMar>
              <w:left w:w="57" w:type="dxa"/>
              <w:right w:w="57" w:type="dxa"/>
            </w:tcMar>
          </w:tcPr>
          <w:p>
            <w:pPr>
              <w:widowControl/>
              <w:jc w:val="center"/>
            </w:pPr>
            <w:r>
              <w:rPr>
                <w:rFonts w:cs="Calibri"/>
                <w:kern w:val="0"/>
                <w:sz w:val="20"/>
                <w:szCs w:val="20"/>
              </w:rPr>
              <w:t> </w:t>
            </w:r>
            <w:r>
              <w:rPr>
                <w:rFonts w:hint="eastAsia" w:cs="Calibri"/>
                <w:kern w:val="0"/>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tcMar>
              <w:left w:w="57" w:type="dxa"/>
              <w:right w:w="57" w:type="dxa"/>
            </w:tcMar>
            <w:vAlign w:val="center"/>
          </w:tcPr>
          <w:p>
            <w:pPr>
              <w:widowControl/>
              <w:jc w:val="left"/>
            </w:pPr>
            <w:r>
              <w:rPr>
                <w:rFonts w:hint="eastAsia" w:ascii="宋体" w:hAnsi="宋体" w:cs="宋体"/>
                <w:kern w:val="0"/>
                <w:sz w:val="20"/>
                <w:szCs w:val="20"/>
              </w:rPr>
              <w:t>四、结转下年度继续办理</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c>
          <w:tcPr>
            <w:tcW w:w="0" w:type="auto"/>
            <w:tcBorders>
              <w:top w:val="outset" w:color="auto" w:sz="6" w:space="0"/>
              <w:left w:val="nil"/>
              <w:bottom w:val="outset" w:color="auto" w:sz="6" w:space="0"/>
              <w:right w:val="outset" w:color="auto" w:sz="6" w:space="0"/>
            </w:tcBorders>
            <w:noWrap/>
            <w:vAlign w:val="center"/>
          </w:tcPr>
          <w:p>
            <w:pPr>
              <w:rPr>
                <w:rFonts w:ascii="宋体"/>
                <w:sz w:val="24"/>
              </w:rPr>
            </w:pPr>
            <w:r>
              <w:rPr>
                <w:rFonts w:hint="eastAsia" w:ascii="宋体"/>
                <w:sz w:val="24"/>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10"/>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tcMar>
              <w:left w:w="108" w:type="dxa"/>
              <w:right w:w="108" w:type="dxa"/>
            </w:tcMar>
            <w:vAlign w:val="center"/>
          </w:tcPr>
          <w:p>
            <w:pPr>
              <w:widowControl/>
              <w:jc w:val="center"/>
            </w:pPr>
            <w:r>
              <w:rPr>
                <w:rFonts w:hint="eastAsia" w:ascii="宋体" w:hAnsi="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tcMar>
              <w:left w:w="108" w:type="dxa"/>
              <w:right w:w="108" w:type="dxa"/>
            </w:tcMar>
            <w:vAlign w:val="center"/>
          </w:tcPr>
          <w:p>
            <w:pPr>
              <w:widowControl/>
              <w:jc w:val="center"/>
            </w:pPr>
            <w:r>
              <w:rPr>
                <w:rFonts w:hint="eastAsia" w:ascii="宋体" w:hAnsi="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widowControl/>
              <w:jc w:val="center"/>
            </w:pPr>
            <w:r>
              <w:rPr>
                <w:rFonts w:hint="eastAsia" w:ascii="宋体" w:hAnsi="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tcMar>
              <w:left w:w="108" w:type="dxa"/>
              <w:right w:w="108" w:type="dxa"/>
            </w:tcMar>
            <w:vAlign w:val="center"/>
          </w:tcPr>
          <w:p>
            <w:pPr>
              <w:widowControl/>
              <w:jc w:val="center"/>
            </w:pPr>
            <w:r>
              <w:rPr>
                <w:rFonts w:hint="eastAsia" w:ascii="宋体" w:hAnsi="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tcMar>
              <w:left w:w="108" w:type="dxa"/>
              <w:right w:w="108" w:type="dxa"/>
            </w:tcMar>
            <w:vAlign w:val="center"/>
          </w:tcPr>
          <w:p>
            <w:pPr>
              <w:widowControl/>
              <w:jc w:val="center"/>
            </w:pPr>
            <w:r>
              <w:rPr>
                <w:rFonts w:hint="eastAsia" w:ascii="宋体" w:hAnsi="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其他</w:t>
            </w:r>
            <w:r>
              <w:rPr>
                <w:rFonts w:hint="eastAsia" w:ascii="宋体" w:hAnsi="宋体" w:cs="宋体"/>
                <w:kern w:val="0"/>
                <w:sz w:val="20"/>
                <w:szCs w:val="20"/>
              </w:rPr>
              <w:br w:type="textWrapping"/>
            </w:r>
            <w:r>
              <w:rPr>
                <w:rFonts w:hint="eastAsia" w:ascii="宋体" w:hAnsi="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结果</w:t>
            </w:r>
            <w:r>
              <w:rPr>
                <w:rFonts w:hint="eastAsia" w:ascii="宋体" w:hAnsi="宋体" w:cs="宋体"/>
                <w:kern w:val="0"/>
                <w:sz w:val="20"/>
                <w:szCs w:val="20"/>
              </w:rPr>
              <w:br w:type="textWrapping"/>
            </w:r>
            <w:r>
              <w:rPr>
                <w:rFonts w:hint="eastAsia" w:ascii="宋体" w:hAnsi="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color w:val="000000"/>
                <w:kern w:val="0"/>
                <w:sz w:val="20"/>
                <w:szCs w:val="20"/>
              </w:rPr>
              <w:t>其他</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kern w:val="0"/>
                <w:sz w:val="20"/>
                <w:szCs w:val="20"/>
              </w:rPr>
              <w:t>尚未</w:t>
            </w:r>
            <w:r>
              <w:rPr>
                <w:rFonts w:hint="eastAsia" w:ascii="宋体" w:hAnsi="宋体" w:cs="宋体"/>
                <w:kern w:val="0"/>
                <w:sz w:val="20"/>
                <w:szCs w:val="20"/>
              </w:rPr>
              <w:br w:type="textWrapping"/>
            </w:r>
            <w:r>
              <w:rPr>
                <w:rFonts w:hint="eastAsia" w:ascii="宋体" w:hAnsi="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宋体" w:hAnsi="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ascii="黑体" w:hAnsi="宋体" w:eastAsia="黑体" w:cs="黑体"/>
                <w:kern w:val="0"/>
                <w:sz w:val="20"/>
                <w:szCs w:val="20"/>
              </w:rPr>
              <w:t>0</w:t>
            </w:r>
          </w:p>
        </w:tc>
        <w:tc>
          <w:tcPr>
            <w:tcW w:w="642"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hint="eastAsia"/>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pPr>
            <w:r>
              <w:rPr>
                <w:rFonts w:ascii="黑体" w:hAnsi="宋体" w:eastAsia="黑体" w:cs="黑体"/>
                <w:kern w:val="0"/>
                <w:sz w:val="20"/>
                <w:szCs w:val="20"/>
              </w:rPr>
              <w:t> </w:t>
            </w:r>
            <w:r>
              <w:rPr>
                <w:rFonts w:hint="eastAsia" w:ascii="黑体" w:hAnsi="宋体" w:eastAsia="黑体" w:cs="黑体"/>
                <w:kern w:val="0"/>
                <w:sz w:val="20"/>
                <w:szCs w:val="20"/>
              </w:rPr>
              <w:t>0</w:t>
            </w:r>
          </w:p>
        </w:tc>
        <w:tc>
          <w:tcPr>
            <w:tcW w:w="643" w:type="dxa"/>
            <w:tcBorders>
              <w:top w:val="nil"/>
              <w:left w:val="single" w:color="auto" w:sz="8" w:space="0"/>
              <w:bottom w:val="single" w:color="auto" w:sz="8" w:space="0"/>
              <w:right w:val="single" w:color="auto" w:sz="8" w:space="0"/>
            </w:tcBorders>
            <w:noWrap/>
            <w:tcMar>
              <w:left w:w="108" w:type="dxa"/>
              <w:right w:w="108" w:type="dxa"/>
            </w:tcMar>
            <w:vAlign w:val="center"/>
          </w:tcPr>
          <w:p>
            <w:pP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2021年,我单位政府信息公开工作虽然取得了一定成果,但也存在部分问题。 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  一是实施信息公开的队伍建设有待加强，还存在少部分人对信息公开工作的重要性认识还不到位。 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  二是信息采集和发布及时性有待加强,信息质量在时效性和及时性上还需进一步提高 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  针对上述问题,2022年我单位将采取以下措施进行改进,充分保障社会各界对文化旅游区工作的知情权和监督权。 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  一是加强队伍建设：持续开展对《政府信息公开条例》和有关政府信息公开文件的培训,进一步增强全管委会工作人员政府信息公开的意识。 </w:t>
      </w:r>
      <w:r>
        <w:rPr>
          <w:rFonts w:hint="eastAsia" w:ascii="仿宋_GB2312" w:hAnsi="宋体" w:eastAsia="仿宋_GB2312" w:cs="宋体"/>
          <w:spacing w:val="8"/>
          <w:kern w:val="0"/>
          <w:sz w:val="32"/>
          <w:szCs w:val="32"/>
        </w:rPr>
        <w:br w:type="textWrapping"/>
      </w:r>
      <w:r>
        <w:rPr>
          <w:rFonts w:hint="eastAsia" w:ascii="仿宋_GB2312" w:hAnsi="宋体" w:eastAsia="仿宋_GB2312" w:cs="宋体"/>
          <w:spacing w:val="8"/>
          <w:kern w:val="0"/>
          <w:sz w:val="32"/>
          <w:szCs w:val="32"/>
        </w:rPr>
        <w:t>  二是在严格审核机制的前提下，提高信息处理的速度：结合日常工作实际,在持续保障信息严谨性的基础上，以社会需求为导向，强化内部协调管理，进一步细化政府信息公开工作责任分工，依法及时公开政府信息。</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ascii="仿宋_GB2312" w:hAnsi="宋体" w:eastAsia="仿宋_GB2312" w:cs="宋体"/>
          <w:color w:val="9BC2E6"/>
          <w:spacing w:val="8"/>
          <w:kern w:val="0"/>
          <w:sz w:val="32"/>
          <w:szCs w:val="32"/>
        </w:rPr>
      </w:pPr>
      <w:r>
        <w:rPr>
          <w:rFonts w:ascii="宋体" w:hAnsi="宋体" w:cs="宋体"/>
          <w:spacing w:val="8"/>
          <w:kern w:val="0"/>
          <w:sz w:val="32"/>
          <w:szCs w:val="32"/>
        </w:rPr>
        <w:t>　</w:t>
      </w:r>
      <w:r>
        <w:rPr>
          <w:rFonts w:ascii="仿宋_GB2312" w:hAnsi="宋体" w:eastAsia="仿宋_GB2312" w:cs="宋体"/>
          <w:spacing w:val="8"/>
          <w:kern w:val="0"/>
          <w:sz w:val="32"/>
          <w:szCs w:val="32"/>
        </w:rPr>
        <w:t>　</w:t>
      </w:r>
      <w:r>
        <w:rPr>
          <w:rFonts w:hint="eastAsia" w:ascii="仿宋_GB2312" w:hAnsi="宋体" w:eastAsia="仿宋_GB2312" w:cs="宋体"/>
          <w:spacing w:val="8"/>
          <w:kern w:val="0"/>
          <w:sz w:val="32"/>
          <w:szCs w:val="32"/>
        </w:rPr>
        <w:t>本单位依据《政府信息公开信息处理费管理办法》收取信息处理费，2021年发出收费通知的件数0件，总金额0元。实际收取的总金额0元。</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D255B57"/>
    <w:rsid w:val="00110FDC"/>
    <w:rsid w:val="001401BA"/>
    <w:rsid w:val="00167E46"/>
    <w:rsid w:val="002858A4"/>
    <w:rsid w:val="002E4A95"/>
    <w:rsid w:val="004305C4"/>
    <w:rsid w:val="00453C63"/>
    <w:rsid w:val="0047786B"/>
    <w:rsid w:val="005C0754"/>
    <w:rsid w:val="006C19E3"/>
    <w:rsid w:val="008A0AFD"/>
    <w:rsid w:val="009F7D6E"/>
    <w:rsid w:val="00A51330"/>
    <w:rsid w:val="00B378CF"/>
    <w:rsid w:val="00C15614"/>
    <w:rsid w:val="00CD5220"/>
    <w:rsid w:val="00EB3A4E"/>
    <w:rsid w:val="00ED5D7C"/>
    <w:rsid w:val="010F5CB0"/>
    <w:rsid w:val="020E7372"/>
    <w:rsid w:val="037D5E10"/>
    <w:rsid w:val="04D1276B"/>
    <w:rsid w:val="07F813C7"/>
    <w:rsid w:val="0A826F96"/>
    <w:rsid w:val="0CBB1A54"/>
    <w:rsid w:val="0E7E0858"/>
    <w:rsid w:val="14470F9D"/>
    <w:rsid w:val="14A17984"/>
    <w:rsid w:val="157214B0"/>
    <w:rsid w:val="17217E52"/>
    <w:rsid w:val="19D73DAC"/>
    <w:rsid w:val="1E3F1448"/>
    <w:rsid w:val="247B746E"/>
    <w:rsid w:val="251C2208"/>
    <w:rsid w:val="27470A1C"/>
    <w:rsid w:val="29AE54B9"/>
    <w:rsid w:val="2CA6446F"/>
    <w:rsid w:val="2CEB6771"/>
    <w:rsid w:val="2EF6189F"/>
    <w:rsid w:val="30FB3D2A"/>
    <w:rsid w:val="32F87D28"/>
    <w:rsid w:val="38780662"/>
    <w:rsid w:val="3D255B57"/>
    <w:rsid w:val="425B2749"/>
    <w:rsid w:val="4C074CEF"/>
    <w:rsid w:val="55CC51C1"/>
    <w:rsid w:val="575437DF"/>
    <w:rsid w:val="5AFA3E4F"/>
    <w:rsid w:val="5DA9301B"/>
    <w:rsid w:val="5DED1905"/>
    <w:rsid w:val="5E282F0F"/>
    <w:rsid w:val="5E7231FE"/>
    <w:rsid w:val="62AD78B3"/>
    <w:rsid w:val="65A63F93"/>
    <w:rsid w:val="666138CB"/>
    <w:rsid w:val="6CEB6ECC"/>
    <w:rsid w:val="74064D96"/>
    <w:rsid w:val="74DE17F1"/>
    <w:rsid w:val="780218A6"/>
    <w:rsid w:val="7C6402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5"/>
    <w:semiHidden/>
    <w:unhideWhenUsed/>
    <w:qFormat/>
    <w:uiPriority w:val="0"/>
    <w:pPr>
      <w:jc w:val="left"/>
    </w:p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8">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9">
    <w:name w:val="annotation subject"/>
    <w:basedOn w:val="3"/>
    <w:next w:val="3"/>
    <w:link w:val="16"/>
    <w:semiHidden/>
    <w:unhideWhenUsed/>
    <w:qFormat/>
    <w:uiPriority w:val="0"/>
    <w:rPr>
      <w:b/>
      <w:bCs/>
    </w:rPr>
  </w:style>
  <w:style w:type="character" w:styleId="12">
    <w:name w:val="Hyperlink"/>
    <w:basedOn w:val="11"/>
    <w:qFormat/>
    <w:uiPriority w:val="0"/>
    <w:rPr>
      <w:color w:val="000000"/>
      <w:u w:val="none"/>
    </w:rPr>
  </w:style>
  <w:style w:type="character" w:styleId="13">
    <w:name w:val="annotation reference"/>
    <w:basedOn w:val="11"/>
    <w:semiHidden/>
    <w:unhideWhenUsed/>
    <w:qFormat/>
    <w:uiPriority w:val="0"/>
    <w:rPr>
      <w:sz w:val="21"/>
      <w:szCs w:val="21"/>
    </w:rPr>
  </w:style>
  <w:style w:type="paragraph" w:styleId="14">
    <w:name w:val="List Paragraph"/>
    <w:basedOn w:val="1"/>
    <w:unhideWhenUsed/>
    <w:qFormat/>
    <w:uiPriority w:val="99"/>
    <w:pPr>
      <w:ind w:firstLine="420" w:firstLineChars="200"/>
    </w:pPr>
  </w:style>
  <w:style w:type="character" w:customStyle="1" w:styleId="15">
    <w:name w:val="批注文字 Char"/>
    <w:basedOn w:val="11"/>
    <w:link w:val="3"/>
    <w:semiHidden/>
    <w:qFormat/>
    <w:uiPriority w:val="0"/>
    <w:rPr>
      <w:rFonts w:ascii="Calibri" w:hAnsi="Calibri"/>
      <w:kern w:val="2"/>
      <w:sz w:val="21"/>
      <w:szCs w:val="24"/>
    </w:rPr>
  </w:style>
  <w:style w:type="character" w:customStyle="1" w:styleId="16">
    <w:name w:val="批注主题 Char"/>
    <w:basedOn w:val="15"/>
    <w:link w:val="9"/>
    <w:semiHidden/>
    <w:uiPriority w:val="0"/>
    <w:rPr>
      <w:rFonts w:ascii="Calibri" w:hAnsi="Calibri"/>
      <w:b/>
      <w:bCs/>
      <w:kern w:val="2"/>
      <w:sz w:val="21"/>
      <w:szCs w:val="24"/>
    </w:rPr>
  </w:style>
  <w:style w:type="character" w:customStyle="1" w:styleId="17">
    <w:name w:val="批注框文本 Char"/>
    <w:basedOn w:val="11"/>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367</Words>
  <Characters>2096</Characters>
  <Lines>17</Lines>
  <Paragraphs>4</Paragraphs>
  <TotalTime>37</TotalTime>
  <ScaleCrop>false</ScaleCrop>
  <LinksUpToDate>false</LinksUpToDate>
  <CharactersWithSpaces>2459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2022-01-04T01:41:00Z</dcterms:created>
  <dc:creator>一米阳光66</dc:creator>
  <cp:lastModifiedBy>dell</cp:lastModifiedBy>
  <cp:lastPrinted>2019-12-12T01:52:00Z</cp:lastPrinted>
  <dcterms:modified xsi:type="dcterms:W3CDTF">2022-03-02T06:00:50Z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316BB1E81DD94EF1900E1BF8C3BC7D3E</vt:lpwstr>
  </property>
</Properties>
</file>