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通州区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张家湾镇人民政府202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政府信息公开工作年度报告</w:t>
      </w:r>
    </w:p>
    <w:p>
      <w:pPr>
        <w:spacing w:line="560" w:lineRule="exact"/>
        <w:jc w:val="center"/>
        <w:rPr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本报告依据《中华人民共和国政府信息公开条例》（简称《政府信息公开条例》）第五十条规定，紧密结合2024年张家湾镇政府信息公开工作实际情况精心编制而成。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2024年，我镇深入贯彻落实区政府相关文件要求，紧密围绕《通州区2024年政务公开工作要点》，通过多渠道、全方位的举措，扎实推进主动公开与依申请公开等工作，切实保障政务活动及其信息依法依规公开，大力促进公众积极参与。现向社会公开发布张家湾镇2024年度政府信息公开工作年度报告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（一）强化组织领导，构建完善信息公开工作机制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为进一步提升政府信息公开工作的质量与效率，镇政府持续发力，不断建立健全信息公开工作机制体系。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完善主动公开审核监督闭环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建立并优化主动公开逐级审核制度，通过“公开前严格审查 + 公开后持续监督”的闭环管理模式，从源头到后续全方位保障政府信息的准确性与权威性。在202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年，主动公开政府信息达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184</w:t>
      </w:r>
      <w:r>
        <w:rPr>
          <w:rFonts w:hint="eastAsia" w:ascii="仿宋_GB2312" w:hAnsi="仿宋_GB2312" w:eastAsia="仿宋_GB2312" w:cs="仿宋_GB2312"/>
          <w:sz w:val="32"/>
          <w:szCs w:val="32"/>
        </w:rPr>
        <w:t>条，行政处罚信息384条。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优化依申请公开审批流程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对依申请公开的审批流程进行全面优化，实行由业务科室、业务分管领导、信息公开主管领导的逐级审阅机制，尤其针对重点领域和敏感信息的依申请公开内容，层层严格把关审查。同时，注重细节管理，针对依申请公开咨询电话中常见问题，专门制定《答复指引》，为公民、法人及其他组织高效、便捷获取信息公开相关问题的答复提供便利。2024年共收到政府信息依申请公开125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件</w:t>
      </w:r>
      <w:r>
        <w:rPr>
          <w:rFonts w:hint="eastAsia" w:ascii="仿宋_GB2312" w:hAnsi="仿宋_GB2312" w:eastAsia="仿宋_GB2312" w:cs="仿宋_GB2312"/>
          <w:sz w:val="32"/>
          <w:szCs w:val="32"/>
        </w:rPr>
        <w:t>，已完成答复112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件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建立信息公开教育培训机制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制定《政府信息公开（依申请）工作细则》，明确要求各职能科室指定专人负责信息公开工作。定期组织信息公开专员深入学习《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政府</w:t>
      </w:r>
      <w:r>
        <w:rPr>
          <w:rFonts w:hint="eastAsia" w:ascii="仿宋_GB2312" w:hAnsi="仿宋_GB2312" w:eastAsia="仿宋_GB2312" w:cs="仿宋_GB2312"/>
          <w:sz w:val="32"/>
          <w:szCs w:val="32"/>
        </w:rPr>
        <w:t>信息公开条例》《政府信息公开（依申请）工作细则》及《答复指引》，并常态化开展信息公开答复问题的研讨交流活动，有效提升信息公开答复的专业性与规范性。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建立健全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监督保障机制。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建立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政府信息公开工作考核制度、评议制度和责任追究制度，定期对政府信息公开工作进行考核、评议，加强对政府信息公开工作的日常指导和监督检查，每年按时向社会公布上一年度政府信息公开工作年度报告。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加强政府信息管理，推进政府信息公开平台建设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不断加强政府信息资源的规范化、标准化、信息化管理，推进政府信息资源的整合与共享，提高政府信息资源的利用效率。加强互联网政府信息公开平台建设，以政府门户网站为核心，充分利用“漕运古镇张家湾”微信公众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及视频号</w:t>
      </w:r>
      <w:r>
        <w:rPr>
          <w:rFonts w:hint="eastAsia" w:ascii="仿宋_GB2312" w:hAnsi="仿宋_GB2312" w:eastAsia="仿宋_GB2312" w:cs="仿宋_GB2312"/>
          <w:sz w:val="32"/>
          <w:szCs w:val="32"/>
        </w:rPr>
        <w:t>新媒体平台，紧密围绕中心工作及时发布政务信息，打造更加全面的政务公开平台、更加权威的政策发布解读和舆论引导平台、更加及时的回应关切和便民服务平台，并加强对平台的日常管理和考核监督，确保安全稳定运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提高政府信息公开在线办理水平。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三</w:t>
      </w:r>
      <w:r>
        <w:rPr>
          <w:rFonts w:hint="eastAsia" w:ascii="楷体_GB2312" w:hAnsi="楷体_GB2312" w:eastAsia="楷体_GB2312" w:cs="楷体_GB2312"/>
          <w:sz w:val="32"/>
          <w:szCs w:val="32"/>
        </w:rPr>
        <w:t>）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持续</w:t>
      </w:r>
      <w:r>
        <w:rPr>
          <w:rFonts w:hint="eastAsia" w:ascii="楷体_GB2312" w:hAnsi="楷体_GB2312" w:eastAsia="楷体_GB2312" w:cs="楷体_GB2312"/>
          <w:sz w:val="32"/>
          <w:szCs w:val="32"/>
        </w:rPr>
        <w:t>优化政务信息公开流程，提升服务质量水平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</w:rPr>
        <w:t>切实保障群众的知情权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对镇域内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棚改等</w:t>
      </w:r>
      <w:r>
        <w:rPr>
          <w:rFonts w:hint="eastAsia" w:ascii="仿宋_GB2312" w:hAnsi="仿宋_GB2312" w:eastAsia="仿宋_GB2312" w:cs="仿宋_GB2312"/>
          <w:sz w:val="32"/>
          <w:szCs w:val="32"/>
        </w:rPr>
        <w:t>重点工作，拓宽公开渠道，“张家湾六小村棚改项目”公众号在第一时间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将</w:t>
      </w:r>
      <w:r>
        <w:rPr>
          <w:rFonts w:hint="eastAsia" w:ascii="仿宋_GB2312" w:hAnsi="仿宋_GB2312" w:eastAsia="仿宋_GB2312" w:cs="仿宋_GB2312"/>
          <w:sz w:val="32"/>
          <w:szCs w:val="32"/>
        </w:rPr>
        <w:t>政策公告、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签约进展</w:t>
      </w:r>
      <w:r>
        <w:rPr>
          <w:rFonts w:hint="eastAsia" w:ascii="仿宋_GB2312" w:hAnsi="仿宋_GB2312" w:eastAsia="仿宋_GB2312" w:cs="仿宋_GB2312"/>
          <w:sz w:val="32"/>
          <w:szCs w:val="32"/>
        </w:rPr>
        <w:t>等重要信息主动向公众公开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发布重要信息6条</w:t>
      </w:r>
      <w:r>
        <w:rPr>
          <w:rFonts w:hint="eastAsia" w:ascii="仿宋_GB2312" w:hAnsi="仿宋_GB2312" w:eastAsia="仿宋_GB2312" w:cs="仿宋_GB2312"/>
          <w:sz w:val="32"/>
          <w:szCs w:val="32"/>
        </w:rPr>
        <w:t>。创新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依申请公开满意度调查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工作方法，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制作信息公开回访登记表，从内容满意度、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服务态度、文书是否规范、程序是否合规四方面让申请人提出意见或建议，回访登记表收回110份，满意度达40%，有效提升了信息公开工作的质量和效率，同时</w:t>
      </w:r>
      <w:r>
        <w:rPr>
          <w:rFonts w:hint="eastAsia" w:ascii="仿宋_GB2312" w:hAnsi="仿宋_GB2312" w:eastAsia="仿宋_GB2312" w:cs="仿宋_GB2312"/>
          <w:sz w:val="32"/>
          <w:szCs w:val="32"/>
        </w:rPr>
        <w:t>显著提升了群众对依申请公开工作的满意度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spacing w:line="560" w:lineRule="exact"/>
        <w:ind w:left="840"/>
        <w:rPr>
          <w:highlight w:val="none"/>
        </w:rPr>
      </w:pPr>
      <w:r>
        <w:rPr>
          <w:rFonts w:hint="eastAsia" w:ascii="微软雅黑" w:hAnsi="微软雅黑" w:eastAsia="微软雅黑" w:cs="宋体"/>
          <w:color w:val="404040"/>
          <w:kern w:val="0"/>
          <w:sz w:val="32"/>
          <w:szCs w:val="32"/>
          <w:highlight w:val="none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  <w:highlight w:val="none"/>
        </w:rPr>
        <w:t>二、主动公开政府信息情况</w:t>
      </w:r>
    </w:p>
    <w:tbl>
      <w:tblPr>
        <w:tblStyle w:val="10"/>
        <w:tblW w:w="974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现行有效件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lang w:bidi="ar"/>
              </w:rPr>
              <w:t>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highlight w:val="none"/>
              </w:rPr>
            </w:pPr>
            <w:r>
              <w:rPr>
                <w:rFonts w:hint="eastAsia" w:cs="Calibri"/>
                <w:kern w:val="0"/>
                <w:szCs w:val="21"/>
                <w:highlight w:val="none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highlight w:val="none"/>
              </w:rPr>
            </w:pPr>
            <w:r>
              <w:rPr>
                <w:rFonts w:hint="eastAsia" w:cs="Calibri"/>
                <w:kern w:val="0"/>
                <w:szCs w:val="21"/>
                <w:highlight w:val="none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384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宋体"/>
                <w:sz w:val="24"/>
                <w:highlight w:val="none"/>
              </w:rPr>
            </w:pPr>
            <w:r>
              <w:rPr>
                <w:rFonts w:hint="eastAsia" w:ascii="宋体"/>
                <w:sz w:val="24"/>
                <w:highlight w:val="none"/>
              </w:rPr>
              <w:t>0</w:t>
            </w:r>
          </w:p>
        </w:tc>
      </w:tr>
    </w:tbl>
    <w:p>
      <w:pPr>
        <w:pStyle w:val="3"/>
        <w:spacing w:line="560" w:lineRule="exact"/>
        <w:rPr>
          <w:highlight w:val="none"/>
        </w:rPr>
      </w:pPr>
    </w:p>
    <w:p>
      <w:pPr>
        <w:spacing w:line="560" w:lineRule="exact"/>
        <w:ind w:left="840"/>
        <w:rPr>
          <w:rFonts w:hint="default"/>
          <w:color w:val="333333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三、收到和处理政府信息公开申请情况</w:t>
      </w:r>
    </w:p>
    <w:tbl>
      <w:tblPr>
        <w:tblStyle w:val="10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6"/>
        <w:gridCol w:w="943"/>
        <w:gridCol w:w="3217"/>
        <w:gridCol w:w="691"/>
        <w:gridCol w:w="688"/>
        <w:gridCol w:w="688"/>
        <w:gridCol w:w="688"/>
        <w:gridCol w:w="688"/>
        <w:gridCol w:w="688"/>
        <w:gridCol w:w="69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6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highlight w:val="none"/>
              </w:rPr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highlight w:val="none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822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lang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  <w:highlight w:val="none"/>
              </w:rPr>
            </w:pPr>
          </w:p>
        </w:tc>
        <w:tc>
          <w:tcPr>
            <w:tcW w:w="69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lang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lang w:bidi="ar"/>
              </w:rPr>
              <w:t>法人或其他组织</w:t>
            </w:r>
          </w:p>
        </w:tc>
        <w:tc>
          <w:tcPr>
            <w:tcW w:w="691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  <w:highlight w:val="none"/>
              </w:rPr>
            </w:pPr>
          </w:p>
        </w:tc>
        <w:tc>
          <w:tcPr>
            <w:tcW w:w="69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  <w:highlight w:val="none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lang w:bidi="ar"/>
              </w:rPr>
              <w:t>商业</w:t>
            </w:r>
          </w:p>
          <w:p>
            <w:pPr>
              <w:widowControl/>
              <w:spacing w:line="560" w:lineRule="exact"/>
              <w:jc w:val="center"/>
              <w:rPr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lang w:bidi="ar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lang w:bidi="ar"/>
              </w:rPr>
              <w:t>科研</w:t>
            </w:r>
          </w:p>
          <w:p>
            <w:pPr>
              <w:widowControl/>
              <w:spacing w:line="560" w:lineRule="exact"/>
              <w:jc w:val="center"/>
              <w:rPr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lang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lang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lang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lang w:bidi="ar"/>
              </w:rPr>
              <w:t>其他</w:t>
            </w:r>
          </w:p>
        </w:tc>
        <w:tc>
          <w:tcPr>
            <w:tcW w:w="691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  <w:highlight w:val="none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lang w:bidi="ar"/>
              </w:rPr>
              <w:t>一、本年新收政府信息公开申请数量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118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6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highlight w:val="none"/>
              </w:rPr>
            </w:pPr>
            <w:r>
              <w:rPr>
                <w:rFonts w:hint="eastAsia" w:cs="Calibri"/>
                <w:kern w:val="0"/>
                <w:sz w:val="20"/>
                <w:szCs w:val="20"/>
                <w:highlight w:val="none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highlight w:val="none"/>
              </w:rPr>
            </w:pPr>
            <w:r>
              <w:rPr>
                <w:rFonts w:hint="eastAsia" w:cs="Calibri"/>
                <w:kern w:val="0"/>
                <w:sz w:val="20"/>
                <w:szCs w:val="20"/>
                <w:highlight w:val="none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highlight w:val="none"/>
              </w:rPr>
            </w:pPr>
            <w:r>
              <w:rPr>
                <w:rFonts w:hint="eastAsia" w:cs="Calibri"/>
                <w:kern w:val="0"/>
                <w:sz w:val="20"/>
                <w:szCs w:val="20"/>
                <w:highlight w:val="none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highlight w:val="none"/>
                <w:lang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1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125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lang w:bidi="ar"/>
              </w:rPr>
              <w:t>二、上年结转政府信息公开申请数量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15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highlight w:val="none"/>
                <w:lang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highlight w:val="none"/>
              </w:rPr>
            </w:pPr>
            <w:r>
              <w:rPr>
                <w:rFonts w:hint="eastAsia" w:cs="Calibri"/>
                <w:kern w:val="0"/>
                <w:sz w:val="20"/>
                <w:szCs w:val="20"/>
                <w:highlight w:val="none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highlight w:val="none"/>
              </w:rPr>
            </w:pPr>
            <w:r>
              <w:rPr>
                <w:rFonts w:hint="eastAsia" w:cs="Calibri"/>
                <w:kern w:val="0"/>
                <w:sz w:val="20"/>
                <w:szCs w:val="20"/>
                <w:highlight w:val="none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highlight w:val="none"/>
              </w:rPr>
            </w:pPr>
            <w:r>
              <w:rPr>
                <w:rFonts w:hint="eastAsia" w:cs="Calibri"/>
                <w:kern w:val="0"/>
                <w:sz w:val="20"/>
                <w:szCs w:val="20"/>
                <w:highlight w:val="none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highlight w:val="none"/>
              </w:rPr>
            </w:pPr>
            <w:r>
              <w:rPr>
                <w:rFonts w:hint="eastAsia" w:cs="Calibri"/>
                <w:kern w:val="0"/>
                <w:sz w:val="20"/>
                <w:szCs w:val="20"/>
                <w:highlight w:val="none"/>
                <w:lang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lang w:bidi="ar"/>
              </w:rPr>
              <w:t>三、本年度办理结果</w:t>
            </w:r>
          </w:p>
        </w:tc>
        <w:tc>
          <w:tcPr>
            <w:tcW w:w="41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lang w:bidi="ar"/>
              </w:rPr>
              <w:t>（一）予以公开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/>
                <w:highlight w:val="none"/>
                <w:lang w:val="en-US"/>
              </w:rPr>
            </w:pPr>
            <w:r>
              <w:rPr>
                <w:rFonts w:hint="eastAsia"/>
                <w:highlight w:val="none"/>
                <w:lang w:val="en-US" w:eastAsia="zh-CN"/>
              </w:rPr>
              <w:t>28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highlight w:val="none"/>
                <w:lang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highlight w:val="none"/>
              </w:rPr>
            </w:pPr>
            <w:r>
              <w:rPr>
                <w:rFonts w:hint="eastAsia" w:cs="Calibri"/>
                <w:kern w:val="0"/>
                <w:sz w:val="20"/>
                <w:szCs w:val="20"/>
                <w:highlight w:val="none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highlight w:val="none"/>
              </w:rPr>
            </w:pPr>
            <w:r>
              <w:rPr>
                <w:rFonts w:hint="eastAsia" w:cs="Calibri"/>
                <w:kern w:val="0"/>
                <w:sz w:val="20"/>
                <w:szCs w:val="20"/>
                <w:highlight w:val="none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highlight w:val="none"/>
              </w:rPr>
            </w:pPr>
            <w:r>
              <w:rPr>
                <w:rFonts w:hint="eastAsia" w:cs="Calibri"/>
                <w:kern w:val="0"/>
                <w:sz w:val="20"/>
                <w:szCs w:val="20"/>
                <w:highlight w:val="none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highlight w:val="none"/>
              </w:rPr>
            </w:pPr>
            <w:r>
              <w:rPr>
                <w:rFonts w:hint="eastAsia" w:cs="Calibri"/>
                <w:kern w:val="0"/>
                <w:sz w:val="20"/>
                <w:szCs w:val="20"/>
                <w:highlight w:val="none"/>
                <w:lang w:bidi="ar"/>
              </w:rPr>
              <w:t>0</w:t>
            </w:r>
          </w:p>
        </w:tc>
        <w:tc>
          <w:tcPr>
            <w:tcW w:w="6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/>
                <w:highlight w:val="none"/>
                <w:lang w:val="en-US"/>
              </w:rPr>
            </w:pPr>
            <w:r>
              <w:rPr>
                <w:rFonts w:hint="eastAsia"/>
                <w:highlight w:val="none"/>
                <w:lang w:val="en-US" w:eastAsia="zh-CN"/>
              </w:rPr>
              <w:t>30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  <w:highlight w:val="none"/>
              </w:rPr>
            </w:pPr>
          </w:p>
        </w:tc>
        <w:tc>
          <w:tcPr>
            <w:tcW w:w="41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lang w:bidi="ar"/>
              </w:rPr>
              <w:t>（二）部分公开</w:t>
            </w:r>
            <w:r>
              <w:rPr>
                <w:rFonts w:ascii="楷体" w:hAnsi="楷体" w:eastAsia="楷体" w:cs="楷体"/>
                <w:kern w:val="0"/>
                <w:sz w:val="20"/>
                <w:szCs w:val="20"/>
                <w:highlight w:val="none"/>
                <w:lang w:bidi="ar"/>
              </w:rPr>
              <w:t>（区分处理的，只计这一情形，不计其他情形）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20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highlight w:val="none"/>
              </w:rPr>
            </w:pPr>
            <w:r>
              <w:rPr>
                <w:rFonts w:hint="eastAsia" w:cs="Calibri"/>
                <w:kern w:val="0"/>
                <w:sz w:val="20"/>
                <w:szCs w:val="20"/>
                <w:highlight w:val="none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highlight w:val="none"/>
              </w:rPr>
            </w:pPr>
            <w:r>
              <w:rPr>
                <w:rFonts w:hint="eastAsia" w:cs="Calibri"/>
                <w:kern w:val="0"/>
                <w:sz w:val="20"/>
                <w:szCs w:val="20"/>
                <w:highlight w:val="none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highlight w:val="none"/>
              </w:rPr>
            </w:pPr>
            <w:r>
              <w:rPr>
                <w:rFonts w:hint="eastAsia" w:cs="Calibri"/>
                <w:kern w:val="0"/>
                <w:sz w:val="20"/>
                <w:szCs w:val="20"/>
                <w:highlight w:val="none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highlight w:val="none"/>
              </w:rPr>
            </w:pPr>
            <w:r>
              <w:rPr>
                <w:rFonts w:hint="eastAsia" w:cs="Calibri"/>
                <w:kern w:val="0"/>
                <w:sz w:val="20"/>
                <w:szCs w:val="20"/>
                <w:highlight w:val="none"/>
                <w:lang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spacing w:line="560" w:lineRule="exact"/>
              <w:jc w:val="center"/>
              <w:rPr>
                <w:rFonts w:hint="default"/>
                <w:highlight w:val="none"/>
                <w:lang w:val="en-US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21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  <w:highlight w:val="none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lang w:bidi="ar"/>
              </w:rPr>
              <w:t>（三）不予公开</w:t>
            </w: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left"/>
              <w:rPr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lang w:bidi="ar"/>
              </w:rPr>
              <w:t>1.属于国家秘密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highlight w:val="none"/>
              </w:rPr>
            </w:pPr>
            <w:r>
              <w:rPr>
                <w:rFonts w:hint="eastAsia" w:cs="Calibri"/>
                <w:kern w:val="0"/>
                <w:sz w:val="20"/>
                <w:szCs w:val="20"/>
                <w:highlight w:val="none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highlight w:val="none"/>
              </w:rPr>
            </w:pPr>
            <w:r>
              <w:rPr>
                <w:rFonts w:hint="eastAsia" w:cs="Calibri"/>
                <w:kern w:val="0"/>
                <w:sz w:val="20"/>
                <w:szCs w:val="20"/>
                <w:highlight w:val="none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highlight w:val="none"/>
              </w:rPr>
            </w:pPr>
            <w:r>
              <w:rPr>
                <w:rFonts w:hint="eastAsia" w:cs="Calibri"/>
                <w:kern w:val="0"/>
                <w:sz w:val="20"/>
                <w:szCs w:val="20"/>
                <w:highlight w:val="none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highlight w:val="none"/>
              </w:rPr>
            </w:pPr>
            <w:r>
              <w:rPr>
                <w:rFonts w:hint="eastAsia" w:cs="Calibri"/>
                <w:kern w:val="0"/>
                <w:sz w:val="20"/>
                <w:szCs w:val="20"/>
                <w:highlight w:val="none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highlight w:val="none"/>
              </w:rPr>
            </w:pPr>
            <w:r>
              <w:rPr>
                <w:rFonts w:hint="eastAsia" w:cs="Calibri"/>
                <w:kern w:val="0"/>
                <w:sz w:val="20"/>
                <w:szCs w:val="20"/>
                <w:highlight w:val="none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highlight w:val="none"/>
              </w:rPr>
            </w:pPr>
            <w:r>
              <w:rPr>
                <w:rFonts w:hint="eastAsia" w:cs="Calibri"/>
                <w:kern w:val="0"/>
                <w:sz w:val="20"/>
                <w:szCs w:val="20"/>
                <w:highlight w:val="none"/>
                <w:lang w:bidi="ar"/>
              </w:rPr>
              <w:t>0</w:t>
            </w:r>
          </w:p>
        </w:tc>
        <w:tc>
          <w:tcPr>
            <w:tcW w:w="6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highlight w:val="none"/>
              </w:rPr>
            </w:pPr>
            <w:r>
              <w:rPr>
                <w:rFonts w:hint="eastAsia" w:cs="Calibri"/>
                <w:kern w:val="0"/>
                <w:sz w:val="20"/>
                <w:szCs w:val="20"/>
                <w:highlight w:val="none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  <w:highlight w:val="none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  <w:highlight w:val="none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left"/>
              <w:rPr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lang w:bidi="ar"/>
              </w:rPr>
              <w:t>2.其他法律行政法规禁止公开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highlight w:val="none"/>
              </w:rPr>
            </w:pPr>
            <w:r>
              <w:rPr>
                <w:rFonts w:hint="eastAsia" w:cs="Calibri"/>
                <w:kern w:val="0"/>
                <w:sz w:val="20"/>
                <w:szCs w:val="20"/>
                <w:highlight w:val="none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highlight w:val="none"/>
              </w:rPr>
            </w:pPr>
            <w:r>
              <w:rPr>
                <w:rFonts w:hint="eastAsia" w:cs="Calibri"/>
                <w:kern w:val="0"/>
                <w:sz w:val="20"/>
                <w:szCs w:val="20"/>
                <w:highlight w:val="none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highlight w:val="none"/>
              </w:rPr>
            </w:pPr>
            <w:r>
              <w:rPr>
                <w:rFonts w:hint="eastAsia" w:cs="Calibri"/>
                <w:kern w:val="0"/>
                <w:sz w:val="20"/>
                <w:szCs w:val="20"/>
                <w:highlight w:val="none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highlight w:val="none"/>
              </w:rPr>
            </w:pPr>
            <w:r>
              <w:rPr>
                <w:rFonts w:hint="eastAsia" w:cs="Calibri"/>
                <w:kern w:val="0"/>
                <w:sz w:val="20"/>
                <w:szCs w:val="20"/>
                <w:highlight w:val="none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highlight w:val="none"/>
              </w:rPr>
            </w:pPr>
            <w:r>
              <w:rPr>
                <w:rFonts w:hint="eastAsia" w:cs="Calibri"/>
                <w:kern w:val="0"/>
                <w:sz w:val="20"/>
                <w:szCs w:val="20"/>
                <w:highlight w:val="none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highlight w:val="none"/>
              </w:rPr>
            </w:pPr>
            <w:r>
              <w:rPr>
                <w:rFonts w:hint="eastAsia" w:cs="Calibri"/>
                <w:kern w:val="0"/>
                <w:sz w:val="20"/>
                <w:szCs w:val="20"/>
                <w:highlight w:val="none"/>
                <w:lang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highlight w:val="none"/>
              </w:rPr>
            </w:pPr>
            <w:r>
              <w:rPr>
                <w:rFonts w:hint="eastAsia" w:cs="Calibri"/>
                <w:kern w:val="0"/>
                <w:sz w:val="20"/>
                <w:szCs w:val="20"/>
                <w:highlight w:val="none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  <w:highlight w:val="none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  <w:highlight w:val="none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left"/>
              <w:rPr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lang w:bidi="ar"/>
              </w:rPr>
              <w:t>3.危及“三安全一稳定”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highlight w:val="none"/>
              </w:rPr>
            </w:pPr>
            <w:r>
              <w:rPr>
                <w:rFonts w:hint="eastAsia" w:cs="Calibri"/>
                <w:kern w:val="0"/>
                <w:sz w:val="20"/>
                <w:szCs w:val="20"/>
                <w:highlight w:val="none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highlight w:val="none"/>
              </w:rPr>
            </w:pPr>
            <w:r>
              <w:rPr>
                <w:rFonts w:hint="eastAsia" w:cs="Calibri"/>
                <w:kern w:val="0"/>
                <w:sz w:val="20"/>
                <w:szCs w:val="20"/>
                <w:highlight w:val="none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highlight w:val="none"/>
              </w:rPr>
            </w:pPr>
            <w:r>
              <w:rPr>
                <w:rFonts w:hint="eastAsia" w:cs="Calibri"/>
                <w:kern w:val="0"/>
                <w:sz w:val="20"/>
                <w:szCs w:val="20"/>
                <w:highlight w:val="none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highlight w:val="none"/>
              </w:rPr>
            </w:pPr>
            <w:r>
              <w:rPr>
                <w:rFonts w:hint="eastAsia" w:cs="Calibri"/>
                <w:kern w:val="0"/>
                <w:sz w:val="20"/>
                <w:szCs w:val="20"/>
                <w:highlight w:val="none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highlight w:val="none"/>
              </w:rPr>
            </w:pPr>
            <w:r>
              <w:rPr>
                <w:rFonts w:hint="eastAsia" w:cs="Calibri"/>
                <w:kern w:val="0"/>
                <w:sz w:val="20"/>
                <w:szCs w:val="20"/>
                <w:highlight w:val="none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highlight w:val="none"/>
              </w:rPr>
            </w:pPr>
            <w:r>
              <w:rPr>
                <w:rFonts w:hint="eastAsia" w:cs="Calibri"/>
                <w:kern w:val="0"/>
                <w:sz w:val="20"/>
                <w:szCs w:val="20"/>
                <w:highlight w:val="none"/>
                <w:lang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highlight w:val="none"/>
              </w:rPr>
            </w:pPr>
            <w:r>
              <w:rPr>
                <w:rFonts w:hint="eastAsia" w:cs="Calibri"/>
                <w:kern w:val="0"/>
                <w:sz w:val="20"/>
                <w:szCs w:val="20"/>
                <w:highlight w:val="none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  <w:highlight w:val="none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  <w:highlight w:val="none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left"/>
              <w:rPr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lang w:bidi="ar"/>
              </w:rPr>
              <w:t>4.保护第三方合法权益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highlight w:val="none"/>
                <w:lang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4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highlight w:val="none"/>
              </w:rPr>
            </w:pPr>
            <w:r>
              <w:rPr>
                <w:rFonts w:hint="eastAsia" w:cs="Calibri"/>
                <w:kern w:val="0"/>
                <w:sz w:val="20"/>
                <w:szCs w:val="20"/>
                <w:highlight w:val="none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highlight w:val="none"/>
              </w:rPr>
            </w:pPr>
            <w:r>
              <w:rPr>
                <w:rFonts w:hint="eastAsia" w:cs="Calibri"/>
                <w:kern w:val="0"/>
                <w:sz w:val="20"/>
                <w:szCs w:val="20"/>
                <w:highlight w:val="none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highlight w:val="none"/>
              </w:rPr>
            </w:pPr>
            <w:r>
              <w:rPr>
                <w:rFonts w:hint="eastAsia" w:cs="Calibri"/>
                <w:kern w:val="0"/>
                <w:sz w:val="20"/>
                <w:szCs w:val="20"/>
                <w:highlight w:val="none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highlight w:val="none"/>
              </w:rPr>
            </w:pPr>
            <w:r>
              <w:rPr>
                <w:rFonts w:hint="eastAsia" w:cs="Calibri"/>
                <w:kern w:val="0"/>
                <w:sz w:val="20"/>
                <w:szCs w:val="20"/>
                <w:highlight w:val="none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highlight w:val="none"/>
              </w:rPr>
            </w:pPr>
            <w:r>
              <w:rPr>
                <w:rFonts w:hint="eastAsia" w:cs="Calibri"/>
                <w:kern w:val="0"/>
                <w:sz w:val="20"/>
                <w:szCs w:val="20"/>
                <w:highlight w:val="none"/>
                <w:lang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highlight w:val="none"/>
                <w:lang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  <w:highlight w:val="none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  <w:highlight w:val="none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left"/>
              <w:rPr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lang w:bidi="ar"/>
              </w:rPr>
              <w:t>5.属于三类内部事务信息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highlight w:val="none"/>
                <w:lang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3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highlight w:val="none"/>
              </w:rPr>
            </w:pPr>
            <w:r>
              <w:rPr>
                <w:rFonts w:hint="eastAsia" w:cs="Calibri"/>
                <w:kern w:val="0"/>
                <w:sz w:val="20"/>
                <w:szCs w:val="20"/>
                <w:highlight w:val="none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highlight w:val="none"/>
              </w:rPr>
            </w:pPr>
            <w:r>
              <w:rPr>
                <w:rFonts w:hint="eastAsia" w:cs="Calibri"/>
                <w:kern w:val="0"/>
                <w:sz w:val="20"/>
                <w:szCs w:val="20"/>
                <w:highlight w:val="none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highlight w:val="none"/>
              </w:rPr>
            </w:pPr>
            <w:r>
              <w:rPr>
                <w:rFonts w:hint="eastAsia" w:cs="Calibri"/>
                <w:kern w:val="0"/>
                <w:sz w:val="20"/>
                <w:szCs w:val="20"/>
                <w:highlight w:val="none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highlight w:val="none"/>
              </w:rPr>
            </w:pPr>
            <w:r>
              <w:rPr>
                <w:rFonts w:hint="eastAsia" w:cs="Calibri"/>
                <w:kern w:val="0"/>
                <w:sz w:val="20"/>
                <w:szCs w:val="20"/>
                <w:highlight w:val="none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highlight w:val="none"/>
              </w:rPr>
            </w:pPr>
            <w:r>
              <w:rPr>
                <w:rFonts w:hint="eastAsia" w:cs="Calibri"/>
                <w:kern w:val="0"/>
                <w:sz w:val="20"/>
                <w:szCs w:val="20"/>
                <w:highlight w:val="none"/>
                <w:lang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highlight w:val="none"/>
                <w:lang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  <w:highlight w:val="none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  <w:highlight w:val="none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left"/>
              <w:rPr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lang w:bidi="ar"/>
              </w:rPr>
              <w:t>6.属于四类过程性信息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5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highlight w:val="none"/>
              </w:rPr>
            </w:pPr>
            <w:r>
              <w:rPr>
                <w:rFonts w:hint="eastAsia" w:cs="Calibri"/>
                <w:kern w:val="0"/>
                <w:sz w:val="20"/>
                <w:szCs w:val="20"/>
                <w:highlight w:val="none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highlight w:val="none"/>
              </w:rPr>
            </w:pPr>
            <w:r>
              <w:rPr>
                <w:rFonts w:hint="eastAsia" w:cs="Calibri"/>
                <w:kern w:val="0"/>
                <w:sz w:val="20"/>
                <w:szCs w:val="20"/>
                <w:highlight w:val="none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highlight w:val="none"/>
              </w:rPr>
            </w:pPr>
            <w:r>
              <w:rPr>
                <w:rFonts w:hint="eastAsia" w:cs="Calibri"/>
                <w:kern w:val="0"/>
                <w:sz w:val="20"/>
                <w:szCs w:val="20"/>
                <w:highlight w:val="none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highlight w:val="none"/>
              </w:rPr>
            </w:pPr>
            <w:r>
              <w:rPr>
                <w:rFonts w:hint="eastAsia" w:cs="Calibri"/>
                <w:kern w:val="0"/>
                <w:sz w:val="20"/>
                <w:szCs w:val="20"/>
                <w:highlight w:val="none"/>
                <w:lang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  <w:highlight w:val="none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  <w:highlight w:val="none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left"/>
              <w:rPr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lang w:bidi="ar"/>
              </w:rPr>
              <w:t>7.属于行政执法案卷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highlight w:val="none"/>
              </w:rPr>
            </w:pPr>
            <w:r>
              <w:rPr>
                <w:rFonts w:hint="eastAsia" w:cs="Calibri"/>
                <w:kern w:val="0"/>
                <w:sz w:val="20"/>
                <w:szCs w:val="20"/>
                <w:highlight w:val="none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highlight w:val="none"/>
              </w:rPr>
            </w:pPr>
            <w:r>
              <w:rPr>
                <w:rFonts w:hint="eastAsia" w:cs="Calibri"/>
                <w:kern w:val="0"/>
                <w:sz w:val="20"/>
                <w:szCs w:val="20"/>
                <w:highlight w:val="none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highlight w:val="none"/>
              </w:rPr>
            </w:pPr>
            <w:r>
              <w:rPr>
                <w:rFonts w:hint="eastAsia" w:cs="Calibri"/>
                <w:kern w:val="0"/>
                <w:sz w:val="20"/>
                <w:szCs w:val="20"/>
                <w:highlight w:val="none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highlight w:val="none"/>
              </w:rPr>
            </w:pPr>
            <w:r>
              <w:rPr>
                <w:rFonts w:hint="eastAsia" w:cs="Calibri"/>
                <w:kern w:val="0"/>
                <w:sz w:val="20"/>
                <w:szCs w:val="20"/>
                <w:highlight w:val="none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highlight w:val="none"/>
              </w:rPr>
            </w:pPr>
            <w:r>
              <w:rPr>
                <w:rFonts w:hint="eastAsia" w:cs="Calibri"/>
                <w:kern w:val="0"/>
                <w:sz w:val="20"/>
                <w:szCs w:val="20"/>
                <w:highlight w:val="none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highlight w:val="none"/>
              </w:rPr>
            </w:pPr>
            <w:r>
              <w:rPr>
                <w:rFonts w:hint="eastAsia" w:cs="Calibri"/>
                <w:kern w:val="0"/>
                <w:sz w:val="20"/>
                <w:szCs w:val="20"/>
                <w:highlight w:val="none"/>
                <w:lang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highlight w:val="none"/>
              </w:rPr>
            </w:pPr>
            <w:r>
              <w:rPr>
                <w:rFonts w:hint="eastAsia" w:cs="Calibri"/>
                <w:kern w:val="0"/>
                <w:sz w:val="20"/>
                <w:szCs w:val="20"/>
                <w:highlight w:val="none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  <w:highlight w:val="none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  <w:highlight w:val="none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left"/>
              <w:rPr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lang w:bidi="ar"/>
              </w:rPr>
              <w:t>8.属于行政查询事项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highlight w:val="none"/>
              </w:rPr>
            </w:pPr>
            <w:r>
              <w:rPr>
                <w:rFonts w:hint="eastAsia" w:cs="Calibri"/>
                <w:kern w:val="0"/>
                <w:sz w:val="20"/>
                <w:szCs w:val="20"/>
                <w:highlight w:val="none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highlight w:val="none"/>
              </w:rPr>
            </w:pPr>
            <w:r>
              <w:rPr>
                <w:rFonts w:hint="eastAsia" w:cs="Calibri"/>
                <w:kern w:val="0"/>
                <w:sz w:val="20"/>
                <w:szCs w:val="20"/>
                <w:highlight w:val="none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highlight w:val="none"/>
              </w:rPr>
            </w:pPr>
            <w:r>
              <w:rPr>
                <w:rFonts w:hint="eastAsia" w:cs="Calibri"/>
                <w:kern w:val="0"/>
                <w:sz w:val="20"/>
                <w:szCs w:val="20"/>
                <w:highlight w:val="none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highlight w:val="none"/>
              </w:rPr>
            </w:pPr>
            <w:r>
              <w:rPr>
                <w:rFonts w:hint="eastAsia" w:cs="Calibri"/>
                <w:kern w:val="0"/>
                <w:sz w:val="20"/>
                <w:szCs w:val="20"/>
                <w:highlight w:val="none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highlight w:val="none"/>
              </w:rPr>
            </w:pPr>
            <w:r>
              <w:rPr>
                <w:rFonts w:hint="eastAsia" w:cs="Calibri"/>
                <w:kern w:val="0"/>
                <w:sz w:val="20"/>
                <w:szCs w:val="20"/>
                <w:highlight w:val="none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highlight w:val="none"/>
              </w:rPr>
            </w:pPr>
            <w:r>
              <w:rPr>
                <w:rFonts w:hint="eastAsia" w:cs="Calibri"/>
                <w:kern w:val="0"/>
                <w:sz w:val="20"/>
                <w:szCs w:val="20"/>
                <w:highlight w:val="none"/>
                <w:lang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highlight w:val="none"/>
              </w:rPr>
            </w:pPr>
            <w:r>
              <w:rPr>
                <w:rFonts w:hint="eastAsia" w:cs="Calibri"/>
                <w:kern w:val="0"/>
                <w:sz w:val="20"/>
                <w:szCs w:val="20"/>
                <w:highlight w:val="none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  <w:highlight w:val="none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lang w:bidi="ar"/>
              </w:rPr>
              <w:t>（四）无法提供</w:t>
            </w: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left"/>
              <w:rPr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lang w:bidi="ar"/>
              </w:rPr>
              <w:t>1.本机关不掌握相关政府信息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19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highlight w:val="none"/>
              </w:rPr>
            </w:pPr>
            <w:r>
              <w:rPr>
                <w:rFonts w:hint="eastAsia" w:cs="Calibri"/>
                <w:kern w:val="0"/>
                <w:sz w:val="20"/>
                <w:szCs w:val="20"/>
                <w:highlight w:val="none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highlight w:val="none"/>
              </w:rPr>
            </w:pPr>
            <w:r>
              <w:rPr>
                <w:rFonts w:hint="eastAsia" w:cs="Calibri"/>
                <w:kern w:val="0"/>
                <w:sz w:val="20"/>
                <w:szCs w:val="20"/>
                <w:highlight w:val="none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highlight w:val="none"/>
              </w:rPr>
            </w:pPr>
            <w:r>
              <w:rPr>
                <w:rFonts w:hint="eastAsia" w:cs="Calibri"/>
                <w:kern w:val="0"/>
                <w:sz w:val="20"/>
                <w:szCs w:val="20"/>
                <w:highlight w:val="none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highlight w:val="none"/>
              </w:rPr>
            </w:pPr>
            <w:r>
              <w:rPr>
                <w:rFonts w:hint="eastAsia" w:cs="Calibri"/>
                <w:kern w:val="0"/>
                <w:sz w:val="20"/>
                <w:szCs w:val="20"/>
                <w:highlight w:val="none"/>
                <w:lang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21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  <w:highlight w:val="none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  <w:highlight w:val="none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left"/>
              <w:rPr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lang w:bidi="ar"/>
              </w:rPr>
              <w:t>2.没有现成信息需要另行制作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highlight w:val="none"/>
              </w:rPr>
            </w:pPr>
            <w:r>
              <w:rPr>
                <w:rFonts w:hint="eastAsia" w:cs="Calibri"/>
                <w:kern w:val="0"/>
                <w:sz w:val="20"/>
                <w:szCs w:val="20"/>
                <w:highlight w:val="none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highlight w:val="none"/>
              </w:rPr>
            </w:pPr>
            <w:r>
              <w:rPr>
                <w:rFonts w:hint="eastAsia" w:cs="Calibri"/>
                <w:kern w:val="0"/>
                <w:sz w:val="20"/>
                <w:szCs w:val="20"/>
                <w:highlight w:val="none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highlight w:val="none"/>
              </w:rPr>
            </w:pPr>
            <w:r>
              <w:rPr>
                <w:rFonts w:hint="eastAsia" w:cs="Calibri"/>
                <w:kern w:val="0"/>
                <w:sz w:val="20"/>
                <w:szCs w:val="20"/>
                <w:highlight w:val="none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highlight w:val="none"/>
              </w:rPr>
            </w:pPr>
            <w:r>
              <w:rPr>
                <w:rFonts w:hint="eastAsia" w:cs="Calibri"/>
                <w:kern w:val="0"/>
                <w:sz w:val="20"/>
                <w:szCs w:val="20"/>
                <w:highlight w:val="none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highlight w:val="none"/>
              </w:rPr>
            </w:pPr>
            <w:r>
              <w:rPr>
                <w:rFonts w:hint="eastAsia" w:cs="Calibri"/>
                <w:kern w:val="0"/>
                <w:sz w:val="20"/>
                <w:szCs w:val="20"/>
                <w:highlight w:val="none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highlight w:val="none"/>
              </w:rPr>
            </w:pPr>
            <w:r>
              <w:rPr>
                <w:rFonts w:hint="eastAsia" w:cs="Calibri"/>
                <w:kern w:val="0"/>
                <w:sz w:val="20"/>
                <w:szCs w:val="20"/>
                <w:highlight w:val="none"/>
                <w:lang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highlight w:val="none"/>
              </w:rPr>
            </w:pPr>
            <w:r>
              <w:rPr>
                <w:rFonts w:hint="eastAsia" w:cs="Calibri"/>
                <w:kern w:val="0"/>
                <w:sz w:val="20"/>
                <w:szCs w:val="20"/>
                <w:highlight w:val="none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  <w:highlight w:val="none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  <w:highlight w:val="none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left"/>
              <w:rPr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lang w:bidi="ar"/>
              </w:rPr>
              <w:t>3.补正后申请内容仍不明确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highlight w:val="none"/>
              </w:rPr>
            </w:pPr>
            <w:r>
              <w:rPr>
                <w:rFonts w:hint="eastAsia" w:cs="Calibri"/>
                <w:kern w:val="0"/>
                <w:sz w:val="20"/>
                <w:szCs w:val="20"/>
                <w:highlight w:val="none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highlight w:val="none"/>
              </w:rPr>
            </w:pPr>
            <w:r>
              <w:rPr>
                <w:rFonts w:hint="eastAsia" w:cs="Calibri"/>
                <w:kern w:val="0"/>
                <w:sz w:val="20"/>
                <w:szCs w:val="20"/>
                <w:highlight w:val="none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highlight w:val="none"/>
              </w:rPr>
            </w:pPr>
            <w:r>
              <w:rPr>
                <w:rFonts w:hint="eastAsia" w:cs="Calibri"/>
                <w:kern w:val="0"/>
                <w:sz w:val="20"/>
                <w:szCs w:val="20"/>
                <w:highlight w:val="none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highlight w:val="none"/>
              </w:rPr>
            </w:pPr>
            <w:r>
              <w:rPr>
                <w:rFonts w:hint="eastAsia" w:cs="Calibri"/>
                <w:kern w:val="0"/>
                <w:sz w:val="20"/>
                <w:szCs w:val="20"/>
                <w:highlight w:val="none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highlight w:val="none"/>
              </w:rPr>
            </w:pPr>
            <w:r>
              <w:rPr>
                <w:rFonts w:hint="eastAsia" w:cs="Calibri"/>
                <w:kern w:val="0"/>
                <w:sz w:val="20"/>
                <w:szCs w:val="20"/>
                <w:highlight w:val="none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highlight w:val="none"/>
              </w:rPr>
            </w:pPr>
            <w:r>
              <w:rPr>
                <w:rFonts w:hint="eastAsia" w:cs="Calibri"/>
                <w:kern w:val="0"/>
                <w:sz w:val="20"/>
                <w:szCs w:val="20"/>
                <w:highlight w:val="none"/>
                <w:lang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highlight w:val="none"/>
              </w:rPr>
            </w:pPr>
            <w:r>
              <w:rPr>
                <w:rFonts w:hint="eastAsia" w:cs="Calibri"/>
                <w:kern w:val="0"/>
                <w:sz w:val="20"/>
                <w:szCs w:val="20"/>
                <w:highlight w:val="none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  <w:highlight w:val="none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lang w:bidi="ar"/>
              </w:rPr>
              <w:t>（五）不予处理</w:t>
            </w: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left"/>
              <w:rPr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lang w:bidi="ar"/>
              </w:rPr>
              <w:t>1.信访举报投诉类申请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highlight w:val="none"/>
              </w:rPr>
            </w:pPr>
            <w:r>
              <w:rPr>
                <w:rFonts w:hint="eastAsia" w:cs="Calibri"/>
                <w:kern w:val="0"/>
                <w:sz w:val="20"/>
                <w:szCs w:val="20"/>
                <w:highlight w:val="none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highlight w:val="none"/>
              </w:rPr>
            </w:pPr>
            <w:r>
              <w:rPr>
                <w:rFonts w:hint="eastAsia" w:cs="Calibri"/>
                <w:kern w:val="0"/>
                <w:sz w:val="20"/>
                <w:szCs w:val="20"/>
                <w:highlight w:val="none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highlight w:val="none"/>
              </w:rPr>
            </w:pPr>
            <w:r>
              <w:rPr>
                <w:rFonts w:hint="eastAsia" w:cs="Calibri"/>
                <w:kern w:val="0"/>
                <w:sz w:val="20"/>
                <w:szCs w:val="20"/>
                <w:highlight w:val="none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highlight w:val="none"/>
              </w:rPr>
            </w:pPr>
            <w:r>
              <w:rPr>
                <w:rFonts w:hint="eastAsia" w:cs="Calibri"/>
                <w:kern w:val="0"/>
                <w:sz w:val="20"/>
                <w:szCs w:val="20"/>
                <w:highlight w:val="none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highlight w:val="none"/>
              </w:rPr>
            </w:pPr>
            <w:r>
              <w:rPr>
                <w:rFonts w:hint="eastAsia" w:cs="Calibri"/>
                <w:kern w:val="0"/>
                <w:sz w:val="20"/>
                <w:szCs w:val="20"/>
                <w:highlight w:val="none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highlight w:val="none"/>
              </w:rPr>
            </w:pPr>
            <w:r>
              <w:rPr>
                <w:rFonts w:hint="eastAsia" w:cs="Calibri"/>
                <w:kern w:val="0"/>
                <w:sz w:val="20"/>
                <w:szCs w:val="20"/>
                <w:highlight w:val="none"/>
                <w:lang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highlight w:val="none"/>
              </w:rPr>
            </w:pPr>
            <w:r>
              <w:rPr>
                <w:rFonts w:hint="eastAsia" w:cs="Calibri"/>
                <w:kern w:val="0"/>
                <w:sz w:val="20"/>
                <w:szCs w:val="20"/>
                <w:highlight w:val="none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  <w:highlight w:val="none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  <w:highlight w:val="none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left"/>
              <w:rPr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lang w:bidi="ar"/>
              </w:rPr>
              <w:t>2.重复申请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highlight w:val="none"/>
              </w:rPr>
            </w:pPr>
            <w:r>
              <w:rPr>
                <w:rFonts w:hint="eastAsia" w:cs="Calibri"/>
                <w:kern w:val="0"/>
                <w:sz w:val="20"/>
                <w:szCs w:val="20"/>
                <w:highlight w:val="none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highlight w:val="none"/>
              </w:rPr>
            </w:pPr>
            <w:r>
              <w:rPr>
                <w:rFonts w:hint="eastAsia" w:cs="Calibri"/>
                <w:kern w:val="0"/>
                <w:sz w:val="20"/>
                <w:szCs w:val="20"/>
                <w:highlight w:val="none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highlight w:val="none"/>
              </w:rPr>
            </w:pPr>
            <w:r>
              <w:rPr>
                <w:rFonts w:hint="eastAsia" w:cs="Calibri"/>
                <w:kern w:val="0"/>
                <w:sz w:val="20"/>
                <w:szCs w:val="20"/>
                <w:highlight w:val="none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highlight w:val="none"/>
              </w:rPr>
            </w:pPr>
            <w:r>
              <w:rPr>
                <w:rFonts w:hint="eastAsia" w:cs="Calibri"/>
                <w:kern w:val="0"/>
                <w:sz w:val="20"/>
                <w:szCs w:val="20"/>
                <w:highlight w:val="none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highlight w:val="none"/>
              </w:rPr>
            </w:pPr>
            <w:r>
              <w:rPr>
                <w:rFonts w:hint="eastAsia" w:cs="Calibri"/>
                <w:kern w:val="0"/>
                <w:sz w:val="20"/>
                <w:szCs w:val="20"/>
                <w:highlight w:val="none"/>
                <w:lang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  <w:highlight w:val="none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  <w:highlight w:val="none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left"/>
              <w:rPr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lang w:bidi="ar"/>
              </w:rPr>
              <w:t>3.要求提供公开出版物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highlight w:val="none"/>
              </w:rPr>
            </w:pPr>
            <w:r>
              <w:rPr>
                <w:rFonts w:hint="eastAsia" w:cs="Calibri"/>
                <w:kern w:val="0"/>
                <w:sz w:val="20"/>
                <w:szCs w:val="20"/>
                <w:highlight w:val="none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highlight w:val="none"/>
              </w:rPr>
            </w:pPr>
            <w:r>
              <w:rPr>
                <w:rFonts w:hint="eastAsia" w:cs="Calibri"/>
                <w:kern w:val="0"/>
                <w:sz w:val="20"/>
                <w:szCs w:val="20"/>
                <w:highlight w:val="none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highlight w:val="none"/>
              </w:rPr>
            </w:pPr>
            <w:r>
              <w:rPr>
                <w:rFonts w:hint="eastAsia" w:cs="Calibri"/>
                <w:kern w:val="0"/>
                <w:sz w:val="20"/>
                <w:szCs w:val="20"/>
                <w:highlight w:val="none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highlight w:val="none"/>
              </w:rPr>
            </w:pPr>
            <w:r>
              <w:rPr>
                <w:rFonts w:hint="eastAsia" w:cs="Calibri"/>
                <w:kern w:val="0"/>
                <w:sz w:val="20"/>
                <w:szCs w:val="20"/>
                <w:highlight w:val="none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highlight w:val="none"/>
              </w:rPr>
            </w:pPr>
            <w:r>
              <w:rPr>
                <w:rFonts w:hint="eastAsia" w:cs="Calibri"/>
                <w:kern w:val="0"/>
                <w:sz w:val="20"/>
                <w:szCs w:val="20"/>
                <w:highlight w:val="none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highlight w:val="none"/>
              </w:rPr>
            </w:pPr>
            <w:r>
              <w:rPr>
                <w:rFonts w:hint="eastAsia" w:cs="Calibri"/>
                <w:kern w:val="0"/>
                <w:sz w:val="20"/>
                <w:szCs w:val="20"/>
                <w:highlight w:val="none"/>
                <w:lang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highlight w:val="none"/>
              </w:rPr>
            </w:pPr>
            <w:r>
              <w:rPr>
                <w:rFonts w:hint="eastAsia" w:cs="Calibri"/>
                <w:kern w:val="0"/>
                <w:sz w:val="20"/>
                <w:szCs w:val="20"/>
                <w:highlight w:val="none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  <w:highlight w:val="none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  <w:highlight w:val="none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left"/>
              <w:rPr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lang w:bidi="ar"/>
              </w:rPr>
              <w:t>4.无正当理由大量反复申请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highlight w:val="none"/>
              </w:rPr>
            </w:pPr>
            <w:r>
              <w:rPr>
                <w:rFonts w:hint="eastAsia" w:cs="Calibri"/>
                <w:kern w:val="0"/>
                <w:sz w:val="20"/>
                <w:szCs w:val="20"/>
                <w:highlight w:val="none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highlight w:val="none"/>
              </w:rPr>
            </w:pPr>
            <w:r>
              <w:rPr>
                <w:rFonts w:hint="eastAsia" w:cs="Calibri"/>
                <w:kern w:val="0"/>
                <w:sz w:val="20"/>
                <w:szCs w:val="20"/>
                <w:highlight w:val="none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highlight w:val="none"/>
              </w:rPr>
            </w:pPr>
            <w:r>
              <w:rPr>
                <w:rFonts w:hint="eastAsia" w:cs="Calibri"/>
                <w:kern w:val="0"/>
                <w:sz w:val="20"/>
                <w:szCs w:val="20"/>
                <w:highlight w:val="none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highlight w:val="none"/>
              </w:rPr>
            </w:pPr>
            <w:r>
              <w:rPr>
                <w:rFonts w:hint="eastAsia" w:cs="Calibri"/>
                <w:kern w:val="0"/>
                <w:sz w:val="20"/>
                <w:szCs w:val="20"/>
                <w:highlight w:val="none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highlight w:val="none"/>
              </w:rPr>
            </w:pPr>
            <w:r>
              <w:rPr>
                <w:rFonts w:hint="eastAsia" w:cs="Calibri"/>
                <w:kern w:val="0"/>
                <w:sz w:val="20"/>
                <w:szCs w:val="20"/>
                <w:highlight w:val="none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highlight w:val="none"/>
              </w:rPr>
            </w:pPr>
            <w:r>
              <w:rPr>
                <w:rFonts w:hint="eastAsia" w:cs="Calibri"/>
                <w:kern w:val="0"/>
                <w:sz w:val="20"/>
                <w:szCs w:val="20"/>
                <w:highlight w:val="none"/>
                <w:lang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highlight w:val="none"/>
              </w:rPr>
            </w:pPr>
            <w:r>
              <w:rPr>
                <w:rFonts w:hint="eastAsia" w:cs="Calibri"/>
                <w:kern w:val="0"/>
                <w:sz w:val="20"/>
                <w:szCs w:val="20"/>
                <w:highlight w:val="none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  <w:highlight w:val="none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  <w:highlight w:val="none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rPr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lang w:bidi="ar"/>
              </w:rPr>
              <w:t>5.要求行政机关确认或重新出具已获取信息</w:t>
            </w:r>
          </w:p>
        </w:tc>
        <w:tc>
          <w:tcPr>
            <w:tcW w:w="691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highlight w:val="none"/>
              </w:rPr>
            </w:pPr>
            <w:r>
              <w:rPr>
                <w:rFonts w:hint="eastAsia" w:cs="Calibri"/>
                <w:kern w:val="0"/>
                <w:sz w:val="20"/>
                <w:szCs w:val="20"/>
                <w:highlight w:val="none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highlight w:val="none"/>
              </w:rPr>
            </w:pPr>
            <w:r>
              <w:rPr>
                <w:rFonts w:hint="eastAsia" w:cs="Calibri"/>
                <w:kern w:val="0"/>
                <w:sz w:val="20"/>
                <w:szCs w:val="20"/>
                <w:highlight w:val="none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highlight w:val="none"/>
              </w:rPr>
            </w:pPr>
            <w:r>
              <w:rPr>
                <w:rFonts w:hint="eastAsia" w:cs="Calibri"/>
                <w:kern w:val="0"/>
                <w:sz w:val="20"/>
                <w:szCs w:val="20"/>
                <w:highlight w:val="none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highlight w:val="none"/>
              </w:rPr>
            </w:pPr>
            <w:r>
              <w:rPr>
                <w:rFonts w:hint="eastAsia" w:cs="Calibri"/>
                <w:kern w:val="0"/>
                <w:sz w:val="20"/>
                <w:szCs w:val="20"/>
                <w:highlight w:val="none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highlight w:val="none"/>
              </w:rPr>
            </w:pPr>
            <w:r>
              <w:rPr>
                <w:rFonts w:hint="eastAsia" w:cs="Calibri"/>
                <w:kern w:val="0"/>
                <w:sz w:val="20"/>
                <w:szCs w:val="20"/>
                <w:highlight w:val="none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highlight w:val="none"/>
              </w:rPr>
            </w:pPr>
            <w:r>
              <w:rPr>
                <w:rFonts w:hint="eastAsia" w:cs="Calibri"/>
                <w:kern w:val="0"/>
                <w:sz w:val="20"/>
                <w:szCs w:val="20"/>
                <w:highlight w:val="none"/>
                <w:lang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highlight w:val="none"/>
              </w:rPr>
            </w:pPr>
            <w:r>
              <w:rPr>
                <w:rFonts w:hint="eastAsia" w:cs="Calibri"/>
                <w:kern w:val="0"/>
                <w:sz w:val="20"/>
                <w:szCs w:val="20"/>
                <w:highlight w:val="none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 w:hRule="atLeast"/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  <w:highlight w:val="none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lang w:bidi="ar"/>
              </w:rPr>
              <w:t>（六）其他处理</w:t>
            </w: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rPr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highlight w:val="none"/>
                <w:lang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highlight w:val="none"/>
              </w:rPr>
            </w:pPr>
            <w:r>
              <w:rPr>
                <w:rFonts w:hint="eastAsia" w:cs="Calibri"/>
                <w:kern w:val="0"/>
                <w:sz w:val="20"/>
                <w:szCs w:val="20"/>
                <w:highlight w:val="none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highlight w:val="none"/>
              </w:rPr>
            </w:pPr>
            <w:r>
              <w:rPr>
                <w:rFonts w:hint="eastAsia" w:cs="Calibri"/>
                <w:kern w:val="0"/>
                <w:sz w:val="20"/>
                <w:szCs w:val="20"/>
                <w:highlight w:val="none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highlight w:val="none"/>
              </w:rPr>
            </w:pPr>
            <w:r>
              <w:rPr>
                <w:rFonts w:hint="eastAsia" w:cs="Calibri"/>
                <w:kern w:val="0"/>
                <w:sz w:val="20"/>
                <w:szCs w:val="20"/>
                <w:highlight w:val="none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highlight w:val="none"/>
                <w:lang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  <w:highlight w:val="none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  <w:highlight w:val="none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rPr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highlight w:val="none"/>
              </w:rPr>
            </w:pPr>
            <w:r>
              <w:rPr>
                <w:rFonts w:hint="eastAsia" w:cs="Calibri"/>
                <w:kern w:val="0"/>
                <w:sz w:val="20"/>
                <w:szCs w:val="20"/>
                <w:highlight w:val="none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highlight w:val="none"/>
              </w:rPr>
            </w:pPr>
            <w:r>
              <w:rPr>
                <w:rFonts w:hint="eastAsia" w:cs="Calibri"/>
                <w:kern w:val="0"/>
                <w:sz w:val="20"/>
                <w:szCs w:val="20"/>
                <w:highlight w:val="none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highlight w:val="none"/>
              </w:rPr>
            </w:pPr>
            <w:r>
              <w:rPr>
                <w:rFonts w:hint="eastAsia" w:cs="Calibri"/>
                <w:kern w:val="0"/>
                <w:sz w:val="20"/>
                <w:szCs w:val="20"/>
                <w:highlight w:val="none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highlight w:val="none"/>
              </w:rPr>
            </w:pPr>
            <w:r>
              <w:rPr>
                <w:rFonts w:hint="eastAsia" w:cs="Calibri"/>
                <w:kern w:val="0"/>
                <w:sz w:val="20"/>
                <w:szCs w:val="20"/>
                <w:highlight w:val="none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highlight w:val="none"/>
              </w:rPr>
            </w:pPr>
            <w:r>
              <w:rPr>
                <w:rFonts w:hint="eastAsia" w:cs="Calibri"/>
                <w:kern w:val="0"/>
                <w:sz w:val="20"/>
                <w:szCs w:val="20"/>
                <w:highlight w:val="none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highlight w:val="none"/>
              </w:rPr>
            </w:pPr>
            <w:r>
              <w:rPr>
                <w:rFonts w:hint="eastAsia" w:cs="Calibri"/>
                <w:kern w:val="0"/>
                <w:sz w:val="20"/>
                <w:szCs w:val="20"/>
                <w:highlight w:val="none"/>
                <w:lang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highlight w:val="none"/>
              </w:rPr>
            </w:pPr>
            <w:r>
              <w:rPr>
                <w:rFonts w:hint="eastAsia" w:cs="Calibri"/>
                <w:kern w:val="0"/>
                <w:sz w:val="20"/>
                <w:szCs w:val="20"/>
                <w:highlight w:val="none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  <w:highlight w:val="none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  <w:highlight w:val="none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lang w:bidi="ar"/>
              </w:rPr>
              <w:t>3.其他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41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highlight w:val="none"/>
                <w:lang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highlight w:val="none"/>
              </w:rPr>
            </w:pPr>
            <w:r>
              <w:rPr>
                <w:rFonts w:hint="eastAsia" w:cs="Calibri"/>
                <w:kern w:val="0"/>
                <w:sz w:val="20"/>
                <w:szCs w:val="20"/>
                <w:highlight w:val="none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highlight w:val="none"/>
              </w:rPr>
            </w:pPr>
            <w:r>
              <w:rPr>
                <w:rFonts w:hint="eastAsia" w:cs="Calibri"/>
                <w:kern w:val="0"/>
                <w:sz w:val="20"/>
                <w:szCs w:val="20"/>
                <w:highlight w:val="none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highlight w:val="none"/>
              </w:rPr>
            </w:pPr>
            <w:r>
              <w:rPr>
                <w:rFonts w:hint="eastAsia" w:cs="Calibri"/>
                <w:kern w:val="0"/>
                <w:sz w:val="20"/>
                <w:szCs w:val="20"/>
                <w:highlight w:val="none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highlight w:val="none"/>
                <w:lang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1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44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" w:hRule="atLeast"/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  <w:highlight w:val="none"/>
              </w:rPr>
            </w:pPr>
          </w:p>
        </w:tc>
        <w:tc>
          <w:tcPr>
            <w:tcW w:w="41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lang w:bidi="ar"/>
              </w:rPr>
              <w:t>（七）总计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120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8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highlight w:val="none"/>
              </w:rPr>
            </w:pPr>
            <w:r>
              <w:rPr>
                <w:rFonts w:hint="eastAsia" w:cs="Calibri"/>
                <w:kern w:val="0"/>
                <w:sz w:val="20"/>
                <w:szCs w:val="20"/>
                <w:highlight w:val="none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highlight w:val="none"/>
              </w:rPr>
            </w:pPr>
            <w:r>
              <w:rPr>
                <w:rFonts w:hint="eastAsia" w:cs="Calibri"/>
                <w:kern w:val="0"/>
                <w:sz w:val="20"/>
                <w:szCs w:val="20"/>
                <w:highlight w:val="none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highlight w:val="none"/>
              </w:rPr>
            </w:pPr>
            <w:r>
              <w:rPr>
                <w:rFonts w:hint="eastAsia" w:cs="Calibri"/>
                <w:kern w:val="0"/>
                <w:sz w:val="20"/>
                <w:szCs w:val="20"/>
                <w:highlight w:val="none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highlight w:val="none"/>
                <w:lang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1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129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lang w:bidi="ar"/>
              </w:rPr>
              <w:t>四、结转下年度继续办理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宋体" w:eastAsia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/>
                <w:sz w:val="24"/>
                <w:highlight w:val="none"/>
                <w:lang w:val="en-US" w:eastAsia="zh-CN"/>
              </w:rPr>
              <w:t>13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560" w:lineRule="exact"/>
              <w:ind w:firstLine="240" w:firstLineChars="100"/>
              <w:jc w:val="both"/>
              <w:rPr>
                <w:rFonts w:hint="default" w:ascii="宋体" w:eastAsia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/>
                <w:sz w:val="24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/>
                <w:sz w:val="24"/>
                <w:highlight w:val="none"/>
              </w:rPr>
            </w:pPr>
            <w:r>
              <w:rPr>
                <w:rFonts w:hint="eastAsia" w:ascii="宋体"/>
                <w:sz w:val="24"/>
                <w:highlight w:val="none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/>
                <w:sz w:val="24"/>
                <w:highlight w:val="none"/>
              </w:rPr>
            </w:pPr>
            <w:r>
              <w:rPr>
                <w:rFonts w:hint="eastAsia" w:ascii="宋体"/>
                <w:sz w:val="24"/>
                <w:highlight w:val="none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/>
                <w:sz w:val="24"/>
                <w:highlight w:val="none"/>
              </w:rPr>
            </w:pPr>
            <w:r>
              <w:rPr>
                <w:rFonts w:hint="eastAsia" w:ascii="宋体"/>
                <w:sz w:val="24"/>
                <w:highlight w:val="none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/>
                <w:sz w:val="24"/>
                <w:highlight w:val="none"/>
              </w:rPr>
            </w:pPr>
            <w:r>
              <w:rPr>
                <w:rFonts w:hint="eastAsia" w:ascii="宋体"/>
                <w:sz w:val="24"/>
                <w:highlight w:val="none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宋体" w:eastAsia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/>
                <w:sz w:val="24"/>
                <w:highlight w:val="none"/>
                <w:lang w:val="en-US" w:eastAsia="zh-CN"/>
              </w:rPr>
              <w:t>13</w:t>
            </w:r>
          </w:p>
        </w:tc>
      </w:tr>
    </w:tbl>
    <w:p>
      <w:pPr>
        <w:pStyle w:val="3"/>
        <w:spacing w:line="560" w:lineRule="exact"/>
        <w:rPr>
          <w:highlight w:val="none"/>
        </w:rPr>
      </w:pPr>
    </w:p>
    <w:p>
      <w:pPr>
        <w:spacing w:line="560" w:lineRule="exact"/>
        <w:ind w:firstLine="640" w:firstLineChars="200"/>
        <w:rPr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四、政府信息公开行政复议、行政诉讼情况</w:t>
      </w:r>
    </w:p>
    <w:tbl>
      <w:tblPr>
        <w:tblStyle w:val="10"/>
        <w:tblW w:w="9319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20"/>
        <w:gridCol w:w="620"/>
        <w:gridCol w:w="620"/>
        <w:gridCol w:w="620"/>
        <w:gridCol w:w="622"/>
        <w:gridCol w:w="620"/>
        <w:gridCol w:w="620"/>
        <w:gridCol w:w="621"/>
        <w:gridCol w:w="621"/>
        <w:gridCol w:w="623"/>
        <w:gridCol w:w="622"/>
        <w:gridCol w:w="622"/>
        <w:gridCol w:w="622"/>
        <w:gridCol w:w="622"/>
        <w:gridCol w:w="624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310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lang w:bidi="ar"/>
              </w:rPr>
              <w:t>行政复议</w:t>
            </w:r>
          </w:p>
        </w:tc>
        <w:tc>
          <w:tcPr>
            <w:tcW w:w="6217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lang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62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lang w:bidi="ar"/>
              </w:rPr>
              <w:t>结果维持</w:t>
            </w:r>
          </w:p>
        </w:tc>
        <w:tc>
          <w:tcPr>
            <w:tcW w:w="62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lang w:bidi="ar"/>
              </w:rPr>
              <w:t>结果</w:t>
            </w:r>
          </w:p>
          <w:p>
            <w:pPr>
              <w:widowControl/>
              <w:spacing w:line="560" w:lineRule="exact"/>
              <w:jc w:val="center"/>
              <w:rPr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lang w:bidi="ar"/>
              </w:rPr>
              <w:t>纠正</w:t>
            </w:r>
          </w:p>
        </w:tc>
        <w:tc>
          <w:tcPr>
            <w:tcW w:w="62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lang w:bidi="ar"/>
              </w:rPr>
              <w:t>其他</w:t>
            </w:r>
          </w:p>
          <w:p>
            <w:pPr>
              <w:widowControl/>
              <w:spacing w:line="560" w:lineRule="exact"/>
              <w:jc w:val="center"/>
              <w:rPr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lang w:bidi="ar"/>
              </w:rPr>
              <w:t>结果</w:t>
            </w:r>
          </w:p>
        </w:tc>
        <w:tc>
          <w:tcPr>
            <w:tcW w:w="62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lang w:bidi="ar"/>
              </w:rPr>
              <w:t>尚未</w:t>
            </w:r>
          </w:p>
          <w:p>
            <w:pPr>
              <w:widowControl/>
              <w:spacing w:line="560" w:lineRule="exact"/>
              <w:jc w:val="center"/>
              <w:rPr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lang w:bidi="ar"/>
              </w:rPr>
              <w:t>审结</w:t>
            </w:r>
          </w:p>
        </w:tc>
        <w:tc>
          <w:tcPr>
            <w:tcW w:w="62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lang w:bidi="ar"/>
              </w:rPr>
              <w:t>总计</w:t>
            </w:r>
          </w:p>
        </w:tc>
        <w:tc>
          <w:tcPr>
            <w:tcW w:w="310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lang w:bidi="ar"/>
              </w:rPr>
              <w:t>未经复议直接起诉</w:t>
            </w:r>
          </w:p>
        </w:tc>
        <w:tc>
          <w:tcPr>
            <w:tcW w:w="311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lang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9" w:hRule="atLeast"/>
          <w:jc w:val="center"/>
        </w:trPr>
        <w:tc>
          <w:tcPr>
            <w:tcW w:w="62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  <w:highlight w:val="none"/>
              </w:rPr>
            </w:pPr>
          </w:p>
        </w:tc>
        <w:tc>
          <w:tcPr>
            <w:tcW w:w="62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  <w:highlight w:val="none"/>
              </w:rPr>
            </w:pPr>
          </w:p>
        </w:tc>
        <w:tc>
          <w:tcPr>
            <w:tcW w:w="62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  <w:highlight w:val="none"/>
              </w:rPr>
            </w:pPr>
          </w:p>
        </w:tc>
        <w:tc>
          <w:tcPr>
            <w:tcW w:w="62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  <w:highlight w:val="none"/>
              </w:rPr>
            </w:pPr>
          </w:p>
        </w:tc>
        <w:tc>
          <w:tcPr>
            <w:tcW w:w="62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  <w:highlight w:val="none"/>
              </w:rPr>
            </w:pPr>
          </w:p>
        </w:tc>
        <w:tc>
          <w:tcPr>
            <w:tcW w:w="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lang w:bidi="ar"/>
              </w:rPr>
              <w:t>结果</w:t>
            </w:r>
          </w:p>
          <w:p>
            <w:pPr>
              <w:widowControl/>
              <w:spacing w:line="560" w:lineRule="exact"/>
              <w:jc w:val="center"/>
              <w:rPr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lang w:bidi="ar"/>
              </w:rPr>
              <w:t>维持</w:t>
            </w:r>
          </w:p>
        </w:tc>
        <w:tc>
          <w:tcPr>
            <w:tcW w:w="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lang w:bidi="ar"/>
              </w:rPr>
              <w:t>结果</w:t>
            </w:r>
          </w:p>
          <w:p>
            <w:pPr>
              <w:widowControl/>
              <w:spacing w:line="560" w:lineRule="exact"/>
              <w:jc w:val="center"/>
              <w:rPr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lang w:bidi="ar"/>
              </w:rPr>
              <w:t>纠正</w:t>
            </w:r>
          </w:p>
        </w:tc>
        <w:tc>
          <w:tcPr>
            <w:tcW w:w="6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lang w:bidi="ar"/>
              </w:rPr>
              <w:t>其他</w:t>
            </w:r>
          </w:p>
          <w:p>
            <w:pPr>
              <w:widowControl/>
              <w:spacing w:line="560" w:lineRule="exact"/>
              <w:jc w:val="center"/>
              <w:rPr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lang w:bidi="ar"/>
              </w:rPr>
              <w:t>结果</w:t>
            </w:r>
          </w:p>
        </w:tc>
        <w:tc>
          <w:tcPr>
            <w:tcW w:w="6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lang w:bidi="ar"/>
              </w:rPr>
              <w:t>尚未</w:t>
            </w:r>
          </w:p>
          <w:p>
            <w:pPr>
              <w:widowControl/>
              <w:spacing w:line="560" w:lineRule="exact"/>
              <w:jc w:val="center"/>
              <w:rPr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lang w:bidi="ar"/>
              </w:rPr>
              <w:t>审结</w:t>
            </w:r>
          </w:p>
        </w:tc>
        <w:tc>
          <w:tcPr>
            <w:tcW w:w="6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总计</w:t>
            </w: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lang w:bidi="ar"/>
              </w:rPr>
              <w:t>结果</w:t>
            </w:r>
          </w:p>
          <w:p>
            <w:pPr>
              <w:widowControl/>
              <w:spacing w:line="560" w:lineRule="exact"/>
              <w:jc w:val="center"/>
              <w:rPr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lang w:bidi="ar"/>
              </w:rPr>
              <w:t>维持</w:t>
            </w: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lang w:bidi="ar"/>
              </w:rPr>
              <w:t>结果</w:t>
            </w:r>
          </w:p>
          <w:p>
            <w:pPr>
              <w:widowControl/>
              <w:spacing w:line="560" w:lineRule="exact"/>
              <w:jc w:val="center"/>
              <w:rPr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lang w:bidi="ar"/>
              </w:rPr>
              <w:t>纠正</w:t>
            </w: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其他</w:t>
            </w:r>
          </w:p>
          <w:p>
            <w:pPr>
              <w:widowControl/>
              <w:spacing w:line="560" w:lineRule="exact"/>
              <w:jc w:val="center"/>
              <w:rPr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结果</w:t>
            </w: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lang w:bidi="ar"/>
              </w:rPr>
              <w:t>尚未</w:t>
            </w:r>
          </w:p>
          <w:p>
            <w:pPr>
              <w:widowControl/>
              <w:spacing w:line="560" w:lineRule="exact"/>
              <w:jc w:val="center"/>
              <w:rPr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lang w:bidi="ar"/>
              </w:rPr>
              <w:t>审结</w:t>
            </w:r>
          </w:p>
        </w:tc>
        <w:tc>
          <w:tcPr>
            <w:tcW w:w="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  <w:jc w:val="center"/>
        </w:trPr>
        <w:tc>
          <w:tcPr>
            <w:tcW w:w="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黑体"/>
                <w:highlight w:val="none"/>
                <w:lang w:val="en-US" w:eastAsia="zh-CN"/>
              </w:rPr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  <w:highlight w:val="none"/>
                <w:lang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黑体"/>
                <w:highlight w:val="none"/>
                <w:lang w:eastAsia="zh-CN"/>
              </w:rPr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  <w:highlight w:val="none"/>
                <w:lang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highlight w:val="none"/>
                <w:lang w:val="en-US" w:eastAsia="zh-CN" w:bidi="ar"/>
              </w:rPr>
              <w:t>2</w:t>
            </w:r>
          </w:p>
        </w:tc>
        <w:tc>
          <w:tcPr>
            <w:tcW w:w="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highlight w:val="none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/>
                <w:highlight w:val="none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highlight w:val="none"/>
                <w:lang w:val="en-US" w:eastAsia="zh-CN" w:bidi="ar"/>
              </w:rPr>
              <w:t>15</w:t>
            </w:r>
          </w:p>
        </w:tc>
        <w:tc>
          <w:tcPr>
            <w:tcW w:w="6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eastAsia="黑体"/>
                <w:highlight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highlight w:val="none"/>
                <w:lang w:val="en-US" w:eastAsia="zh-CN" w:bidi="ar"/>
              </w:rPr>
              <w:t>17</w:t>
            </w:r>
          </w:p>
        </w:tc>
        <w:tc>
          <w:tcPr>
            <w:tcW w:w="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highlight w:val="none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highlight w:val="none"/>
                <w:lang w:bidi="ar"/>
              </w:rPr>
              <w:t>0</w:t>
            </w:r>
            <w:r>
              <w:rPr>
                <w:rFonts w:ascii="黑体" w:hAnsi="宋体" w:eastAsia="黑体" w:cs="黑体"/>
                <w:kern w:val="0"/>
                <w:sz w:val="20"/>
                <w:szCs w:val="20"/>
                <w:highlight w:val="none"/>
                <w:lang w:bidi="ar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黑体"/>
                <w:highlight w:val="none"/>
              </w:rPr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  <w:highlight w:val="none"/>
                <w:lang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highlight w:val="none"/>
                <w:lang w:bidi="ar"/>
              </w:rPr>
              <w:t>0</w:t>
            </w:r>
          </w:p>
        </w:tc>
        <w:tc>
          <w:tcPr>
            <w:tcW w:w="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黑体"/>
                <w:highlight w:val="none"/>
              </w:rPr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  <w:highlight w:val="none"/>
                <w:lang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highlight w:val="none"/>
                <w:lang w:bidi="ar"/>
              </w:rPr>
              <w:t>0</w:t>
            </w:r>
          </w:p>
        </w:tc>
        <w:tc>
          <w:tcPr>
            <w:tcW w:w="6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6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highlight w:val="none"/>
              </w:rPr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  <w:highlight w:val="none"/>
                <w:lang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highlight w:val="none"/>
                <w:lang w:bidi="ar"/>
              </w:rPr>
              <w:t>0</w:t>
            </w:r>
          </w:p>
        </w:tc>
        <w:tc>
          <w:tcPr>
            <w:tcW w:w="6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highlight w:val="none"/>
              </w:rPr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  <w:highlight w:val="none"/>
                <w:lang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highlight w:val="none"/>
                <w:lang w:bidi="ar"/>
              </w:rPr>
              <w:t>0</w:t>
            </w:r>
          </w:p>
        </w:tc>
        <w:tc>
          <w:tcPr>
            <w:tcW w:w="6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highlight w:val="none"/>
              </w:rPr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  <w:highlight w:val="none"/>
                <w:lang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highlight w:val="none"/>
                <w:lang w:bidi="ar"/>
              </w:rPr>
              <w:t>0</w:t>
            </w:r>
          </w:p>
        </w:tc>
        <w:tc>
          <w:tcPr>
            <w:tcW w:w="6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黑体"/>
                <w:highlight w:val="none"/>
                <w:lang w:val="en-US" w:eastAsia="zh-CN"/>
              </w:rPr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  <w:highlight w:val="none"/>
                <w:lang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hint="eastAsia" w:ascii="宋体" w:eastAsia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/>
                <w:sz w:val="24"/>
                <w:highlight w:val="none"/>
                <w:lang w:val="en-US" w:eastAsia="zh-CN"/>
              </w:rPr>
              <w:t>0</w:t>
            </w:r>
          </w:p>
        </w:tc>
      </w:tr>
    </w:tbl>
    <w:p>
      <w:pPr>
        <w:widowControl/>
        <w:spacing w:line="560" w:lineRule="exact"/>
        <w:ind w:firstLine="672" w:firstLineChars="200"/>
        <w:jc w:val="left"/>
        <w:rPr>
          <w:rFonts w:ascii="黑体" w:hAnsi="黑体" w:eastAsia="黑体" w:cs="宋体"/>
          <w:spacing w:val="8"/>
          <w:kern w:val="0"/>
          <w:sz w:val="32"/>
          <w:szCs w:val="32"/>
          <w:highlight w:val="none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  <w:highlight w:val="none"/>
        </w:rPr>
        <w:t>五、存在的主要问题及改进情况</w:t>
      </w:r>
    </w:p>
    <w:p>
      <w:pPr>
        <w:pStyle w:val="3"/>
        <w:spacing w:line="560" w:lineRule="exact"/>
        <w:ind w:firstLine="210" w:firstLineChars="10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highlight w:val="none"/>
        </w:rPr>
        <w:t xml:space="preserve"> </w:t>
      </w:r>
      <w:r>
        <w:rPr>
          <w:rFonts w:hint="eastAsia" w:ascii="楷体" w:hAnsi="楷体" w:eastAsia="楷体" w:cs="楷体"/>
          <w:sz w:val="32"/>
          <w:szCs w:val="32"/>
          <w:highlight w:val="none"/>
        </w:rPr>
        <w:t>（一）存在的主要问题</w:t>
      </w:r>
    </w:p>
    <w:p>
      <w:pPr>
        <w:pStyle w:val="3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一是在意识层面个别部门依法公开、主动公开意识尚有不足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。未能充分认识到政府信息公开对于保障公众知情权、参与权、监督权的重要意义，在信息公开工作中存在被动应付、积极性不高的现象，导致信息公开工作推进不够顺畅，影响了政府信息公开的整体成效。</w:t>
      </w:r>
    </w:p>
    <w:p>
      <w:pPr>
        <w:pStyle w:val="3"/>
        <w:spacing w:line="560" w:lineRule="exact"/>
        <w:ind w:firstLine="642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二是在内容深度方面公开内容深度有待进一步挖掘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。对于重要事项、重点工程、重大决策等关键领域的信息公开存在短板。在征求意见和结果反馈等过程性信息公开方面较为薄弱，未能完整呈现决策的全貌，使公众难以全面了解决策的形成过程和依据。同时，对社会热点、群众关切的信息挖掘不够深入，公开不够及时充分，无法充分满足公众对政府信息的多元化需求，一定程度上影响了政府与公众之间的良性互动。</w:t>
      </w:r>
    </w:p>
    <w:p>
      <w:pPr>
        <w:pStyle w:val="3"/>
        <w:spacing w:line="560" w:lineRule="exact"/>
        <w:ind w:firstLine="640" w:firstLineChars="200"/>
        <w:jc w:val="left"/>
        <w:rPr>
          <w:rFonts w:ascii="仿宋_GB2312" w:hAnsi="仿宋_GB2312" w:eastAsia="楷体" w:cs="仿宋_GB2312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sz w:val="32"/>
          <w:szCs w:val="32"/>
          <w:highlight w:val="none"/>
        </w:rPr>
        <w:t>（二）改进措施</w:t>
      </w:r>
    </w:p>
    <w:p>
      <w:pPr>
        <w:pStyle w:val="3"/>
        <w:spacing w:line="560" w:lineRule="exact"/>
        <w:ind w:firstLine="642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一是强化意识培养。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加强对政府部门工作人员的培训教育，深入学习《政府信息公开条例》等相关法律法规和政策文件，使其充分认识到政府信息公开的重要性和必要性，增强依法公开、主动公开的意识。将政府信息公开工作纳入部门绩效考核体系，建立健全激励约束机制，对信息公开工作表现突出的部门和个人给予表彰奖励，对工作不力、信息公开不及时不准确的部门进行通报批评并督促整改，以此激发各部门主动公开的积极性和主动性。</w:t>
      </w:r>
    </w:p>
    <w:p>
      <w:pPr>
        <w:pStyle w:val="3"/>
        <w:spacing w:line="560" w:lineRule="exact"/>
        <w:ind w:firstLine="642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二是深化内容公开。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制定详细的信息公开目录和指南，明确重要事项、重点工程、重大决策等关键领域的信息公开范围和标准，确保信息公开的全面性、准确性和及时性。建立健全重大决策预公开机制，对涉及公共利益和公众权益的重大决策，除依法应当保密的外，要主动向社会公布决策草案、决策依据等，广泛听取公众意见，并及时反馈意见采纳情况和理由，让公众充分参与到决策过程中来。同时，加强对社会热点、群众关切信息的监测和分析，及时挖掘并公开相关信息，回应社会关切，提升政府信息公开的针对性和实效性。</w:t>
      </w:r>
    </w:p>
    <w:p>
      <w:pPr>
        <w:widowControl/>
        <w:spacing w:line="560" w:lineRule="exact"/>
        <w:ind w:firstLine="675"/>
        <w:jc w:val="left"/>
        <w:rPr>
          <w:rFonts w:ascii="宋体" w:hAnsi="宋体" w:cs="宋体"/>
          <w:spacing w:val="8"/>
          <w:kern w:val="0"/>
          <w:sz w:val="32"/>
          <w:szCs w:val="32"/>
          <w:highlight w:val="none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  <w:highlight w:val="none"/>
        </w:rPr>
        <w:t>六、其他需要报告的事项</w:t>
      </w:r>
    </w:p>
    <w:p>
      <w:pPr>
        <w:widowControl/>
        <w:spacing w:line="560" w:lineRule="exact"/>
        <w:ind w:firstLine="672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根据《政府信息公开信息处理费管理办法》（国办函〔2020〕109号），202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年度本单位收取信息处理费情况为：发出收费通知的件数为0件，总金额为0元，实际收取的总金额为0元。</w:t>
      </w:r>
    </w:p>
    <w:p>
      <w:pPr>
        <w:widowControl/>
        <w:spacing w:line="560" w:lineRule="exact"/>
        <w:ind w:firstLine="672"/>
        <w:jc w:val="both"/>
        <w:rPr>
          <w:rFonts w:hint="eastAsia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   </w:t>
      </w:r>
      <w:r>
        <w:rPr>
          <w:rFonts w:hint="eastAsia"/>
          <w:highlight w:val="none"/>
        </w:rPr>
        <w:t xml:space="preserve">                </w:t>
      </w:r>
      <w:r>
        <w:rPr>
          <w:rFonts w:hint="eastAsia"/>
        </w:rPr>
        <w:t xml:space="preserve">           </w:t>
      </w:r>
    </w:p>
    <w:p>
      <w:pPr>
        <w:widowControl/>
        <w:spacing w:line="560" w:lineRule="exact"/>
        <w:ind w:firstLine="672"/>
        <w:jc w:val="both"/>
        <w:rPr>
          <w:rFonts w:hint="eastAsia"/>
        </w:rPr>
      </w:pPr>
    </w:p>
    <w:p>
      <w:pPr>
        <w:widowControl/>
        <w:spacing w:line="560" w:lineRule="exact"/>
        <w:ind w:firstLine="672"/>
        <w:jc w:val="right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ESI宋体-GB2312">
    <w:panose1 w:val="02000500000000000000"/>
    <w:charset w:val="86"/>
    <w:family w:val="auto"/>
    <w:pitch w:val="default"/>
    <w:sig w:usb0="800002AF" w:usb1="08476CF8" w:usb2="00000010" w:usb3="00000000" w:csb0="0004000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333ED3"/>
    <w:multiLevelType w:val="singleLevel"/>
    <w:tmpl w:val="FF333ED3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2NjJjYWRiZWYzY2ViZDcxMWU0YjhkNjE4ZmUzZjEifQ=="/>
    <w:docVar w:name="KSO_WPS_MARK_KEY" w:val="9ee568d3-c9b1-4bd0-a7e6-0f66a8f17020"/>
  </w:docVars>
  <w:rsids>
    <w:rsidRoot w:val="3883458E"/>
    <w:rsid w:val="00263458"/>
    <w:rsid w:val="003F417C"/>
    <w:rsid w:val="006936AD"/>
    <w:rsid w:val="006B1C2E"/>
    <w:rsid w:val="00A52B08"/>
    <w:rsid w:val="00EE5370"/>
    <w:rsid w:val="00EE598B"/>
    <w:rsid w:val="027F6AB2"/>
    <w:rsid w:val="03457CFC"/>
    <w:rsid w:val="038F71C9"/>
    <w:rsid w:val="03EB8992"/>
    <w:rsid w:val="042C2C6A"/>
    <w:rsid w:val="0486237A"/>
    <w:rsid w:val="049D2206"/>
    <w:rsid w:val="054F6C10"/>
    <w:rsid w:val="06767977"/>
    <w:rsid w:val="068E19BA"/>
    <w:rsid w:val="06915006"/>
    <w:rsid w:val="06A82D0D"/>
    <w:rsid w:val="071C0D73"/>
    <w:rsid w:val="074B78AB"/>
    <w:rsid w:val="07B23486"/>
    <w:rsid w:val="07D94EB6"/>
    <w:rsid w:val="07FB307F"/>
    <w:rsid w:val="08C07E24"/>
    <w:rsid w:val="09502CA9"/>
    <w:rsid w:val="09E638BB"/>
    <w:rsid w:val="0B6C7DF0"/>
    <w:rsid w:val="0CC80BC8"/>
    <w:rsid w:val="0CF734F8"/>
    <w:rsid w:val="0D2941EA"/>
    <w:rsid w:val="0DCB704F"/>
    <w:rsid w:val="0E0D7668"/>
    <w:rsid w:val="0ED32660"/>
    <w:rsid w:val="10AC3EE9"/>
    <w:rsid w:val="1283439D"/>
    <w:rsid w:val="12D9220E"/>
    <w:rsid w:val="13914897"/>
    <w:rsid w:val="13D749A0"/>
    <w:rsid w:val="14054676"/>
    <w:rsid w:val="14854EEF"/>
    <w:rsid w:val="14BE16BC"/>
    <w:rsid w:val="154047C7"/>
    <w:rsid w:val="15875F52"/>
    <w:rsid w:val="16157A01"/>
    <w:rsid w:val="17795D6E"/>
    <w:rsid w:val="182C2DE0"/>
    <w:rsid w:val="190D676E"/>
    <w:rsid w:val="192D5062"/>
    <w:rsid w:val="1A8E38DF"/>
    <w:rsid w:val="1ACE017F"/>
    <w:rsid w:val="1ACE4623"/>
    <w:rsid w:val="1B344993"/>
    <w:rsid w:val="1B860A5A"/>
    <w:rsid w:val="1BCFC66C"/>
    <w:rsid w:val="1DFB572F"/>
    <w:rsid w:val="1EB71856"/>
    <w:rsid w:val="1F6966C8"/>
    <w:rsid w:val="1F6B2827"/>
    <w:rsid w:val="21374CD0"/>
    <w:rsid w:val="229E2B2D"/>
    <w:rsid w:val="262010F0"/>
    <w:rsid w:val="27257164"/>
    <w:rsid w:val="27D17500"/>
    <w:rsid w:val="27F60D15"/>
    <w:rsid w:val="289C18BC"/>
    <w:rsid w:val="294F4B81"/>
    <w:rsid w:val="296A19BB"/>
    <w:rsid w:val="29D532D8"/>
    <w:rsid w:val="2A120695"/>
    <w:rsid w:val="2B255B99"/>
    <w:rsid w:val="2CA3146B"/>
    <w:rsid w:val="2D3E1194"/>
    <w:rsid w:val="2DA07759"/>
    <w:rsid w:val="2ED50566"/>
    <w:rsid w:val="2FCD85E2"/>
    <w:rsid w:val="322A618B"/>
    <w:rsid w:val="32737144"/>
    <w:rsid w:val="32957AA8"/>
    <w:rsid w:val="33574D5E"/>
    <w:rsid w:val="337F9A28"/>
    <w:rsid w:val="34A915E9"/>
    <w:rsid w:val="367774C5"/>
    <w:rsid w:val="3693384A"/>
    <w:rsid w:val="37E961A0"/>
    <w:rsid w:val="385C4BC4"/>
    <w:rsid w:val="387D67DD"/>
    <w:rsid w:val="3883458E"/>
    <w:rsid w:val="38BD5663"/>
    <w:rsid w:val="393D67A4"/>
    <w:rsid w:val="396C0E37"/>
    <w:rsid w:val="3AE31696"/>
    <w:rsid w:val="3B1D063B"/>
    <w:rsid w:val="3B842468"/>
    <w:rsid w:val="3C59E116"/>
    <w:rsid w:val="3CDC62D4"/>
    <w:rsid w:val="3D2D6B2F"/>
    <w:rsid w:val="3E32264F"/>
    <w:rsid w:val="3E5C400E"/>
    <w:rsid w:val="3EC84D62"/>
    <w:rsid w:val="3FDB0AC5"/>
    <w:rsid w:val="3FDF06D8"/>
    <w:rsid w:val="3FEE0E9C"/>
    <w:rsid w:val="406960D0"/>
    <w:rsid w:val="41636FC4"/>
    <w:rsid w:val="41EA3241"/>
    <w:rsid w:val="425D5371"/>
    <w:rsid w:val="42644DA1"/>
    <w:rsid w:val="42C35F6C"/>
    <w:rsid w:val="43664B49"/>
    <w:rsid w:val="44004F9E"/>
    <w:rsid w:val="448C05DF"/>
    <w:rsid w:val="454200D1"/>
    <w:rsid w:val="46B4509D"/>
    <w:rsid w:val="483B47F6"/>
    <w:rsid w:val="498B2DA7"/>
    <w:rsid w:val="49D811EA"/>
    <w:rsid w:val="4A9D71DB"/>
    <w:rsid w:val="4AFF5FAF"/>
    <w:rsid w:val="4C2A0E0A"/>
    <w:rsid w:val="4C2C2DD4"/>
    <w:rsid w:val="4CE97906"/>
    <w:rsid w:val="4D74AE78"/>
    <w:rsid w:val="4D87403A"/>
    <w:rsid w:val="4E21448E"/>
    <w:rsid w:val="4E9D7156"/>
    <w:rsid w:val="4FB31784"/>
    <w:rsid w:val="4FCE41A2"/>
    <w:rsid w:val="502913D8"/>
    <w:rsid w:val="503C110B"/>
    <w:rsid w:val="510734C7"/>
    <w:rsid w:val="5139389D"/>
    <w:rsid w:val="525A7F6F"/>
    <w:rsid w:val="52BC7D38"/>
    <w:rsid w:val="530D4FE1"/>
    <w:rsid w:val="539248CB"/>
    <w:rsid w:val="548A2DB9"/>
    <w:rsid w:val="54C6369A"/>
    <w:rsid w:val="55621614"/>
    <w:rsid w:val="564E3947"/>
    <w:rsid w:val="575A7E01"/>
    <w:rsid w:val="576F0018"/>
    <w:rsid w:val="57ACAD96"/>
    <w:rsid w:val="59C02DAD"/>
    <w:rsid w:val="59CF2FF0"/>
    <w:rsid w:val="5ACD5782"/>
    <w:rsid w:val="5B912487"/>
    <w:rsid w:val="5BA34735"/>
    <w:rsid w:val="5C1178F0"/>
    <w:rsid w:val="5C78796F"/>
    <w:rsid w:val="5C8A31FF"/>
    <w:rsid w:val="5CD5585F"/>
    <w:rsid w:val="5D211DB5"/>
    <w:rsid w:val="5D746599"/>
    <w:rsid w:val="5DCD7847"/>
    <w:rsid w:val="5EC338CC"/>
    <w:rsid w:val="5FC75B8B"/>
    <w:rsid w:val="5FCC29E1"/>
    <w:rsid w:val="60F670B5"/>
    <w:rsid w:val="62B611F1"/>
    <w:rsid w:val="63A96660"/>
    <w:rsid w:val="63EE6769"/>
    <w:rsid w:val="646A1549"/>
    <w:rsid w:val="64722EF6"/>
    <w:rsid w:val="652939D2"/>
    <w:rsid w:val="65D5198E"/>
    <w:rsid w:val="66124991"/>
    <w:rsid w:val="670E33AA"/>
    <w:rsid w:val="67A07D7A"/>
    <w:rsid w:val="67EC45A0"/>
    <w:rsid w:val="68AA4611"/>
    <w:rsid w:val="6A674B7F"/>
    <w:rsid w:val="6B4D0219"/>
    <w:rsid w:val="6B945E48"/>
    <w:rsid w:val="6C8E0AE9"/>
    <w:rsid w:val="6E2A65EF"/>
    <w:rsid w:val="6F9E7295"/>
    <w:rsid w:val="6FFE815C"/>
    <w:rsid w:val="718304F0"/>
    <w:rsid w:val="71E33685"/>
    <w:rsid w:val="743135BD"/>
    <w:rsid w:val="746C7962"/>
    <w:rsid w:val="74E92D60"/>
    <w:rsid w:val="755D5926"/>
    <w:rsid w:val="75E83018"/>
    <w:rsid w:val="76CA0970"/>
    <w:rsid w:val="76E00193"/>
    <w:rsid w:val="771147F0"/>
    <w:rsid w:val="773504DF"/>
    <w:rsid w:val="79004B1D"/>
    <w:rsid w:val="79F59698"/>
    <w:rsid w:val="7A7237F8"/>
    <w:rsid w:val="7AB14320"/>
    <w:rsid w:val="7BBFF9F0"/>
    <w:rsid w:val="7C330D65"/>
    <w:rsid w:val="7C352D2F"/>
    <w:rsid w:val="7D807F9D"/>
    <w:rsid w:val="7D9F53E6"/>
    <w:rsid w:val="7F3D637B"/>
    <w:rsid w:val="7FF94405"/>
    <w:rsid w:val="8BDF9382"/>
    <w:rsid w:val="BBBF88C8"/>
    <w:rsid w:val="BFFE0B61"/>
    <w:rsid w:val="CEBECF9F"/>
    <w:rsid w:val="D57E49BE"/>
    <w:rsid w:val="D8CB3693"/>
    <w:rsid w:val="DBFFF4DE"/>
    <w:rsid w:val="E7BEBBDA"/>
    <w:rsid w:val="EF7F5C9B"/>
    <w:rsid w:val="F3CEE911"/>
    <w:rsid w:val="F9DEBB8B"/>
    <w:rsid w:val="FDAB6A25"/>
    <w:rsid w:val="FEFC8C99"/>
    <w:rsid w:val="FEFFED3B"/>
    <w:rsid w:val="FFBF9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qFormat/>
    <w:uiPriority w:val="0"/>
    <w:pPr>
      <w:jc w:val="left"/>
    </w:pPr>
  </w:style>
  <w:style w:type="paragraph" w:styleId="3">
    <w:name w:val="Plain Text"/>
    <w:basedOn w:val="1"/>
    <w:qFormat/>
    <w:uiPriority w:val="0"/>
    <w:rPr>
      <w:rFonts w:ascii="宋体" w:hAnsi="Courier New"/>
    </w:rPr>
  </w:style>
  <w:style w:type="paragraph" w:styleId="4">
    <w:name w:val="Balloon Text"/>
    <w:basedOn w:val="1"/>
    <w:link w:val="15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hint="eastAsia" w:ascii="宋体" w:hAnsi="宋体" w:cs="宋体"/>
      <w:color w:val="000000"/>
      <w:kern w:val="0"/>
      <w:sz w:val="24"/>
    </w:rPr>
  </w:style>
  <w:style w:type="paragraph" w:styleId="9">
    <w:name w:val="annotation subject"/>
    <w:basedOn w:val="2"/>
    <w:next w:val="2"/>
    <w:link w:val="14"/>
    <w:qFormat/>
    <w:uiPriority w:val="0"/>
    <w:rPr>
      <w:b/>
      <w:bCs/>
    </w:rPr>
  </w:style>
  <w:style w:type="character" w:styleId="12">
    <w:name w:val="annotation reference"/>
    <w:basedOn w:val="11"/>
    <w:qFormat/>
    <w:uiPriority w:val="0"/>
    <w:rPr>
      <w:sz w:val="21"/>
      <w:szCs w:val="21"/>
    </w:rPr>
  </w:style>
  <w:style w:type="character" w:customStyle="1" w:styleId="13">
    <w:name w:val="批注文字 Char"/>
    <w:basedOn w:val="11"/>
    <w:link w:val="2"/>
    <w:qFormat/>
    <w:uiPriority w:val="0"/>
    <w:rPr>
      <w:rFonts w:ascii="Calibri" w:hAnsi="Calibri" w:eastAsia="宋体" w:cs="Times New Roman"/>
      <w:kern w:val="2"/>
      <w:sz w:val="21"/>
      <w:szCs w:val="24"/>
    </w:rPr>
  </w:style>
  <w:style w:type="character" w:customStyle="1" w:styleId="14">
    <w:name w:val="批注主题 Char"/>
    <w:basedOn w:val="13"/>
    <w:link w:val="9"/>
    <w:qFormat/>
    <w:uiPriority w:val="0"/>
    <w:rPr>
      <w:rFonts w:ascii="Calibri" w:hAnsi="Calibri" w:eastAsia="宋体" w:cs="Times New Roman"/>
      <w:b/>
      <w:bCs/>
      <w:kern w:val="2"/>
      <w:sz w:val="21"/>
      <w:szCs w:val="24"/>
    </w:rPr>
  </w:style>
  <w:style w:type="character" w:customStyle="1" w:styleId="15">
    <w:name w:val="批注框文本 Char"/>
    <w:basedOn w:val="11"/>
    <w:link w:val="4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442</Words>
  <Characters>2522</Characters>
  <Lines>21</Lines>
  <Paragraphs>5</Paragraphs>
  <TotalTime>5</TotalTime>
  <ScaleCrop>false</ScaleCrop>
  <LinksUpToDate>false</LinksUpToDate>
  <CharactersWithSpaces>2959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2022-01-07T17:51:00Z</dcterms:created>
  <dc:creator>Administrator</dc:creator>
  <cp:lastModifiedBy>user</cp:lastModifiedBy>
  <dcterms:modified xsi:type="dcterms:W3CDTF">2025-01-14T11:24:32Z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3D4DF69D1B47465FA5371F2F2248C922_13</vt:lpwstr>
  </property>
</Properties>
</file>