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7CEC8B">
      <w:pPr>
        <w:widowControl/>
        <w:spacing w:line="560" w:lineRule="exact"/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  <w:highlight w:val="none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highlight w:val="none"/>
          <w:lang w:val="en-US" w:eastAsia="zh-CN"/>
        </w:rPr>
        <w:t>北京市通州区台湖镇人民政府</w:t>
      </w:r>
    </w:p>
    <w:p w14:paraId="4A6A7A22">
      <w:pPr>
        <w:widowControl/>
        <w:spacing w:line="560" w:lineRule="exact"/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方正公文小标宋" w:hAnsi="方正公文小标宋" w:eastAsia="方正公文小标宋" w:cs="方正公文小标宋"/>
          <w:sz w:val="44"/>
          <w:szCs w:val="44"/>
          <w:highlight w:val="none"/>
          <w:lang w:val="en-US" w:eastAsia="zh-CN"/>
        </w:rPr>
        <w:t>2024年政府信息公开工作年度报告</w:t>
      </w:r>
    </w:p>
    <w:p w14:paraId="5D4E3197">
      <w:pPr>
        <w:pStyle w:val="2"/>
        <w:rPr>
          <w:rFonts w:hint="eastAsia"/>
          <w:lang w:val="en-US" w:eastAsia="zh-CN"/>
        </w:rPr>
      </w:pPr>
    </w:p>
    <w:p w14:paraId="004332B2">
      <w:pPr>
        <w:widowControl/>
        <w:spacing w:line="560" w:lineRule="exact"/>
        <w:ind w:firstLine="675"/>
        <w:jc w:val="left"/>
        <w:rPr>
          <w:rFonts w:hint="eastAsia" w:ascii="仿宋" w:hAnsi="仿宋" w:eastAsia="仿宋" w:cs="仿宋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8"/>
          <w:kern w:val="0"/>
          <w:sz w:val="32"/>
          <w:szCs w:val="32"/>
          <w:lang w:val="en-US" w:eastAsia="zh-CN"/>
        </w:rPr>
        <w:t>依据《中华人民共和国政府信息公开条例》(以下简称《政府信息公开条例》)第五十条规定，编制本报告。</w:t>
      </w:r>
    </w:p>
    <w:p w14:paraId="5789729A">
      <w:pPr>
        <w:widowControl/>
        <w:spacing w:line="560" w:lineRule="exact"/>
        <w:ind w:firstLine="672" w:firstLineChars="200"/>
        <w:jc w:val="left"/>
        <w:rPr>
          <w:rFonts w:ascii="黑体" w:hAnsi="黑体" w:eastAsia="黑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一、总体情况</w:t>
      </w:r>
    </w:p>
    <w:p w14:paraId="01122EC2">
      <w:pPr>
        <w:widowControl/>
        <w:spacing w:line="560" w:lineRule="exact"/>
        <w:ind w:firstLine="675"/>
        <w:jc w:val="left"/>
        <w:rPr>
          <w:rFonts w:hint="eastAsia" w:ascii="楷体_GB2312" w:hAnsi="楷体_GB2312" w:eastAsia="楷体_GB2312" w:cs="楷体_GB2312"/>
          <w:b/>
          <w:bCs/>
          <w:spacing w:val="8"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pacing w:val="8"/>
          <w:kern w:val="0"/>
          <w:sz w:val="32"/>
          <w:szCs w:val="32"/>
          <w:lang w:eastAsia="zh-CN"/>
        </w:rPr>
        <w:t>（一）</w:t>
      </w:r>
      <w:r>
        <w:rPr>
          <w:rFonts w:hint="eastAsia" w:ascii="楷体_GB2312" w:hAnsi="楷体_GB2312" w:eastAsia="楷体_GB2312" w:cs="楷体_GB2312"/>
          <w:b/>
          <w:bCs/>
          <w:spacing w:val="8"/>
          <w:kern w:val="0"/>
          <w:sz w:val="32"/>
          <w:szCs w:val="32"/>
        </w:rPr>
        <w:t>组织领导</w:t>
      </w:r>
      <w:r>
        <w:rPr>
          <w:rFonts w:hint="eastAsia" w:ascii="楷体_GB2312" w:hAnsi="楷体_GB2312" w:eastAsia="楷体_GB2312" w:cs="楷体_GB2312"/>
          <w:b/>
          <w:bCs/>
          <w:spacing w:val="8"/>
          <w:kern w:val="0"/>
          <w:sz w:val="32"/>
          <w:szCs w:val="32"/>
          <w:lang w:eastAsia="zh-CN"/>
        </w:rPr>
        <w:t>情况</w:t>
      </w:r>
    </w:p>
    <w:p w14:paraId="2AAED495">
      <w:pPr>
        <w:widowControl/>
        <w:spacing w:line="560" w:lineRule="exact"/>
        <w:ind w:firstLine="675"/>
        <w:jc w:val="left"/>
        <w:rPr>
          <w:rFonts w:hint="eastAsia" w:ascii="仿宋" w:hAnsi="仿宋" w:eastAsia="仿宋" w:cs="仿宋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8"/>
          <w:kern w:val="0"/>
          <w:sz w:val="32"/>
          <w:szCs w:val="32"/>
          <w:lang w:val="en-US" w:eastAsia="zh-CN"/>
        </w:rPr>
        <w:t>我镇始终把政府信息公开工作纳入重要工作议事日程，成立了政府信息公开工作领导小组，坚持“谁提供、谁审核、谁负责”的原则，严格按照职能职责要求把好审核关，确保公开信息的准确性、完整性和时效性，形成了主要领导亲自抓，分管领导具体抓，各科室配合抓的工作格局，确保政府信息公开工作的顺利推进。2024年，我镇按照党中央、国务院以及市委、市政府关于政务公开工作的部署要求，结合学习贯彻习近平新时代中国特色社会主义思想主题教育成果，坚持以人民为中心，着力加强自身建设，认真履行法定公开职责，切实回应公众关切，提升政务公开成效。</w:t>
      </w:r>
    </w:p>
    <w:p w14:paraId="6A390252">
      <w:pPr>
        <w:widowControl/>
        <w:numPr>
          <w:ilvl w:val="0"/>
          <w:numId w:val="1"/>
        </w:numPr>
        <w:spacing w:line="560" w:lineRule="exact"/>
        <w:ind w:firstLine="675"/>
        <w:jc w:val="left"/>
        <w:rPr>
          <w:rFonts w:hint="eastAsia" w:ascii="楷体" w:hAnsi="楷体" w:eastAsia="楷体" w:cs="楷体"/>
          <w:b/>
          <w:bCs/>
          <w:spacing w:val="8"/>
          <w:kern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pacing w:val="8"/>
          <w:kern w:val="0"/>
          <w:sz w:val="32"/>
          <w:szCs w:val="32"/>
        </w:rPr>
        <w:t>主动公开</w:t>
      </w:r>
      <w:r>
        <w:rPr>
          <w:rFonts w:hint="eastAsia" w:ascii="楷体" w:hAnsi="楷体" w:eastAsia="楷体" w:cs="楷体"/>
          <w:b/>
          <w:bCs/>
          <w:spacing w:val="8"/>
          <w:kern w:val="0"/>
          <w:sz w:val="32"/>
          <w:szCs w:val="32"/>
          <w:lang w:eastAsia="zh-CN"/>
        </w:rPr>
        <w:t>情况</w:t>
      </w:r>
    </w:p>
    <w:p w14:paraId="5923A775">
      <w:pPr>
        <w:widowControl/>
        <w:spacing w:line="560" w:lineRule="exact"/>
        <w:ind w:firstLine="675"/>
        <w:jc w:val="left"/>
        <w:rPr>
          <w:rFonts w:hint="eastAsia" w:ascii="仿宋" w:hAnsi="仿宋" w:eastAsia="仿宋" w:cs="仿宋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8"/>
          <w:kern w:val="0"/>
          <w:sz w:val="32"/>
          <w:szCs w:val="32"/>
          <w:lang w:bidi="ar-SA"/>
        </w:rPr>
        <w:t>2024年，台湖镇严格遵循《政府信息公开条例》的相关规定，紧密对接《通州区2024年政务公开工作要点》，结合本镇工作实际，对</w:t>
      </w:r>
      <w:r>
        <w:rPr>
          <w:rFonts w:hint="eastAsia" w:ascii="仿宋" w:hAnsi="仿宋" w:eastAsia="仿宋" w:cs="仿宋"/>
          <w:spacing w:val="8"/>
          <w:kern w:val="0"/>
          <w:sz w:val="32"/>
          <w:szCs w:val="32"/>
          <w:lang w:val="en-US" w:eastAsia="zh-CN" w:bidi="ar-SA"/>
        </w:rPr>
        <w:t>2024年政府信息公开工作进行了</w:t>
      </w:r>
      <w:r>
        <w:rPr>
          <w:rFonts w:hint="eastAsia" w:ascii="仿宋" w:hAnsi="仿宋" w:eastAsia="仿宋" w:cs="仿宋"/>
          <w:spacing w:val="8"/>
          <w:kern w:val="0"/>
          <w:sz w:val="32"/>
          <w:szCs w:val="32"/>
          <w:lang w:bidi="ar-SA"/>
        </w:rPr>
        <w:t>细致的分解</w:t>
      </w:r>
      <w:r>
        <w:rPr>
          <w:rFonts w:hint="eastAsia" w:ascii="仿宋" w:hAnsi="仿宋" w:eastAsia="仿宋" w:cs="仿宋"/>
          <w:spacing w:val="8"/>
          <w:kern w:val="0"/>
          <w:sz w:val="32"/>
          <w:szCs w:val="32"/>
          <w:lang w:val="en-US" w:eastAsia="zh-CN" w:bidi="ar-SA"/>
        </w:rPr>
        <w:t>并认真执行</w:t>
      </w:r>
      <w:r>
        <w:rPr>
          <w:rFonts w:hint="eastAsia" w:ascii="仿宋" w:hAnsi="仿宋" w:eastAsia="仿宋" w:cs="仿宋"/>
          <w:spacing w:val="8"/>
          <w:kern w:val="0"/>
          <w:sz w:val="32"/>
          <w:szCs w:val="32"/>
          <w:lang w:bidi="ar-SA"/>
        </w:rPr>
        <w:t>。抓好重点领域信息发布</w:t>
      </w:r>
      <w:r>
        <w:rPr>
          <w:rFonts w:hint="eastAsia" w:ascii="仿宋" w:hAnsi="仿宋" w:eastAsia="仿宋" w:cs="仿宋"/>
          <w:spacing w:val="8"/>
          <w:kern w:val="0"/>
          <w:sz w:val="32"/>
          <w:szCs w:val="32"/>
          <w:lang w:eastAsia="zh-CN" w:bidi="ar-SA"/>
        </w:rPr>
        <w:t>，</w:t>
      </w:r>
      <w:r>
        <w:rPr>
          <w:rFonts w:hint="eastAsia" w:ascii="仿宋" w:hAnsi="仿宋" w:eastAsia="仿宋" w:cs="仿宋"/>
          <w:spacing w:val="8"/>
          <w:kern w:val="0"/>
          <w:sz w:val="32"/>
          <w:szCs w:val="32"/>
          <w:lang w:val="en-US" w:eastAsia="zh-CN" w:bidi="ar-SA"/>
        </w:rPr>
        <w:t>在上一年度主动公开的基础上，对政府网站上的</w:t>
      </w:r>
      <w:r>
        <w:rPr>
          <w:rFonts w:hint="eastAsia" w:ascii="仿宋" w:hAnsi="仿宋" w:eastAsia="仿宋" w:cs="仿宋"/>
          <w:spacing w:val="8"/>
          <w:kern w:val="0"/>
          <w:sz w:val="32"/>
          <w:szCs w:val="32"/>
          <w:lang w:bidi="ar-SA"/>
        </w:rPr>
        <w:t>机构职责、机构设置、办公地址、办公时间、联系方式以及领导简介等重要信息</w:t>
      </w:r>
      <w:r>
        <w:rPr>
          <w:rFonts w:hint="eastAsia" w:ascii="仿宋" w:hAnsi="仿宋" w:eastAsia="仿宋" w:cs="仿宋"/>
          <w:spacing w:val="8"/>
          <w:kern w:val="0"/>
          <w:sz w:val="32"/>
          <w:szCs w:val="32"/>
          <w:lang w:val="en-US" w:eastAsia="zh-CN" w:bidi="ar-SA"/>
        </w:rPr>
        <w:t>进行定期核查与</w:t>
      </w:r>
      <w:r>
        <w:rPr>
          <w:rFonts w:hint="eastAsia" w:ascii="仿宋" w:hAnsi="仿宋" w:eastAsia="仿宋" w:cs="仿宋"/>
          <w:spacing w:val="8"/>
          <w:kern w:val="0"/>
          <w:sz w:val="32"/>
          <w:szCs w:val="32"/>
          <w:lang w:bidi="ar-SA"/>
        </w:rPr>
        <w:t>更新</w:t>
      </w:r>
      <w:r>
        <w:rPr>
          <w:rFonts w:hint="eastAsia" w:ascii="仿宋" w:hAnsi="仿宋" w:eastAsia="仿宋" w:cs="仿宋"/>
          <w:spacing w:val="8"/>
          <w:kern w:val="0"/>
          <w:sz w:val="32"/>
          <w:szCs w:val="32"/>
          <w:lang w:eastAsia="zh-CN" w:bidi="ar-SA"/>
        </w:rPr>
        <w:t>。极回应民生关切，</w:t>
      </w:r>
      <w:r>
        <w:rPr>
          <w:rFonts w:hint="eastAsia" w:ascii="仿宋" w:hAnsi="仿宋" w:eastAsia="仿宋" w:cs="仿宋"/>
          <w:spacing w:val="8"/>
          <w:kern w:val="0"/>
          <w:sz w:val="32"/>
          <w:szCs w:val="32"/>
          <w:lang w:bidi="ar-SA"/>
        </w:rPr>
        <w:t>主动公开了</w:t>
      </w:r>
      <w:r>
        <w:rPr>
          <w:rFonts w:hint="eastAsia" w:ascii="仿宋" w:hAnsi="仿宋" w:eastAsia="仿宋" w:cs="仿宋"/>
          <w:spacing w:val="8"/>
          <w:kern w:val="0"/>
          <w:sz w:val="32"/>
          <w:szCs w:val="32"/>
          <w:u w:val="none"/>
          <w:lang w:val="en-US" w:eastAsia="zh-CN" w:bidi="ar-SA"/>
        </w:rPr>
        <w:t>600</w:t>
      </w:r>
      <w:r>
        <w:rPr>
          <w:rFonts w:hint="eastAsia" w:ascii="仿宋" w:hAnsi="仿宋" w:eastAsia="仿宋" w:cs="仿宋"/>
          <w:spacing w:val="8"/>
          <w:kern w:val="0"/>
          <w:sz w:val="32"/>
          <w:szCs w:val="32"/>
          <w:lang w:bidi="ar-SA"/>
        </w:rPr>
        <w:t>余条政府信息，涵盖了年度财政预决算、教育、医疗、社会保障、促进就业等多个方面，全面展示了政府工作的透明度和为民服务的宗旨，确保了公众对政府工作的知情权和参与权。</w:t>
      </w:r>
    </w:p>
    <w:p w14:paraId="6021C47A">
      <w:pPr>
        <w:widowControl/>
        <w:numPr>
          <w:ilvl w:val="0"/>
          <w:numId w:val="1"/>
        </w:numPr>
        <w:spacing w:line="560" w:lineRule="exact"/>
        <w:ind w:firstLine="675"/>
        <w:jc w:val="left"/>
        <w:rPr>
          <w:rFonts w:hint="eastAsia" w:ascii="楷体" w:hAnsi="楷体" w:eastAsia="楷体" w:cs="楷体"/>
          <w:b/>
          <w:bCs/>
          <w:spacing w:val="8"/>
          <w:kern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pacing w:val="8"/>
          <w:kern w:val="0"/>
          <w:sz w:val="32"/>
          <w:szCs w:val="32"/>
          <w:lang w:eastAsia="zh-CN"/>
        </w:rPr>
        <w:t>依申请公开情况</w:t>
      </w:r>
    </w:p>
    <w:p w14:paraId="7A93E077">
      <w:pPr>
        <w:widowControl/>
        <w:spacing w:line="560" w:lineRule="exact"/>
        <w:ind w:firstLine="675"/>
        <w:jc w:val="left"/>
        <w:rPr>
          <w:rFonts w:hint="eastAsia" w:ascii="仿宋" w:hAnsi="仿宋" w:eastAsia="仿宋" w:cs="仿宋"/>
          <w:spacing w:val="8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pacing w:val="8"/>
          <w:kern w:val="0"/>
          <w:sz w:val="32"/>
          <w:szCs w:val="32"/>
          <w:u w:val="none"/>
          <w:lang w:val="en-US" w:eastAsia="zh-CN"/>
        </w:rPr>
        <w:t>2024年，台湖镇用心办理政府信息公开申请，严格执行公开办理程序，加强与申请人的沟通交流，精准掌握实际诉求，切实提高办理质量。共受理依申请公开28件，其中上年结转政府信息公开申请数量2件，结转下年度继续办理政府信息公开申请数量1件，予以公开8件，部分公开6件，本机关不掌握相关政府信息10件，其他处理3件。协助通州区政府办理依申请公开案件9件，均已回函。</w:t>
      </w:r>
    </w:p>
    <w:p w14:paraId="398A8C7E">
      <w:pPr>
        <w:widowControl/>
        <w:numPr>
          <w:ilvl w:val="0"/>
          <w:numId w:val="1"/>
        </w:numPr>
        <w:spacing w:line="560" w:lineRule="exact"/>
        <w:ind w:firstLine="675"/>
        <w:jc w:val="left"/>
        <w:rPr>
          <w:rFonts w:hint="eastAsia" w:ascii="楷体" w:hAnsi="楷体" w:eastAsia="楷体" w:cs="楷体"/>
          <w:b/>
          <w:bCs/>
          <w:spacing w:val="8"/>
          <w:kern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pacing w:val="8"/>
          <w:kern w:val="0"/>
          <w:sz w:val="32"/>
          <w:szCs w:val="32"/>
          <w:lang w:eastAsia="zh-CN"/>
        </w:rPr>
        <w:t>政府信息管理情况</w:t>
      </w:r>
    </w:p>
    <w:p w14:paraId="722920AE">
      <w:pPr>
        <w:widowControl/>
        <w:spacing w:line="560" w:lineRule="exact"/>
        <w:ind w:firstLine="675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8"/>
          <w:kern w:val="0"/>
          <w:sz w:val="32"/>
          <w:szCs w:val="32"/>
          <w:lang w:val="en-US" w:eastAsia="zh-CN" w:bidi="ar-SA"/>
        </w:rPr>
        <w:t>继续</w:t>
      </w:r>
      <w:r>
        <w:rPr>
          <w:rFonts w:hint="eastAsia" w:ascii="仿宋" w:hAnsi="仿宋" w:eastAsia="仿宋" w:cs="仿宋"/>
          <w:spacing w:val="8"/>
          <w:kern w:val="0"/>
          <w:sz w:val="32"/>
          <w:szCs w:val="32"/>
          <w:lang w:bidi="ar-SA"/>
        </w:rPr>
        <w:t>坚决贯彻执行保密审查原则，构建并完善政府信息公开全周期审查机制，坚持在公开前对信息内容进行严格审查，定期开展公开内容的自我检查，确保公开内容的真实性、准确性。定期对政府信息公开工作进行考核、评议。同时，加强对政府信息公开工作的日常监督和检查，发现问题及时整改落实</w:t>
      </w:r>
      <w:r>
        <w:rPr>
          <w:rFonts w:hint="eastAsia" w:ascii="仿宋" w:hAnsi="仿宋" w:eastAsia="仿宋" w:cs="仿宋"/>
          <w:spacing w:val="8"/>
          <w:kern w:val="0"/>
          <w:sz w:val="32"/>
          <w:szCs w:val="32"/>
          <w:lang w:eastAsia="zh-CN" w:bidi="ar-SA"/>
        </w:rPr>
        <w:t>。</w:t>
      </w:r>
      <w:r>
        <w:rPr>
          <w:rFonts w:hint="eastAsia" w:ascii="仿宋" w:hAnsi="仿宋" w:eastAsia="仿宋" w:cs="仿宋"/>
          <w:spacing w:val="8"/>
          <w:kern w:val="0"/>
          <w:sz w:val="32"/>
          <w:szCs w:val="32"/>
          <w:lang w:bidi="ar-SA"/>
        </w:rPr>
        <w:t>持续强化对依申请公开流程的管理，严格按照法律法规办理，确保办理时限、办理程序的标准化、规范化。</w:t>
      </w:r>
    </w:p>
    <w:p w14:paraId="498FAA46">
      <w:pPr>
        <w:widowControl/>
        <w:numPr>
          <w:ilvl w:val="0"/>
          <w:numId w:val="1"/>
        </w:numPr>
        <w:spacing w:line="560" w:lineRule="exact"/>
        <w:ind w:firstLine="675"/>
        <w:jc w:val="left"/>
        <w:rPr>
          <w:rFonts w:hint="eastAsia" w:ascii="楷体" w:hAnsi="楷体" w:eastAsia="楷体" w:cs="楷体"/>
          <w:b/>
          <w:bCs/>
          <w:spacing w:val="8"/>
          <w:kern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pacing w:val="8"/>
          <w:kern w:val="0"/>
          <w:sz w:val="32"/>
          <w:szCs w:val="32"/>
          <w:lang w:eastAsia="zh-CN"/>
        </w:rPr>
        <w:t>政府信息公开平台建设情况</w:t>
      </w:r>
    </w:p>
    <w:p w14:paraId="6D92BC95">
      <w:pPr>
        <w:widowControl/>
        <w:spacing w:line="560" w:lineRule="exact"/>
        <w:ind w:firstLine="675"/>
        <w:jc w:val="left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spacing w:val="8"/>
          <w:kern w:val="0"/>
          <w:sz w:val="32"/>
          <w:szCs w:val="32"/>
          <w:lang w:bidi="ar-SA"/>
        </w:rPr>
        <w:t>持续推进</w:t>
      </w:r>
      <w:r>
        <w:rPr>
          <w:rFonts w:hint="eastAsia" w:ascii="仿宋" w:hAnsi="仿宋" w:eastAsia="仿宋" w:cs="仿宋"/>
          <w:spacing w:val="8"/>
          <w:kern w:val="0"/>
          <w:sz w:val="32"/>
          <w:szCs w:val="32"/>
          <w:lang w:val="en-US" w:eastAsia="zh-CN" w:bidi="ar-SA"/>
        </w:rPr>
        <w:t>新媒体</w:t>
      </w:r>
      <w:r>
        <w:rPr>
          <w:rFonts w:hint="eastAsia" w:ascii="仿宋" w:hAnsi="仿宋" w:eastAsia="仿宋" w:cs="仿宋"/>
          <w:spacing w:val="8"/>
          <w:kern w:val="0"/>
          <w:sz w:val="32"/>
          <w:szCs w:val="32"/>
          <w:lang w:bidi="ar-SA"/>
        </w:rPr>
        <w:t>集约化平台建设，严格落实网络意识形态工作责任制，加强技术监测和维护，有力保障政府信息公开专栏安全平稳运行，确保各栏目内容展示统一、标准、规范。</w:t>
      </w:r>
      <w:r>
        <w:rPr>
          <w:rFonts w:ascii="仿宋" w:hAnsi="仿宋" w:eastAsia="仿宋" w:cs="仿宋"/>
          <w:spacing w:val="8"/>
          <w:kern w:val="0"/>
          <w:sz w:val="32"/>
          <w:szCs w:val="32"/>
          <w:lang w:bidi="ar-SA"/>
        </w:rPr>
        <w:t>充分利用政务新媒体“</w:t>
      </w:r>
      <w:r>
        <w:rPr>
          <w:rFonts w:hint="eastAsia" w:ascii="仿宋" w:hAnsi="仿宋" w:eastAsia="仿宋" w:cs="仿宋"/>
          <w:spacing w:val="8"/>
          <w:kern w:val="0"/>
          <w:sz w:val="32"/>
          <w:szCs w:val="32"/>
          <w:lang w:eastAsia="zh-CN" w:bidi="ar-SA"/>
        </w:rPr>
        <w:t>乐和台湖</w:t>
      </w:r>
      <w:r>
        <w:rPr>
          <w:rFonts w:ascii="仿宋" w:hAnsi="仿宋" w:eastAsia="仿宋" w:cs="仿宋"/>
          <w:spacing w:val="8"/>
          <w:kern w:val="0"/>
          <w:sz w:val="32"/>
          <w:szCs w:val="32"/>
          <w:lang w:bidi="ar-SA"/>
        </w:rPr>
        <w:t>”微信公众号、视频号等平台，积极主动地公开信息，加强政府与民众之间的互动交流，拓展社会公众获取信息的渠道，以便于群众便捷地查阅和了解政府业务动态、工作热点，进一步提升政务公开透明度，增强政府工作的公信力。</w:t>
      </w:r>
    </w:p>
    <w:p w14:paraId="37F4C672">
      <w:pPr>
        <w:widowControl/>
        <w:numPr>
          <w:ilvl w:val="0"/>
          <w:numId w:val="1"/>
        </w:numPr>
        <w:spacing w:line="560" w:lineRule="exact"/>
        <w:ind w:firstLine="675"/>
        <w:jc w:val="left"/>
        <w:rPr>
          <w:rFonts w:hint="eastAsia" w:ascii="楷体" w:hAnsi="楷体" w:eastAsia="楷体" w:cs="楷体"/>
          <w:b/>
          <w:bCs/>
          <w:spacing w:val="8"/>
          <w:kern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pacing w:val="8"/>
          <w:kern w:val="0"/>
          <w:sz w:val="32"/>
          <w:szCs w:val="32"/>
          <w:lang w:eastAsia="zh-CN"/>
        </w:rPr>
        <w:t>教育培训情况</w:t>
      </w:r>
    </w:p>
    <w:p w14:paraId="56854AD5">
      <w:pPr>
        <w:widowControl/>
        <w:spacing w:line="560" w:lineRule="exact"/>
        <w:ind w:firstLine="675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8"/>
          <w:kern w:val="0"/>
          <w:sz w:val="32"/>
          <w:szCs w:val="32"/>
          <w:lang w:val="en-US" w:eastAsia="zh-CN" w:bidi="ar-SA"/>
        </w:rPr>
        <w:t>相应工作人员</w:t>
      </w:r>
      <w:r>
        <w:rPr>
          <w:rFonts w:hint="eastAsia" w:ascii="仿宋" w:hAnsi="仿宋" w:eastAsia="仿宋" w:cs="仿宋"/>
          <w:spacing w:val="8"/>
          <w:kern w:val="0"/>
          <w:sz w:val="32"/>
          <w:szCs w:val="32"/>
          <w:lang w:bidi="ar-SA"/>
        </w:rPr>
        <w:t>积极</w:t>
      </w:r>
      <w:r>
        <w:rPr>
          <w:rFonts w:hint="eastAsia" w:ascii="仿宋" w:hAnsi="仿宋" w:eastAsia="仿宋" w:cs="仿宋"/>
          <w:spacing w:val="8"/>
          <w:kern w:val="0"/>
          <w:sz w:val="32"/>
          <w:szCs w:val="32"/>
          <w:lang w:val="en-US" w:eastAsia="zh-CN" w:bidi="ar-SA"/>
        </w:rPr>
        <w:t>参加</w:t>
      </w:r>
      <w:r>
        <w:rPr>
          <w:rFonts w:hint="eastAsia" w:ascii="仿宋" w:hAnsi="仿宋" w:eastAsia="仿宋" w:cs="仿宋"/>
          <w:spacing w:val="8"/>
          <w:kern w:val="0"/>
          <w:sz w:val="32"/>
          <w:szCs w:val="32"/>
          <w:lang w:bidi="ar-SA"/>
        </w:rPr>
        <w:t>区政务服务管理局</w:t>
      </w:r>
      <w:r>
        <w:rPr>
          <w:rFonts w:hint="eastAsia" w:ascii="仿宋" w:hAnsi="仿宋" w:eastAsia="仿宋" w:cs="仿宋"/>
          <w:spacing w:val="8"/>
          <w:kern w:val="0"/>
          <w:sz w:val="32"/>
          <w:szCs w:val="32"/>
          <w:lang w:val="en-US" w:eastAsia="zh-CN" w:bidi="ar-SA"/>
        </w:rPr>
        <w:t>和上级单位</w:t>
      </w:r>
      <w:r>
        <w:rPr>
          <w:rFonts w:hint="eastAsia" w:ascii="仿宋" w:hAnsi="仿宋" w:eastAsia="仿宋" w:cs="仿宋"/>
          <w:spacing w:val="8"/>
          <w:kern w:val="0"/>
          <w:sz w:val="32"/>
          <w:szCs w:val="32"/>
          <w:lang w:bidi="ar-SA"/>
        </w:rPr>
        <w:t>举办的政府信息公开业务培训，深刻领会相关工作要求，提升政策理论素养，交流政务公开工作经验。主动策划并实施会前学法等活动，组织深入学习政务公开法律法规，增强领导干部政务公开意识，提高各部门政务公开水平和能力。</w:t>
      </w:r>
    </w:p>
    <w:p w14:paraId="1DFCBDE2">
      <w:pPr>
        <w:widowControl/>
        <w:numPr>
          <w:ilvl w:val="0"/>
          <w:numId w:val="1"/>
        </w:numPr>
        <w:spacing w:line="560" w:lineRule="exact"/>
        <w:ind w:firstLine="675"/>
        <w:jc w:val="left"/>
        <w:rPr>
          <w:rFonts w:hint="eastAsia" w:ascii="楷体" w:hAnsi="楷体" w:eastAsia="楷体" w:cs="楷体"/>
          <w:b/>
          <w:bCs/>
          <w:spacing w:val="8"/>
          <w:kern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pacing w:val="8"/>
          <w:kern w:val="0"/>
          <w:sz w:val="32"/>
          <w:szCs w:val="32"/>
          <w:lang w:eastAsia="zh-CN"/>
        </w:rPr>
        <w:t>监督保障情况</w:t>
      </w:r>
    </w:p>
    <w:p w14:paraId="4D21A9D5">
      <w:pPr>
        <w:widowControl/>
        <w:spacing w:line="560" w:lineRule="exact"/>
        <w:ind w:firstLine="675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" w:hAnsi="仿宋" w:eastAsia="仿宋" w:cs="仿宋"/>
          <w:spacing w:val="8"/>
          <w:kern w:val="0"/>
          <w:sz w:val="32"/>
          <w:szCs w:val="32"/>
          <w:lang w:val="en-US" w:eastAsia="zh-CN" w:bidi="ar-SA"/>
        </w:rPr>
        <w:t>我镇</w:t>
      </w:r>
      <w:r>
        <w:rPr>
          <w:rFonts w:hint="eastAsia" w:ascii="仿宋" w:hAnsi="仿宋" w:eastAsia="仿宋" w:cs="仿宋"/>
          <w:spacing w:val="8"/>
          <w:kern w:val="0"/>
          <w:sz w:val="32"/>
          <w:szCs w:val="32"/>
          <w:lang w:bidi="ar-SA"/>
        </w:rPr>
        <w:t>高度重视政府信息公开的监督保障工作，严格执行保密审查制度，对拟公开的信息进行全面筛查，确保不泄露国家机密和个人隐私，保障信息安全。定期对各科室的信息公开情况进行检查和评估，重点检查信息的准确性、完整性和及时性，对发现的问题及时督促整改，设置投诉举报电话，广泛接受社会公众和媒体的监督，积极回应社会关切，切实保障公众的知情权、参与权和监督权。</w:t>
      </w:r>
    </w:p>
    <w:p w14:paraId="4E3804CE">
      <w:pPr>
        <w:numPr>
          <w:ilvl w:val="0"/>
          <w:numId w:val="2"/>
        </w:num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主动公开政府信息情况</w:t>
      </w:r>
    </w:p>
    <w:p w14:paraId="2C7CAB84">
      <w:pPr>
        <w:pStyle w:val="4"/>
        <w:numPr>
          <w:ilvl w:val="0"/>
          <w:numId w:val="0"/>
        </w:numPr>
        <w:rPr>
          <w:rFonts w:hint="eastAsia"/>
        </w:rPr>
      </w:pPr>
    </w:p>
    <w:tbl>
      <w:tblPr>
        <w:tblStyle w:val="10"/>
        <w:tblW w:w="974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 w14:paraId="59E6F1E4">
        <w:tblPrEx>
          <w:tblLayout w:type="fixed"/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2DDAA46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 w14:paraId="464F6F76">
        <w:tblPrEx>
          <w:tblLayout w:type="fixed"/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23E40D33"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17DD6F1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26F01096"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4BAEAF6E"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现行有效件数</w:t>
            </w:r>
          </w:p>
        </w:tc>
      </w:tr>
      <w:tr w14:paraId="1DEEF7BB">
        <w:tblPrEx>
          <w:tblLayout w:type="fixed"/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59087EF3"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D98204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8845D5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A06607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</w:tr>
      <w:tr w14:paraId="0F210CB6">
        <w:tblPrEx>
          <w:tblLayout w:type="fixed"/>
        </w:tblPrEx>
        <w:trPr>
          <w:trHeight w:val="224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401B0217"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457E31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09DA97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A49FCA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5</w:t>
            </w:r>
          </w:p>
        </w:tc>
      </w:tr>
      <w:tr w14:paraId="08A752FE">
        <w:tblPrEx>
          <w:tblLayout w:type="fixed"/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670C3E5C"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 w14:paraId="75B0B420">
        <w:tblPrEx>
          <w:tblLayout w:type="fixed"/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5F09D169"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6ED3303D"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 w14:paraId="7856A48F">
        <w:tblPrEx>
          <w:tblLayout w:type="fixed"/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1B91E97B"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C7F3F7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B28DCF6">
        <w:tblPrEx>
          <w:tblLayout w:type="fixed"/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4016B110"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 w14:paraId="6E3619BF">
        <w:tblPrEx>
          <w:tblLayout w:type="fixed"/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2AD12BF6"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6EE6E81D"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 w14:paraId="21196FC4">
        <w:tblPrEx>
          <w:tblLayout w:type="fixed"/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3A9F482B"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63172AA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2366</w:t>
            </w:r>
          </w:p>
        </w:tc>
      </w:tr>
      <w:tr w14:paraId="7B7880D6">
        <w:tblPrEx>
          <w:tblLayout w:type="fixed"/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32D4F0A2"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372562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</w:tr>
      <w:tr w14:paraId="23FC679D">
        <w:tblPrEx>
          <w:tblLayout w:type="fixed"/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1ADBBDD7"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 w14:paraId="7522285C">
        <w:tblPrEx>
          <w:tblLayout w:type="fixed"/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787E235C"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351BB4F6"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 w14:paraId="03C66365">
        <w:tblPrEx>
          <w:tblLayout w:type="fixed"/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42BB7AF5"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4E530D84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</w:tr>
    </w:tbl>
    <w:p w14:paraId="1AF455BD">
      <w:pPr>
        <w:pStyle w:val="4"/>
        <w:numPr>
          <w:ilvl w:val="0"/>
          <w:numId w:val="0"/>
        </w:numPr>
        <w:rPr>
          <w:rFonts w:hint="eastAsia"/>
        </w:rPr>
      </w:pPr>
    </w:p>
    <w:p w14:paraId="6270B72E">
      <w:pPr>
        <w:numPr>
          <w:ilvl w:val="0"/>
          <w:numId w:val="0"/>
        </w:numPr>
        <w:spacing w:line="560" w:lineRule="exact"/>
        <w:ind w:left="630" w:leftChars="0"/>
        <w:rPr>
          <w:rFonts w:hint="eastAsia"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val="en-US" w:eastAsia="zh-CN" w:bidi="ar"/>
        </w:rPr>
        <w:t>三、</w:t>
      </w:r>
      <w:r>
        <w:rPr>
          <w:rFonts w:hint="eastAsia" w:ascii="黑体" w:hAnsi="宋体" w:eastAsia="黑体" w:cs="黑体"/>
          <w:sz w:val="32"/>
          <w:szCs w:val="32"/>
          <w:lang w:bidi="ar"/>
        </w:rPr>
        <w:t>收到和处理政府信息公开申请情况</w:t>
      </w:r>
    </w:p>
    <w:p w14:paraId="3EE3EEBE">
      <w:pPr>
        <w:ind w:left="629"/>
        <w:rPr>
          <w:rFonts w:hint="eastAsia" w:ascii="黑体" w:hAnsi="宋体" w:eastAsia="黑体" w:cs="黑体"/>
          <w:sz w:val="24"/>
        </w:rPr>
      </w:pPr>
    </w:p>
    <w:tbl>
      <w:tblPr>
        <w:tblStyle w:val="10"/>
        <w:tblW w:w="9748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 w14:paraId="76159352">
        <w:tblPrEx>
          <w:tblLayout w:type="fixed"/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14:paraId="22C14DB5">
            <w:pPr>
              <w:widowControl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179A092A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 w14:paraId="110E9238">
        <w:tblPrEx>
          <w:tblLayout w:type="fixed"/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14:paraId="1F1A35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8" w:type="dxa"/>
            <w:vMerge w:val="restart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0E76FE1D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7D8F88A7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5C6927FF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 w14:paraId="09CCE6CC">
        <w:tblPrEx>
          <w:tblLayout w:type="fixed"/>
        </w:tblPrEx>
        <w:trPr>
          <w:trHeight w:val="348" w:hRule="atLeast"/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14:paraId="42BC8DD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8" w:type="dxa"/>
            <w:vMerge w:val="continue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406233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11C9345A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商业</w:t>
            </w:r>
          </w:p>
          <w:p w14:paraId="1D0331B0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6DA5259E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科研</w:t>
            </w:r>
          </w:p>
          <w:p w14:paraId="2B9866D4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580C4D0F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38AAB8A3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46D77A9A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7F798F8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14:paraId="48E71B04">
        <w:tblPrEx>
          <w:tblLayout w:type="fixed"/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358019B3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9F19470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val="en-US" w:eastAsia="zh-CN" w:bidi="ar"/>
              </w:rPr>
              <w:t>24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FD9090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3176C0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912FD5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5584D1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46939E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C19789E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26</w:t>
            </w:r>
          </w:p>
        </w:tc>
      </w:tr>
      <w:tr w14:paraId="24C050BB">
        <w:tblPrEx>
          <w:tblLayout w:type="fixed"/>
        </w:tblPrEx>
        <w:trPr>
          <w:trHeight w:val="228" w:hRule="atLeast"/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6F17EF8C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3EB835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006958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ED64CC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C2A9B2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230F52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BC462B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8DB328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2</w:t>
            </w:r>
          </w:p>
        </w:tc>
      </w:tr>
      <w:tr w14:paraId="23F26FC0">
        <w:tblPrEx>
          <w:tblLayout w:type="fixed"/>
        </w:tblPrEx>
        <w:trPr>
          <w:jc w:val="center"/>
        </w:trPr>
        <w:tc>
          <w:tcPr>
            <w:tcW w:w="768" w:type="dxa"/>
            <w:vMerge w:val="restart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4148F590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4C7CE173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A9425E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2B6E09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ACC9BF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856895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C4DA2A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14BC1A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0C1EFC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8</w:t>
            </w:r>
          </w:p>
        </w:tc>
      </w:tr>
      <w:tr w14:paraId="6CD92BAC">
        <w:tblPrEx>
          <w:tblLayout w:type="fixed"/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3E98BE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50428DB7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D80E12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E566F4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052D8D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92B46E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099E6E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CAD8BC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9621DBA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6</w:t>
            </w:r>
          </w:p>
        </w:tc>
      </w:tr>
      <w:tr w14:paraId="4DD883A1">
        <w:tblPrEx>
          <w:tblLayout w:type="fixed"/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6874D49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7EBA1C18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 w14:paraId="7BF84D15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BFACB2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91C0D6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AE5058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F0E12C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5B6907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44E288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1DC08F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</w:tr>
      <w:tr w14:paraId="4846B45A">
        <w:tblPrEx>
          <w:tblLayout w:type="fixed"/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34400A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65A3079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 w14:paraId="6C55CF0C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AE7F9B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A298B6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A17391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DFF6D8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333134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E40083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0D20D5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</w:tr>
      <w:tr w14:paraId="48290C61">
        <w:tblPrEx>
          <w:tblLayout w:type="fixed"/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60D829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595DA36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 w14:paraId="49D618E6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599143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D48BF9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0569B1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D527CF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541B8B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F51804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F73EE5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</w:tr>
      <w:tr w14:paraId="63FC8201">
        <w:tblPrEx>
          <w:tblLayout w:type="fixed"/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68D5EB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25C7527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 w14:paraId="3744B881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E17E98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0167D6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87969B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AE628E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9002B0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CE51D9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20510C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</w:tr>
      <w:tr w14:paraId="07B83237">
        <w:tblPrEx>
          <w:tblLayout w:type="fixed"/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516E0E3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5F85CCA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 w14:paraId="6B56641C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759356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2516A3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13C62E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18B210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41B1FA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E6938A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DAAAB4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3</w:t>
            </w:r>
          </w:p>
        </w:tc>
      </w:tr>
      <w:tr w14:paraId="5F9774B6">
        <w:tblPrEx>
          <w:tblLayout w:type="fixed"/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1D72FD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7F9CB0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 w14:paraId="61040A7F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6B4D0D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B6580F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26E320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6960A7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43E87D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5DD9D4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4D3A10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</w:tr>
      <w:tr w14:paraId="0E15917F">
        <w:tblPrEx>
          <w:tblLayout w:type="fixed"/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78558F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6E902F5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 w14:paraId="0ECC7C6D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924098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1D0F05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FCE34B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25D75E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6E2D31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B6E339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78F21B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</w:tr>
      <w:tr w14:paraId="4569578C">
        <w:tblPrEx>
          <w:tblLayout w:type="fixed"/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3F76692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29B2E84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 w14:paraId="696FBDE4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314B0E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67FDB9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F0A8B7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60E17A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0F5E71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7403D7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56DEA6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</w:tr>
      <w:tr w14:paraId="74F5823A">
        <w:tblPrEx>
          <w:tblLayout w:type="fixed"/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30BE36C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2B57B086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 w14:paraId="77CAFA70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8A91EC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0352D5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8CA1FF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3F9AF2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BF1B6D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42C5D3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001A449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10</w:t>
            </w:r>
          </w:p>
        </w:tc>
      </w:tr>
      <w:tr w14:paraId="1D4C6C1F">
        <w:tblPrEx>
          <w:tblLayout w:type="fixed"/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2F9A0EB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672D91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 w14:paraId="2E58ED6A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EE68BD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7FD608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BBBD76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2A8D8A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1DC672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E97C1F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BF1BEE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</w:tr>
      <w:tr w14:paraId="0656E53D">
        <w:tblPrEx>
          <w:tblLayout w:type="fixed"/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0C418B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4A2AFC4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 w14:paraId="05D3069C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DCF165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FEC4E9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93F959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ED4C89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1866D4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F8C906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0E5084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</w:tr>
      <w:tr w14:paraId="4AE56190">
        <w:tblPrEx>
          <w:tblLayout w:type="fixed"/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62E795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69D2475C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 w14:paraId="4EDF293B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78C5F9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B4D0D3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CCE8F1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17EC8F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501C96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71A245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374667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</w:tr>
      <w:tr w14:paraId="087CA667">
        <w:tblPrEx>
          <w:tblLayout w:type="fixed"/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349E372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22F022E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 w14:paraId="5FF5D881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9D802F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40BCBE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1F6B4B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E64C41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D1F8CF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860FF5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A340F8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</w:tr>
      <w:tr w14:paraId="3E5F42CC">
        <w:tblPrEx>
          <w:tblLayout w:type="fixed"/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69E52CE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28AF10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 w14:paraId="1F6D7347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E22EB0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EC4895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203F1D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EA1282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4B9635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E462E9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EE21B0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</w:tr>
      <w:tr w14:paraId="12F3CB31">
        <w:tblPrEx>
          <w:tblLayout w:type="fixed"/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5CED25A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7D3F92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 w14:paraId="4A060B19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EFD524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32AC1D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1B2CBB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ED2308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DA2F19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B706E7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FA5AAE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</w:tr>
      <w:tr w14:paraId="5EB9FFF6">
        <w:tblPrEx>
          <w:tblLayout w:type="fixed"/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48E6050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12E250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62B82E40"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A34A5A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7B2647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8FC4C1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882E8D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EBAE6B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52F627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B0FBE6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</w:tr>
      <w:tr w14:paraId="2FAFC8B6">
        <w:tblPrEx>
          <w:tblLayout w:type="fixed"/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7681BA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1FD24CD6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5C0A654E"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AE42E1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012ECA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94C9D2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148572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BB6486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850CB7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25D6B8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</w:tr>
      <w:tr w14:paraId="2685A903">
        <w:tblPrEx>
          <w:tblLayout w:type="fixed"/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2AA6E7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28652CA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41473907"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C01C7B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1CA4A6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51DB41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AC7937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A5646A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2A1C41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86BE6B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</w:tr>
      <w:tr w14:paraId="75B78038">
        <w:tblPrEx>
          <w:tblLayout w:type="fixed"/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23D868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0DD796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1C64261A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C67968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72CF9A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C76949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3BC8CF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97CA50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30C26A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8A03DA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</w:tr>
      <w:tr w14:paraId="551FA800">
        <w:tblPrEx>
          <w:tblLayout w:type="fixed"/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4954049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5FC0AE7F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3781AA9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17FE626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D9C70A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7CF9E7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752AC8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061EFA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B36D6A1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27</w:t>
            </w:r>
          </w:p>
        </w:tc>
      </w:tr>
      <w:tr w14:paraId="44058ED6">
        <w:tblPrEx>
          <w:tblLayout w:type="fixed"/>
        </w:tblPrEx>
        <w:trPr>
          <w:jc w:val="center"/>
        </w:trPr>
        <w:tc>
          <w:tcPr>
            <w:tcW w:w="4931" w:type="dxa"/>
            <w:gridSpan w:val="3"/>
            <w:tcBorders>
              <w:top w:val="single" w:color="auto" w:sz="0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0B0F9BDF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 w14:paraId="3C985A67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 w14:paraId="7672CD73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 w14:paraId="6A2978B6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 w14:paraId="6FE37293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 w14:paraId="6F9D808E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 w14:paraId="5AF045D0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 w14:paraId="5EDC4508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1</w:t>
            </w:r>
          </w:p>
        </w:tc>
      </w:tr>
    </w:tbl>
    <w:p w14:paraId="2455712B">
      <w:pPr>
        <w:pStyle w:val="4"/>
        <w:widowControl/>
        <w:ind w:left="420" w:leftChars="200"/>
      </w:pPr>
    </w:p>
    <w:p w14:paraId="1CD7D665">
      <w:pPr>
        <w:pStyle w:val="4"/>
        <w:widowControl/>
        <w:ind w:left="420" w:leftChars="200"/>
      </w:pPr>
    </w:p>
    <w:p w14:paraId="348E2DB8">
      <w:pPr>
        <w:spacing w:line="560" w:lineRule="exact"/>
        <w:ind w:firstLine="640" w:firstLineChars="200"/>
        <w:rPr>
          <w:rFonts w:hint="eastAsia"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四、政府信息公开行政复议、行政诉讼情况</w:t>
      </w:r>
    </w:p>
    <w:p w14:paraId="5D32BACF">
      <w:pPr>
        <w:widowControl/>
        <w:jc w:val="center"/>
      </w:pPr>
    </w:p>
    <w:tbl>
      <w:tblPr>
        <w:tblStyle w:val="10"/>
        <w:tblW w:w="9748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 w14:paraId="5D9AD93E">
        <w:tblPrEx>
          <w:tblLayout w:type="fixed"/>
        </w:tblPrEx>
        <w:trPr>
          <w:trHeight w:val="547" w:hRule="atLeast"/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 w14:paraId="7999A54F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 w14:paraId="693056D7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 w14:paraId="74C0E3CC">
        <w:tblPrEx>
          <w:tblLayout w:type="fixed"/>
        </w:tblPrEx>
        <w:trPr>
          <w:trHeight w:val="582" w:hRule="atLeast"/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D3E9A30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9FC304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5CE9C7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F9A6CB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0799AB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 w14:paraId="16FB1274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 w14:paraId="266A91B9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 w14:paraId="261DFEC0">
        <w:tblPrEx>
          <w:tblLayout w:type="fixed"/>
        </w:tblPrEx>
        <w:trPr>
          <w:trHeight w:val="714" w:hRule="atLeast"/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31BB1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CAA02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36D511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7A03F9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8E91F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583B75D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B183DE9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D3C5EB9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6906624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6020367"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6A13376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4E66294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0DEE1E9"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387511E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FDDF481"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 w14:paraId="1F8B2211">
        <w:tblPrEx>
          <w:tblLayout w:type="fixed"/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D04187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8B7CF7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C6E7C2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A39362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B41D8F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1880A3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64C378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6EA2A3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D7D155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563EF5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2BBAEE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9BD032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E4472D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CED3F6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63AF983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</w:tr>
    </w:tbl>
    <w:p w14:paraId="35572FE8">
      <w:pPr>
        <w:widowControl/>
        <w:jc w:val="left"/>
      </w:pPr>
    </w:p>
    <w:p w14:paraId="762E6573">
      <w:pPr>
        <w:widowControl/>
        <w:spacing w:line="560" w:lineRule="exact"/>
        <w:ind w:firstLine="672" w:firstLineChars="200"/>
        <w:jc w:val="left"/>
        <w:rPr>
          <w:rFonts w:hint="eastAsia" w:ascii="宋体" w:hAnsi="宋体" w:cs="宋体"/>
          <w:spacing w:val="8"/>
          <w:kern w:val="0"/>
          <w:sz w:val="24"/>
        </w:rPr>
      </w:pPr>
      <w:r>
        <w:rPr>
          <w:rFonts w:hint="eastAsia" w:ascii="黑体" w:hAnsi="宋体" w:eastAsia="黑体" w:cs="宋体"/>
          <w:spacing w:val="8"/>
          <w:kern w:val="0"/>
          <w:sz w:val="32"/>
          <w:szCs w:val="32"/>
          <w:lang w:bidi="ar"/>
        </w:rPr>
        <w:t>五、存在的主要问题及改进情况</w:t>
      </w:r>
    </w:p>
    <w:p w14:paraId="14784371">
      <w:pPr>
        <w:widowControl/>
        <w:spacing w:line="560" w:lineRule="exact"/>
        <w:ind w:firstLine="675"/>
        <w:jc w:val="left"/>
        <w:rPr>
          <w:rFonts w:hint="eastAsia" w:ascii="仿宋" w:hAnsi="仿宋" w:eastAsia="仿宋" w:cs="仿宋"/>
          <w:spacing w:val="8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8"/>
          <w:kern w:val="0"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仿宋"/>
          <w:spacing w:val="8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pacing w:val="8"/>
          <w:kern w:val="0"/>
          <w:sz w:val="32"/>
          <w:szCs w:val="32"/>
          <w:lang w:eastAsia="zh-CN"/>
        </w:rPr>
        <w:t>年，我</w:t>
      </w:r>
      <w:r>
        <w:rPr>
          <w:rFonts w:hint="eastAsia" w:ascii="仿宋" w:hAnsi="仿宋" w:eastAsia="仿宋" w:cs="仿宋"/>
          <w:spacing w:val="8"/>
          <w:kern w:val="0"/>
          <w:sz w:val="32"/>
          <w:szCs w:val="32"/>
          <w:lang w:val="en-US" w:eastAsia="zh-CN"/>
        </w:rPr>
        <w:t>镇</w:t>
      </w:r>
      <w:r>
        <w:rPr>
          <w:rFonts w:hint="eastAsia" w:ascii="仿宋" w:hAnsi="仿宋" w:eastAsia="仿宋" w:cs="仿宋"/>
          <w:spacing w:val="8"/>
          <w:kern w:val="0"/>
          <w:sz w:val="32"/>
          <w:szCs w:val="32"/>
          <w:lang w:eastAsia="zh-CN"/>
        </w:rPr>
        <w:t>政府信息公开各项工作取得了一定成效，但仍存在一些不足，主要表现为：部分</w:t>
      </w:r>
      <w:r>
        <w:rPr>
          <w:rFonts w:hint="eastAsia" w:ascii="仿宋" w:hAnsi="仿宋" w:eastAsia="仿宋" w:cs="仿宋"/>
          <w:spacing w:val="8"/>
          <w:kern w:val="0"/>
          <w:sz w:val="32"/>
          <w:szCs w:val="32"/>
          <w:lang w:val="en-US" w:eastAsia="zh-CN"/>
        </w:rPr>
        <w:t>网络</w:t>
      </w:r>
      <w:r>
        <w:rPr>
          <w:rFonts w:hint="eastAsia" w:ascii="仿宋" w:hAnsi="仿宋" w:eastAsia="仿宋" w:cs="仿宋"/>
          <w:spacing w:val="8"/>
          <w:kern w:val="0"/>
          <w:sz w:val="32"/>
          <w:szCs w:val="32"/>
          <w:lang w:eastAsia="zh-CN"/>
        </w:rPr>
        <w:t>内容保障力度不够，政策宣传解读的时效性仍需加强，新媒体的运维能力和水平有待提升等。下一步，我</w:t>
      </w:r>
      <w:r>
        <w:rPr>
          <w:rFonts w:hint="eastAsia" w:ascii="仿宋" w:hAnsi="仿宋" w:eastAsia="仿宋" w:cs="仿宋"/>
          <w:spacing w:val="8"/>
          <w:kern w:val="0"/>
          <w:sz w:val="32"/>
          <w:szCs w:val="32"/>
          <w:lang w:val="en-US" w:eastAsia="zh-CN"/>
        </w:rPr>
        <w:t>镇</w:t>
      </w:r>
      <w:r>
        <w:rPr>
          <w:rFonts w:hint="eastAsia" w:ascii="仿宋" w:hAnsi="仿宋" w:eastAsia="仿宋" w:cs="仿宋"/>
          <w:spacing w:val="8"/>
          <w:kern w:val="0"/>
          <w:sz w:val="32"/>
          <w:szCs w:val="32"/>
          <w:lang w:eastAsia="zh-CN"/>
        </w:rPr>
        <w:t>将坚持把政策类信息公开作为工作重点，压实信息公开的部门主体责任；从企业、群众的需求出发，及时做好政策精准推送和实效性解读，发挥好信息公开促落实、优服务、强监督作用；强化指导检查，开展多频次的专项业务线上培训，发挥好基层政务新媒体了解民意、汇集民智和回应民情的作用。</w:t>
      </w:r>
    </w:p>
    <w:p w14:paraId="47412274">
      <w:pPr>
        <w:widowControl/>
        <w:spacing w:line="560" w:lineRule="exact"/>
        <w:ind w:firstLine="675"/>
        <w:jc w:val="left"/>
        <w:rPr>
          <w:rFonts w:hint="eastAsia" w:ascii="宋体" w:hAnsi="宋体" w:cs="宋体"/>
          <w:spacing w:val="8"/>
          <w:kern w:val="0"/>
          <w:sz w:val="32"/>
          <w:szCs w:val="32"/>
        </w:rPr>
      </w:pPr>
      <w:r>
        <w:rPr>
          <w:rFonts w:hint="eastAsia" w:ascii="黑体" w:hAnsi="宋体" w:eastAsia="黑体" w:cs="宋体"/>
          <w:spacing w:val="8"/>
          <w:kern w:val="0"/>
          <w:sz w:val="32"/>
          <w:szCs w:val="32"/>
          <w:lang w:bidi="ar"/>
        </w:rPr>
        <w:t>六、其他需要报告的事项</w:t>
      </w:r>
    </w:p>
    <w:p w14:paraId="0125B676">
      <w:pPr>
        <w:widowControl/>
        <w:spacing w:line="560" w:lineRule="exact"/>
        <w:jc w:val="left"/>
        <w:rPr>
          <w:color w:val="000000"/>
          <w:sz w:val="32"/>
          <w:szCs w:val="32"/>
        </w:rPr>
      </w:pPr>
      <w:r>
        <w:rPr>
          <w:rFonts w:hint="eastAsia" w:ascii="仿宋" w:hAnsi="仿宋" w:eastAsia="仿宋" w:cs="仿宋"/>
          <w:spacing w:val="8"/>
          <w:kern w:val="0"/>
          <w:sz w:val="32"/>
          <w:szCs w:val="32"/>
          <w:lang w:bidi="ar"/>
        </w:rPr>
        <w:t>　　</w:t>
      </w:r>
      <w:r>
        <w:rPr>
          <w:rFonts w:ascii="仿宋" w:hAnsi="仿宋" w:eastAsia="仿宋" w:cs="仿宋"/>
          <w:spacing w:val="8"/>
          <w:kern w:val="0"/>
          <w:sz w:val="32"/>
          <w:szCs w:val="32"/>
          <w:lang w:bidi="ar"/>
        </w:rPr>
        <w:t>在2024年度，台湖镇政府严格依照《政府信息公开信息处理费管理办法》的规定，坚决执行信息处理费的收取工作。本年度，台湖镇发出的信息处理费收费通知件数为</w:t>
      </w:r>
      <w:r>
        <w:rPr>
          <w:rFonts w:hint="eastAsia" w:ascii="仿宋" w:hAnsi="仿宋" w:eastAsia="仿宋" w:cs="仿宋"/>
          <w:spacing w:val="8"/>
          <w:kern w:val="0"/>
          <w:sz w:val="32"/>
          <w:szCs w:val="32"/>
          <w:lang w:val="en-US" w:eastAsia="zh-CN" w:bidi="ar"/>
        </w:rPr>
        <w:t>0</w:t>
      </w:r>
      <w:r>
        <w:rPr>
          <w:rFonts w:ascii="仿宋" w:hAnsi="仿宋" w:eastAsia="仿宋" w:cs="仿宋"/>
          <w:spacing w:val="8"/>
          <w:kern w:val="0"/>
          <w:sz w:val="32"/>
          <w:szCs w:val="32"/>
          <w:lang w:bidi="ar"/>
        </w:rPr>
        <w:t>，相应的收费总金额为</w:t>
      </w:r>
      <w:r>
        <w:rPr>
          <w:rFonts w:hint="eastAsia" w:ascii="仿宋" w:hAnsi="仿宋" w:eastAsia="仿宋" w:cs="仿宋"/>
          <w:spacing w:val="8"/>
          <w:kern w:val="0"/>
          <w:sz w:val="32"/>
          <w:szCs w:val="32"/>
          <w:lang w:val="en-US" w:eastAsia="zh-CN" w:bidi="ar"/>
        </w:rPr>
        <w:t>0</w:t>
      </w:r>
      <w:r>
        <w:rPr>
          <w:rFonts w:ascii="仿宋" w:hAnsi="仿宋" w:eastAsia="仿宋" w:cs="仿宋"/>
          <w:spacing w:val="8"/>
          <w:kern w:val="0"/>
          <w:sz w:val="32"/>
          <w:szCs w:val="32"/>
          <w:lang w:bidi="ar"/>
        </w:rPr>
        <w:t>。</w:t>
      </w:r>
    </w:p>
    <w:p w14:paraId="03D4B15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公文小标宋">
    <w:panose1 w:val="020005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622A42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3555EF"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53555EF"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580B72"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8FBF937"/>
    <w:multiLevelType w:val="singleLevel"/>
    <w:tmpl w:val="F8FBF93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318DD7F"/>
    <w:multiLevelType w:val="singleLevel"/>
    <w:tmpl w:val="7318DD7F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unhideWhenUsed/>
    <w:qFormat/>
    <w:uiPriority w:val="39"/>
    <w:pPr>
      <w:ind w:left="840" w:leftChars="400"/>
    </w:pPr>
  </w:style>
  <w:style w:type="paragraph" w:styleId="3">
    <w:name w:val="Body Text"/>
    <w:basedOn w:val="1"/>
    <w:qFormat/>
    <w:uiPriority w:val="0"/>
    <w:rPr>
      <w:rFonts w:eastAsia="宋体"/>
      <w:bCs/>
      <w:color w:val="auto"/>
      <w:szCs w:val="24"/>
    </w:rPr>
  </w:style>
  <w:style w:type="paragraph" w:styleId="4">
    <w:name w:val="Plain Text"/>
    <w:basedOn w:val="1"/>
    <w:qFormat/>
    <w:uiPriority w:val="0"/>
    <w:rPr>
      <w:rFonts w:ascii="宋体" w:hAnsi="Courier New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2322</Words>
  <Characters>2371</Characters>
  <Lines>0</Lines>
  <Paragraphs>0</Paragraphs>
  <ScaleCrop>false</ScaleCrop>
  <LinksUpToDate>false</LinksUpToDate>
  <CharactersWithSpaces>2373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2020-12-16T07:14:00Z</dcterms:created>
  <dc:creator>HS</dc:creator>
  <cp:lastModifiedBy>iPhone</cp:lastModifiedBy>
  <cp:lastPrinted>2024-01-12T17:24:00Z</cp:lastPrinted>
  <dcterms:modified xsi:type="dcterms:W3CDTF">2025-01-13T16:52:50Z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2052-12.20.0</vt:lpwstr>
  </property>
  <property fmtid="{D5CDD505-2E9C-101B-9397-08002B2CF9AE}" pid="3" name="ICV">
    <vt:lpwstr>E5C6CDB7DFAD392C62D48467A7EECF51_33</vt:lpwstr>
  </property>
  <property fmtid="{D5CDD505-2E9C-101B-9397-08002B2CF9AE}" pid="4" name="KSOTemplateDocerSaveRecord">
    <vt:lpwstr>eyJoZGlkIjoiNTU0ZmIwYTQ3NzlmZGUxZmU3Zjk0M2IyZTNmM2IxNjAiLCJ1c2VySWQiOiIyNjY1ODI5MjIifQ==</vt:lpwstr>
  </property>
</Properties>
</file>