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sz w:val="44"/>
          <w:szCs w:val="44"/>
        </w:rPr>
      </w:pPr>
      <w:bookmarkStart w:id="0" w:name="_GoBack"/>
      <w:r>
        <w:rPr>
          <w:rFonts w:hint="eastAsia" w:ascii="方正小标宋简体" w:hAnsi="方正小标宋简体" w:eastAsia="方正小标宋简体" w:cs="方正小标宋简体"/>
          <w:sz w:val="44"/>
          <w:szCs w:val="44"/>
        </w:rPr>
        <w:t>北京市通州区九棵树街道办事处</w:t>
      </w: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年政府信息公开工作年度报告</w:t>
      </w:r>
      <w:r>
        <w:rPr>
          <w:rFonts w:hint="eastAsia" w:ascii="微软雅黑" w:hAnsi="微软雅黑" w:eastAsia="微软雅黑" w:cs="宋体"/>
          <w:color w:val="404040"/>
          <w:kern w:val="0"/>
          <w:sz w:val="24"/>
          <w:highlight w:val="none"/>
        </w:rPr>
        <w:t>　</w:t>
      </w:r>
      <w:r>
        <w:rPr>
          <w:rFonts w:hint="eastAsia" w:ascii="微软雅黑" w:hAnsi="微软雅黑" w:eastAsia="微软雅黑" w:cs="宋体"/>
          <w:color w:val="404040"/>
          <w:kern w:val="0"/>
          <w:sz w:val="32"/>
          <w:szCs w:val="32"/>
          <w:highlight w:val="none"/>
        </w:rPr>
        <w:t xml:space="preserve"> </w:t>
      </w:r>
      <w:r>
        <w:rPr>
          <w:rFonts w:ascii="微软雅黑" w:hAnsi="微软雅黑" w:eastAsia="微软雅黑" w:cs="宋体"/>
          <w:color w:val="404040"/>
          <w:kern w:val="0"/>
          <w:sz w:val="32"/>
          <w:szCs w:val="32"/>
          <w:highlight w:val="none"/>
        </w:rPr>
        <w:t xml:space="preserve"> </w:t>
      </w:r>
    </w:p>
    <w:bookmarkEnd w:id="0"/>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r>
        <w:rPr>
          <w:rFonts w:hint="eastAsia" w:ascii="仿宋_GB2312" w:hAnsi="宋体" w:eastAsia="仿宋_GB2312" w:cs="宋体"/>
          <w:spacing w:val="8"/>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keepNext w:val="0"/>
        <w:keepLines w:val="0"/>
        <w:pageBreakBefore w:val="0"/>
        <w:widowControl/>
        <w:kinsoku/>
        <w:wordWrap/>
        <w:overflowPunct/>
        <w:topLinePunct w:val="0"/>
        <w:autoSpaceDE/>
        <w:autoSpaceDN/>
        <w:bidi w:val="0"/>
        <w:adjustRightInd/>
        <w:snapToGrid/>
        <w:spacing w:line="560" w:lineRule="exact"/>
        <w:ind w:firstLine="675"/>
        <w:jc w:val="left"/>
        <w:textAlignment w:val="auto"/>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val="en-US" w:eastAsia="zh-CN"/>
        </w:rPr>
        <w:t>2024年，北京市通州区九棵树街道办事处坚持以习近平新时代中国特色社会主义思想为指导，全面贯彻落实</w:t>
      </w:r>
      <w:r>
        <w:rPr>
          <w:rFonts w:hint="eastAsia" w:ascii="仿宋_GB2312" w:hAnsi="宋体" w:eastAsia="仿宋_GB2312" w:cs="宋体"/>
          <w:spacing w:val="8"/>
          <w:kern w:val="0"/>
          <w:sz w:val="32"/>
          <w:szCs w:val="32"/>
        </w:rPr>
        <w:t>《政府信息公开条例》</w:t>
      </w:r>
      <w:r>
        <w:rPr>
          <w:rFonts w:hint="eastAsia" w:ascii="仿宋_GB2312" w:hAnsi="宋体" w:eastAsia="仿宋_GB2312" w:cs="宋体"/>
          <w:spacing w:val="8"/>
          <w:kern w:val="0"/>
          <w:sz w:val="32"/>
          <w:szCs w:val="32"/>
          <w:lang w:val="en-US" w:eastAsia="zh-CN"/>
        </w:rPr>
        <w:t>，对照市、区2024年政务公开重点工作任务分工，持续完善政务公开制度，着力强化重点领域信息公开，确保街道政务公开工作规范优质推进。</w:t>
      </w:r>
    </w:p>
    <w:p>
      <w:pPr>
        <w:keepNext w:val="0"/>
        <w:keepLines w:val="0"/>
        <w:pageBreakBefore w:val="0"/>
        <w:widowControl/>
        <w:kinsoku/>
        <w:wordWrap/>
        <w:overflowPunct/>
        <w:topLinePunct w:val="0"/>
        <w:autoSpaceDE/>
        <w:autoSpaceDN/>
        <w:bidi w:val="0"/>
        <w:adjustRightInd/>
        <w:snapToGrid/>
        <w:spacing w:line="560" w:lineRule="exact"/>
        <w:ind w:firstLine="675"/>
        <w:jc w:val="left"/>
        <w:textAlignment w:val="auto"/>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val="en-US" w:eastAsia="zh-CN"/>
        </w:rPr>
        <w:t>（一）主动公开政府信息情况</w:t>
      </w:r>
    </w:p>
    <w:p>
      <w:pPr>
        <w:keepNext w:val="0"/>
        <w:keepLines w:val="0"/>
        <w:pageBreakBefore w:val="0"/>
        <w:widowControl/>
        <w:kinsoku/>
        <w:wordWrap/>
        <w:overflowPunct/>
        <w:topLinePunct w:val="0"/>
        <w:autoSpaceDE/>
        <w:autoSpaceDN/>
        <w:bidi w:val="0"/>
        <w:adjustRightInd/>
        <w:snapToGrid/>
        <w:spacing w:line="560" w:lineRule="exact"/>
        <w:ind w:firstLine="675"/>
        <w:jc w:val="left"/>
        <w:textAlignment w:val="auto"/>
        <w:rPr>
          <w:rFonts w:hint="default"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202</w:t>
      </w:r>
      <w:r>
        <w:rPr>
          <w:rFonts w:hint="eastAsia" w:ascii="仿宋_GB2312" w:hAnsi="宋体" w:eastAsia="仿宋_GB2312" w:cs="宋体"/>
          <w:spacing w:val="8"/>
          <w:kern w:val="0"/>
          <w:sz w:val="32"/>
          <w:szCs w:val="32"/>
          <w:lang w:val="en-US" w:eastAsia="zh-CN"/>
        </w:rPr>
        <w:t>4</w:t>
      </w:r>
      <w:r>
        <w:rPr>
          <w:rFonts w:hint="eastAsia" w:ascii="仿宋_GB2312" w:hAnsi="宋体" w:eastAsia="仿宋_GB2312" w:cs="宋体"/>
          <w:spacing w:val="8"/>
          <w:kern w:val="0"/>
          <w:sz w:val="32"/>
          <w:szCs w:val="32"/>
        </w:rPr>
        <w:t>年，我单位共公开相关信息共计</w:t>
      </w:r>
      <w:r>
        <w:rPr>
          <w:rFonts w:hint="eastAsia" w:ascii="仿宋_GB2312" w:hAnsi="宋体" w:eastAsia="仿宋_GB2312" w:cs="宋体"/>
          <w:spacing w:val="8"/>
          <w:kern w:val="0"/>
          <w:sz w:val="32"/>
          <w:szCs w:val="32"/>
          <w:lang w:val="en-US" w:eastAsia="zh-CN"/>
        </w:rPr>
        <w:t>141</w:t>
      </w:r>
      <w:r>
        <w:rPr>
          <w:rFonts w:hint="eastAsia" w:ascii="仿宋_GB2312" w:hAnsi="宋体" w:eastAsia="仿宋_GB2312" w:cs="宋体"/>
          <w:spacing w:val="8"/>
          <w:kern w:val="0"/>
          <w:sz w:val="32"/>
          <w:szCs w:val="32"/>
        </w:rPr>
        <w:t>条，其中街乡镇动态</w:t>
      </w:r>
      <w:r>
        <w:rPr>
          <w:rFonts w:hint="eastAsia" w:ascii="仿宋_GB2312" w:hAnsi="宋体" w:eastAsia="仿宋_GB2312" w:cs="宋体"/>
          <w:spacing w:val="8"/>
          <w:kern w:val="0"/>
          <w:sz w:val="32"/>
          <w:szCs w:val="32"/>
          <w:lang w:eastAsia="zh-CN"/>
        </w:rPr>
        <w:t>及社会救助</w:t>
      </w:r>
      <w:r>
        <w:rPr>
          <w:rFonts w:hint="eastAsia" w:ascii="仿宋_GB2312" w:hAnsi="宋体" w:eastAsia="仿宋_GB2312" w:cs="宋体"/>
          <w:spacing w:val="8"/>
          <w:kern w:val="0"/>
          <w:sz w:val="32"/>
          <w:szCs w:val="32"/>
          <w:lang w:val="en-US" w:eastAsia="zh-CN"/>
        </w:rPr>
        <w:t>68条</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rPr>
        <w:t>双公示</w:t>
      </w:r>
      <w:r>
        <w:rPr>
          <w:rFonts w:hint="eastAsia" w:ascii="仿宋_GB2312" w:hAnsi="宋体" w:eastAsia="仿宋_GB2312" w:cs="宋体"/>
          <w:spacing w:val="8"/>
          <w:kern w:val="0"/>
          <w:sz w:val="32"/>
          <w:szCs w:val="32"/>
          <w:lang w:val="en-US" w:eastAsia="zh-CN"/>
        </w:rPr>
        <w:t>71</w:t>
      </w:r>
      <w:r>
        <w:rPr>
          <w:rFonts w:hint="eastAsia" w:ascii="仿宋_GB2312" w:hAnsi="宋体" w:eastAsia="仿宋_GB2312" w:cs="宋体"/>
          <w:spacing w:val="8"/>
          <w:kern w:val="0"/>
          <w:sz w:val="32"/>
          <w:szCs w:val="32"/>
        </w:rPr>
        <w:t>条，预决算公开2条。</w:t>
      </w:r>
    </w:p>
    <w:p>
      <w:pPr>
        <w:keepNext w:val="0"/>
        <w:keepLines w:val="0"/>
        <w:pageBreakBefore w:val="0"/>
        <w:widowControl/>
        <w:kinsoku/>
        <w:wordWrap/>
        <w:overflowPunct/>
        <w:topLinePunct w:val="0"/>
        <w:autoSpaceDE/>
        <w:autoSpaceDN/>
        <w:bidi w:val="0"/>
        <w:adjustRightInd/>
        <w:snapToGrid/>
        <w:spacing w:line="560" w:lineRule="exact"/>
        <w:ind w:firstLine="675"/>
        <w:jc w:val="left"/>
        <w:textAlignment w:val="auto"/>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val="en-US" w:eastAsia="zh-CN"/>
        </w:rPr>
        <w:t>（二）依申请公开情况</w:t>
      </w:r>
    </w:p>
    <w:p>
      <w:pPr>
        <w:keepNext w:val="0"/>
        <w:keepLines w:val="0"/>
        <w:pageBreakBefore w:val="0"/>
        <w:widowControl/>
        <w:kinsoku/>
        <w:wordWrap/>
        <w:overflowPunct/>
        <w:topLinePunct w:val="0"/>
        <w:autoSpaceDE/>
        <w:autoSpaceDN/>
        <w:bidi w:val="0"/>
        <w:adjustRightInd/>
        <w:snapToGrid/>
        <w:spacing w:line="560" w:lineRule="exact"/>
        <w:ind w:firstLine="675"/>
        <w:jc w:val="left"/>
        <w:textAlignment w:val="auto"/>
        <w:rPr>
          <w:rFonts w:hint="default"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全年共收到政府信息公开申请</w:t>
      </w:r>
      <w:r>
        <w:rPr>
          <w:rFonts w:hint="eastAsia" w:ascii="仿宋_GB2312" w:hAnsi="宋体" w:eastAsia="仿宋_GB2312" w:cs="宋体"/>
          <w:spacing w:val="8"/>
          <w:kern w:val="0"/>
          <w:sz w:val="32"/>
          <w:szCs w:val="32"/>
          <w:lang w:val="en-US" w:eastAsia="zh-CN"/>
        </w:rPr>
        <w:t>8</w:t>
      </w:r>
      <w:r>
        <w:rPr>
          <w:rFonts w:hint="eastAsia" w:ascii="仿宋_GB2312" w:hAnsi="宋体" w:eastAsia="仿宋_GB2312" w:cs="宋体"/>
          <w:spacing w:val="8"/>
          <w:kern w:val="0"/>
          <w:sz w:val="32"/>
          <w:szCs w:val="32"/>
        </w:rPr>
        <w:t>件，申请人均为自然人，</w:t>
      </w:r>
      <w:r>
        <w:rPr>
          <w:rFonts w:hint="eastAsia" w:ascii="仿宋_GB2312" w:hAnsi="宋体" w:eastAsia="仿宋_GB2312" w:cs="宋体"/>
          <w:spacing w:val="8"/>
          <w:kern w:val="0"/>
          <w:sz w:val="32"/>
          <w:szCs w:val="32"/>
          <w:lang w:val="en-US" w:eastAsia="zh-CN"/>
        </w:rPr>
        <w:t>7</w:t>
      </w:r>
      <w:r>
        <w:rPr>
          <w:rFonts w:hint="eastAsia" w:ascii="仿宋_GB2312" w:hAnsi="宋体" w:eastAsia="仿宋_GB2312" w:cs="宋体"/>
          <w:spacing w:val="8"/>
          <w:kern w:val="0"/>
          <w:sz w:val="32"/>
          <w:szCs w:val="32"/>
        </w:rPr>
        <w:t>件申请信息已按照相关要求回复当</w:t>
      </w:r>
      <w:r>
        <w:rPr>
          <w:rFonts w:hint="eastAsia" w:ascii="仿宋_GB2312" w:hAnsi="宋体" w:eastAsia="仿宋_GB2312" w:cs="宋体"/>
          <w:spacing w:val="8"/>
          <w:kern w:val="0"/>
          <w:sz w:val="32"/>
          <w:szCs w:val="32"/>
          <w:lang w:eastAsia="zh-CN"/>
        </w:rPr>
        <w:t>事</w:t>
      </w:r>
      <w:r>
        <w:rPr>
          <w:rFonts w:hint="eastAsia" w:ascii="仿宋_GB2312" w:hAnsi="宋体" w:eastAsia="仿宋_GB2312" w:cs="宋体"/>
          <w:spacing w:val="8"/>
          <w:kern w:val="0"/>
          <w:sz w:val="32"/>
          <w:szCs w:val="32"/>
        </w:rPr>
        <w:t>人</w:t>
      </w:r>
      <w:r>
        <w:rPr>
          <w:rFonts w:hint="eastAsia" w:ascii="仿宋_GB2312" w:hAnsi="宋体" w:eastAsia="仿宋_GB2312" w:cs="宋体"/>
          <w:spacing w:val="8"/>
          <w:kern w:val="0"/>
          <w:sz w:val="32"/>
          <w:szCs w:val="32"/>
          <w:lang w:val="en-US" w:eastAsia="zh-CN"/>
        </w:rPr>
        <w:t>,1件</w:t>
      </w:r>
      <w:r>
        <w:rPr>
          <w:rFonts w:hint="eastAsia" w:ascii="仿宋_GB2312" w:hAnsi="宋体" w:eastAsia="仿宋_GB2312" w:cs="宋体"/>
          <w:spacing w:val="8"/>
          <w:kern w:val="0"/>
          <w:sz w:val="32"/>
          <w:szCs w:val="32"/>
        </w:rPr>
        <w:t>申请信息</w:t>
      </w:r>
      <w:r>
        <w:rPr>
          <w:rFonts w:hint="eastAsia" w:ascii="仿宋_GB2312" w:hAnsi="宋体" w:eastAsia="仿宋_GB2312" w:cs="宋体"/>
          <w:spacing w:val="8"/>
          <w:kern w:val="0"/>
          <w:sz w:val="32"/>
          <w:szCs w:val="32"/>
          <w:lang w:val="en-US" w:eastAsia="zh-CN"/>
        </w:rPr>
        <w:t>结转下年办理</w:t>
      </w:r>
      <w:r>
        <w:rPr>
          <w:rFonts w:hint="eastAsia" w:ascii="仿宋_GB2312" w:hAnsi="宋体" w:eastAsia="仿宋_GB2312" w:cs="宋体"/>
          <w:spacing w:val="8"/>
          <w:kern w:val="0"/>
          <w:sz w:val="32"/>
          <w:szCs w:val="32"/>
        </w:rPr>
        <w:t>。全年针对本街道政府信息公开的行政复议和行政诉讼申请均为</w:t>
      </w:r>
      <w:r>
        <w:rPr>
          <w:rFonts w:hint="eastAsia" w:ascii="仿宋_GB2312" w:hAnsi="宋体" w:eastAsia="仿宋_GB2312" w:cs="宋体"/>
          <w:spacing w:val="8"/>
          <w:kern w:val="0"/>
          <w:sz w:val="32"/>
          <w:szCs w:val="32"/>
          <w:lang w:val="en-US"/>
        </w:rPr>
        <w:t>0</w:t>
      </w:r>
      <w:r>
        <w:rPr>
          <w:rFonts w:hint="eastAsia" w:ascii="仿宋_GB2312" w:hAnsi="宋体" w:eastAsia="仿宋_GB2312" w:cs="宋体"/>
          <w:spacing w:val="8"/>
          <w:kern w:val="0"/>
          <w:sz w:val="32"/>
          <w:szCs w:val="32"/>
        </w:rPr>
        <w:t>件。</w:t>
      </w:r>
    </w:p>
    <w:p>
      <w:pPr>
        <w:keepNext w:val="0"/>
        <w:keepLines w:val="0"/>
        <w:pageBreakBefore w:val="0"/>
        <w:widowControl/>
        <w:kinsoku/>
        <w:wordWrap/>
        <w:overflowPunct/>
        <w:topLinePunct w:val="0"/>
        <w:autoSpaceDE/>
        <w:autoSpaceDN/>
        <w:bidi w:val="0"/>
        <w:adjustRightInd/>
        <w:snapToGrid/>
        <w:spacing w:line="560" w:lineRule="exact"/>
        <w:ind w:firstLine="675"/>
        <w:jc w:val="left"/>
        <w:textAlignment w:val="auto"/>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val="en-US" w:eastAsia="zh-CN"/>
        </w:rPr>
        <w:t>（三）政府信息管理情况</w:t>
      </w:r>
    </w:p>
    <w:p>
      <w:pPr>
        <w:keepNext w:val="0"/>
        <w:keepLines w:val="0"/>
        <w:pageBreakBefore w:val="0"/>
        <w:widowControl/>
        <w:kinsoku/>
        <w:wordWrap/>
        <w:overflowPunct/>
        <w:topLinePunct w:val="0"/>
        <w:autoSpaceDE/>
        <w:autoSpaceDN/>
        <w:bidi w:val="0"/>
        <w:adjustRightInd/>
        <w:snapToGrid/>
        <w:spacing w:line="560" w:lineRule="exact"/>
        <w:ind w:firstLine="675"/>
        <w:jc w:val="left"/>
        <w:textAlignment w:val="auto"/>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依据干部调动、职务变动及时调整信息公开工作领导小组，并按要求配备工作人员负责政府公开信息撰写和政务公开平台管理工作，及时通过政府门户网站进行信息公开。</w:t>
      </w:r>
    </w:p>
    <w:p>
      <w:pPr>
        <w:keepNext w:val="0"/>
        <w:keepLines w:val="0"/>
        <w:pageBreakBefore w:val="0"/>
        <w:widowControl/>
        <w:kinsoku/>
        <w:wordWrap/>
        <w:overflowPunct/>
        <w:topLinePunct w:val="0"/>
        <w:autoSpaceDE/>
        <w:autoSpaceDN/>
        <w:bidi w:val="0"/>
        <w:adjustRightInd/>
        <w:snapToGrid/>
        <w:spacing w:line="560" w:lineRule="exact"/>
        <w:ind w:firstLine="675"/>
        <w:jc w:val="left"/>
        <w:textAlignment w:val="auto"/>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val="en-US" w:eastAsia="zh-CN"/>
        </w:rPr>
        <w:t>（四）监督保障情况</w:t>
      </w:r>
    </w:p>
    <w:p>
      <w:pPr>
        <w:keepNext w:val="0"/>
        <w:keepLines w:val="0"/>
        <w:pageBreakBefore w:val="0"/>
        <w:widowControl/>
        <w:kinsoku/>
        <w:wordWrap/>
        <w:overflowPunct/>
        <w:topLinePunct w:val="0"/>
        <w:autoSpaceDE/>
        <w:autoSpaceDN/>
        <w:bidi w:val="0"/>
        <w:adjustRightInd/>
        <w:snapToGrid/>
        <w:spacing w:line="560" w:lineRule="exact"/>
        <w:ind w:firstLine="675"/>
        <w:jc w:val="left"/>
        <w:textAlignment w:val="auto"/>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lang w:eastAsia="zh-CN"/>
        </w:rPr>
        <w:t>九棵树街道严格落实保密审查制度，政务信息公开前依规履行三级审查制度，明确保密责任，202</w:t>
      </w:r>
      <w:r>
        <w:rPr>
          <w:rFonts w:hint="eastAsia" w:ascii="仿宋_GB2312" w:hAnsi="宋体" w:eastAsia="仿宋_GB2312" w:cs="宋体"/>
          <w:spacing w:val="8"/>
          <w:kern w:val="0"/>
          <w:sz w:val="32"/>
          <w:szCs w:val="32"/>
          <w:lang w:val="en-US" w:eastAsia="zh-CN"/>
        </w:rPr>
        <w:t>4</w:t>
      </w:r>
      <w:r>
        <w:rPr>
          <w:rFonts w:hint="eastAsia" w:ascii="仿宋_GB2312" w:hAnsi="宋体" w:eastAsia="仿宋_GB2312" w:cs="宋体"/>
          <w:spacing w:val="8"/>
          <w:kern w:val="0"/>
          <w:sz w:val="32"/>
          <w:szCs w:val="32"/>
          <w:lang w:eastAsia="zh-CN"/>
        </w:rPr>
        <w:t>年发生涉密公开事件0件。</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rPr>
      </w:pPr>
      <w:r>
        <w:rPr>
          <w:rFonts w:hint="eastAsia" w:ascii="黑体" w:hAnsi="黑体" w:eastAsia="黑体" w:cs="黑体"/>
          <w:sz w:val="32"/>
          <w:szCs w:val="32"/>
        </w:rPr>
        <w:t>主动公开政府信息情况</w:t>
      </w:r>
    </w:p>
    <w:p>
      <w:pPr>
        <w:pStyle w:val="2"/>
        <w:spacing w:line="560" w:lineRule="exact"/>
        <w:rPr>
          <w:rFonts w:hint="eastAsia"/>
        </w:rPr>
      </w:pPr>
    </w:p>
    <w:tbl>
      <w:tblPr>
        <w:tblStyle w:val="8"/>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现行有效件</w:t>
            </w:r>
            <w:r>
              <w:rPr>
                <w:rFonts w:hint="eastAsia" w:ascii="宋体" w:hAnsi="宋体" w:cs="宋体"/>
                <w:kern w:val="0"/>
                <w:sz w:val="20"/>
                <w:szCs w:val="20"/>
                <w:lang w:bidi="ar"/>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hint="eastAsia" w:ascii="Calibri" w:hAnsi="Calibri" w:cs="Calibri"/>
                <w:kern w:val="0"/>
                <w:szCs w:val="21"/>
                <w:lang w:val="en-US" w:eastAsia="zh-CN"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default" w:eastAsiaTheme="minorEastAsia"/>
                <w:lang w:val="en-US" w:eastAsia="zh-CN"/>
              </w:rPr>
            </w:pPr>
            <w:r>
              <w:rPr>
                <w:rFonts w:hint="eastAsia"/>
                <w:lang w:val="en-US" w:eastAsia="zh-CN"/>
              </w:rPr>
              <w:t>1</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hint="eastAsia" w:ascii="Calibri" w:hAnsi="Calibri" w:cs="Calibri"/>
                <w:kern w:val="0"/>
                <w:szCs w:val="21"/>
                <w:lang w:val="en-US" w:eastAsia="zh-CN"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default" w:eastAsiaTheme="minorEastAsia"/>
                <w:lang w:val="en-US" w:eastAsia="zh-CN"/>
              </w:rPr>
            </w:pPr>
            <w:r>
              <w:rPr>
                <w:rFonts w:hint="eastAsia" w:ascii="宋体" w:hAnsi="宋体" w:cs="宋体"/>
                <w:color w:val="000000"/>
                <w:kern w:val="0"/>
                <w:sz w:val="20"/>
                <w:szCs w:val="20"/>
                <w:lang w:val="en-US" w:eastAsia="zh-CN" w:bidi="ar"/>
              </w:rPr>
              <w:t>71</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hint="eastAsia" w:ascii="宋体" w:hAnsi="宋体" w:cs="宋体"/>
                <w:color w:val="000000"/>
                <w:kern w:val="0"/>
                <w:sz w:val="20"/>
                <w:szCs w:val="20"/>
                <w:lang w:val="en-US" w:eastAsia="zh-CN"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spacing w:line="560" w:lineRule="exact"/>
              <w:jc w:val="center"/>
              <w:rPr>
                <w:rFonts w:hint="eastAsia" w:ascii="宋体" w:eastAsiaTheme="minorEastAsia"/>
                <w:sz w:val="24"/>
                <w:lang w:val="en-US" w:eastAsia="zh-CN"/>
              </w:rPr>
            </w:pPr>
            <w:r>
              <w:rPr>
                <w:rFonts w:hint="eastAsia" w:ascii="宋体"/>
                <w:sz w:val="24"/>
                <w:lang w:val="en-US" w:eastAsia="zh-CN"/>
              </w:rPr>
              <w:t>0</w:t>
            </w:r>
          </w:p>
        </w:tc>
      </w:tr>
    </w:tbl>
    <w:p>
      <w:pPr>
        <w:pStyle w:val="2"/>
        <w:spacing w:line="560" w:lineRule="exact"/>
        <w:rPr>
          <w:rFonts w:hint="eastAsia"/>
        </w:rPr>
      </w:pPr>
    </w:p>
    <w:p>
      <w:pPr>
        <w:numPr>
          <w:ilvl w:val="0"/>
          <w:numId w:val="1"/>
        </w:numPr>
        <w:spacing w:line="560" w:lineRule="exact"/>
        <w:ind w:firstLine="64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pPr>
        <w:pStyle w:val="7"/>
        <w:widowControl/>
        <w:shd w:val="clear" w:color="auto" w:fill="FFFFFF"/>
        <w:spacing w:before="0" w:beforeAutospacing="0" w:after="0" w:afterAutospacing="0" w:line="560" w:lineRule="exact"/>
        <w:ind w:firstLine="420"/>
        <w:jc w:val="both"/>
        <w:rPr>
          <w:rFonts w:hint="eastAsia" w:ascii="宋体" w:hAnsi="宋体" w:cs="宋体"/>
          <w:color w:val="333333"/>
        </w:rPr>
      </w:pPr>
    </w:p>
    <w:tbl>
      <w:tblPr>
        <w:tblStyle w:val="8"/>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widowControl/>
              <w:spacing w:line="560" w:lineRule="exact"/>
              <w:jc w:val="left"/>
            </w:pPr>
            <w:r>
              <w:rPr>
                <w:rFonts w:ascii="楷体" w:hAnsi="楷体" w:eastAsia="楷体" w:cs="楷体"/>
                <w:kern w:val="0"/>
                <w:sz w:val="20"/>
                <w:szCs w:val="20"/>
                <w:lang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spacing w:line="560" w:lineRule="exact"/>
              <w:rPr>
                <w:rFonts w:hint="eastAsia" w:ascii="宋体"/>
                <w:sz w:val="24"/>
              </w:rPr>
            </w:pPr>
          </w:p>
        </w:tc>
        <w:tc>
          <w:tcPr>
            <w:tcW w:w="688" w:type="dxa"/>
            <w:vMerge w:val="restart"/>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自然人</w:t>
            </w:r>
          </w:p>
        </w:tc>
        <w:tc>
          <w:tcPr>
            <w:tcW w:w="3440" w:type="dxa"/>
            <w:gridSpan w:val="5"/>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法人或其他组织</w:t>
            </w:r>
          </w:p>
        </w:tc>
        <w:tc>
          <w:tcPr>
            <w:tcW w:w="689" w:type="dxa"/>
            <w:vMerge w:val="restart"/>
            <w:tcBorders>
              <w:top w:val="single" w:color="auto" w:sz="8" w:space="0"/>
              <w:left w:val="single" w:color="auto" w:sz="0" w:space="0"/>
              <w:bottom w:val="outset"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spacing w:line="560" w:lineRule="exact"/>
              <w:rPr>
                <w:rFonts w:hint="eastAsia" w:ascii="宋体"/>
                <w:sz w:val="24"/>
              </w:rPr>
            </w:pPr>
          </w:p>
        </w:tc>
        <w:tc>
          <w:tcPr>
            <w:tcW w:w="688" w:type="dxa"/>
            <w:vMerge w:val="continue"/>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spacing w:line="560" w:lineRule="exact"/>
              <w:rPr>
                <w:rFonts w:hint="eastAsia" w:ascii="宋体"/>
                <w:sz w:val="24"/>
              </w:rPr>
            </w:pP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商业</w:t>
            </w:r>
          </w:p>
          <w:p>
            <w:pPr>
              <w:widowControl/>
              <w:spacing w:line="560" w:lineRule="exact"/>
              <w:jc w:val="center"/>
            </w:pPr>
            <w:r>
              <w:rPr>
                <w:rFonts w:hint="eastAsia" w:ascii="宋体" w:hAnsi="宋体" w:cs="宋体"/>
                <w:kern w:val="0"/>
                <w:sz w:val="20"/>
                <w:szCs w:val="20"/>
                <w:lang w:bidi="ar"/>
              </w:rPr>
              <w:t>企业</w:t>
            </w: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科研</w:t>
            </w:r>
          </w:p>
          <w:p>
            <w:pPr>
              <w:widowControl/>
              <w:spacing w:line="560" w:lineRule="exact"/>
              <w:jc w:val="center"/>
            </w:pPr>
            <w:r>
              <w:rPr>
                <w:rFonts w:hint="eastAsia" w:ascii="宋体" w:hAnsi="宋体" w:cs="宋体"/>
                <w:kern w:val="0"/>
                <w:sz w:val="20"/>
                <w:szCs w:val="20"/>
                <w:lang w:bidi="ar"/>
              </w:rPr>
              <w:t>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社会公益组织</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法律服务机构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其他</w:t>
            </w:r>
          </w:p>
        </w:tc>
        <w:tc>
          <w:tcPr>
            <w:tcW w:w="689" w:type="dxa"/>
            <w:vMerge w:val="continue"/>
            <w:tcBorders>
              <w:top w:val="single" w:color="auto" w:sz="8" w:space="0"/>
              <w:left w:val="single" w:color="auto" w:sz="0" w:space="0"/>
              <w:bottom w:val="outset" w:color="auto" w:sz="8" w:space="0"/>
              <w:right w:val="single" w:color="auto" w:sz="8" w:space="0"/>
            </w:tcBorders>
            <w:shd w:val="clear" w:color="auto" w:fill="9BC2E6"/>
            <w:noWrap w:val="0"/>
            <w:tcMar>
              <w:left w:w="57" w:type="dxa"/>
              <w:right w:w="57" w:type="dxa"/>
            </w:tcMar>
            <w:vAlign w:val="center"/>
          </w:tcPr>
          <w:p>
            <w:pPr>
              <w:spacing w:line="560" w:lineRule="exact"/>
              <w:rPr>
                <w:rFonts w:hint="eastAsia"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8</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三、本年度办理结果</w:t>
            </w: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3</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default"/>
                <w:lang w:val="en-US"/>
              </w:rPr>
            </w:pPr>
            <w:r>
              <w:rPr>
                <w:rFonts w:hint="eastAsia" w:ascii="Calibri" w:hAnsi="Calibri" w:cs="Calibri"/>
                <w:kern w:val="0"/>
                <w:sz w:val="20"/>
                <w:szCs w:val="20"/>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（二）部分公开</w:t>
            </w:r>
            <w:r>
              <w:rPr>
                <w:rFonts w:ascii="楷体" w:hAnsi="楷体" w:eastAsia="楷体" w:cs="楷体"/>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restart"/>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（三）不予公开</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default"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nil"/>
              <w:left w:val="nil"/>
              <w:bottom w:val="single" w:color="auto" w:sz="4"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6.属于四类过程性信息</w:t>
            </w:r>
          </w:p>
        </w:tc>
        <w:tc>
          <w:tcPr>
            <w:tcW w:w="688" w:type="dxa"/>
            <w:tcBorders>
              <w:top w:val="nil"/>
              <w:left w:val="nil"/>
              <w:bottom w:val="single" w:color="auto" w:sz="4"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1</w:t>
            </w:r>
          </w:p>
        </w:tc>
        <w:tc>
          <w:tcPr>
            <w:tcW w:w="688" w:type="dxa"/>
            <w:tcBorders>
              <w:top w:val="nil"/>
              <w:left w:val="nil"/>
              <w:bottom w:val="single" w:color="auto" w:sz="4"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4"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4"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4"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4"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9" w:type="dxa"/>
            <w:tcBorders>
              <w:top w:val="nil"/>
              <w:left w:val="nil"/>
              <w:bottom w:val="single" w:color="auto" w:sz="4"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single" w:color="auto" w:sz="4" w:space="0"/>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7.属于行政执法案卷</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9" w:type="dxa"/>
            <w:tcBorders>
              <w:top w:val="single" w:color="auto" w:sz="4" w:space="0"/>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restart"/>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（四）无法提供</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1</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restart"/>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（五）不予处理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widowControl/>
              <w:spacing w:line="560" w:lineRule="exact"/>
            </w:pPr>
            <w:r>
              <w:rPr>
                <w:rFonts w:hint="eastAsia" w:ascii="宋体" w:hAnsi="宋体" w:cs="宋体"/>
                <w:kern w:val="0"/>
                <w:sz w:val="20"/>
                <w:szCs w:val="20"/>
                <w:lang w:bidi="ar"/>
              </w:rPr>
              <w:t>5.要求行政机关确认或重新出具已获取信息</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9"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restart"/>
            <w:tcBorders>
              <w:top w:val="outset" w:color="auto" w:sz="8"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（六）其他处理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outset" w:color="auto" w:sz="8"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outset" w:color="auto" w:sz="8"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7</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Theme="minorEastAsia"/>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single" w:color="auto" w:sz="0" w:space="0"/>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四、结转下年度继续办理</w:t>
            </w:r>
          </w:p>
        </w:tc>
        <w:tc>
          <w:tcPr>
            <w:tcW w:w="688" w:type="dxa"/>
            <w:tcBorders>
              <w:top w:val="outset" w:color="auto" w:sz="6" w:space="0"/>
              <w:left w:val="single" w:color="auto" w:sz="0" w:space="0"/>
              <w:bottom w:val="outset" w:color="auto" w:sz="6" w:space="0"/>
              <w:right w:val="outset" w:color="auto" w:sz="6" w:space="0"/>
            </w:tcBorders>
            <w:noWrap w:val="0"/>
            <w:vAlign w:val="center"/>
          </w:tcPr>
          <w:p>
            <w:pPr>
              <w:spacing w:line="560" w:lineRule="exact"/>
              <w:jc w:val="center"/>
              <w:rPr>
                <w:rFonts w:hint="eastAsia" w:ascii="宋体" w:eastAsiaTheme="minorEastAsia"/>
                <w:sz w:val="24"/>
                <w:lang w:val="en-US" w:eastAsia="zh-CN"/>
              </w:rPr>
            </w:pPr>
            <w:r>
              <w:rPr>
                <w:rFonts w:hint="eastAsia" w:ascii="宋体"/>
                <w:sz w:val="24"/>
                <w:lang w:val="en-US" w:eastAsia="zh-CN"/>
              </w:rPr>
              <w:t>1</w:t>
            </w:r>
          </w:p>
        </w:tc>
        <w:tc>
          <w:tcPr>
            <w:tcW w:w="688" w:type="dxa"/>
            <w:tcBorders>
              <w:top w:val="outset" w:color="auto" w:sz="6" w:space="0"/>
              <w:left w:val="single" w:color="auto" w:sz="0" w:space="0"/>
              <w:bottom w:val="outset" w:color="auto" w:sz="6" w:space="0"/>
              <w:right w:val="outset" w:color="auto" w:sz="6" w:space="0"/>
            </w:tcBorders>
            <w:noWrap w:val="0"/>
            <w:vAlign w:val="center"/>
          </w:tcPr>
          <w:p>
            <w:pPr>
              <w:spacing w:line="560" w:lineRule="exact"/>
              <w:jc w:val="center"/>
              <w:rPr>
                <w:rFonts w:hint="eastAsia" w:ascii="宋体" w:eastAsiaTheme="minorEastAsia"/>
                <w:sz w:val="24"/>
                <w:lang w:val="en-US" w:eastAsia="zh-CN"/>
              </w:rPr>
            </w:pPr>
            <w:r>
              <w:rPr>
                <w:rFonts w:hint="eastAsia" w:ascii="宋体"/>
                <w:sz w:val="24"/>
                <w:lang w:val="en-US" w:eastAsia="zh-CN"/>
              </w:rPr>
              <w:t>0</w:t>
            </w:r>
          </w:p>
        </w:tc>
        <w:tc>
          <w:tcPr>
            <w:tcW w:w="0" w:type="auto"/>
            <w:tcBorders>
              <w:top w:val="outset" w:color="auto" w:sz="6" w:space="0"/>
              <w:left w:val="single" w:color="auto" w:sz="0" w:space="0"/>
              <w:bottom w:val="outset" w:color="auto" w:sz="6" w:space="0"/>
              <w:right w:val="outset" w:color="auto" w:sz="6" w:space="0"/>
            </w:tcBorders>
            <w:noWrap w:val="0"/>
            <w:vAlign w:val="center"/>
          </w:tcPr>
          <w:p>
            <w:pPr>
              <w:spacing w:line="560" w:lineRule="exact"/>
              <w:jc w:val="center"/>
              <w:rPr>
                <w:rFonts w:hint="eastAsia" w:ascii="宋体" w:eastAsiaTheme="minorEastAsia"/>
                <w:sz w:val="24"/>
                <w:lang w:val="en-US" w:eastAsia="zh-CN"/>
              </w:rPr>
            </w:pPr>
            <w:r>
              <w:rPr>
                <w:rFonts w:hint="eastAsia" w:ascii="宋体"/>
                <w:sz w:val="24"/>
                <w:lang w:val="en-US" w:eastAsia="zh-CN"/>
              </w:rPr>
              <w:t>0</w:t>
            </w:r>
          </w:p>
        </w:tc>
        <w:tc>
          <w:tcPr>
            <w:tcW w:w="688" w:type="dxa"/>
            <w:tcBorders>
              <w:top w:val="outset" w:color="auto" w:sz="6" w:space="0"/>
              <w:left w:val="single" w:color="auto" w:sz="0" w:space="0"/>
              <w:bottom w:val="outset" w:color="auto" w:sz="6" w:space="0"/>
              <w:right w:val="outset" w:color="auto" w:sz="6" w:space="0"/>
            </w:tcBorders>
            <w:noWrap w:val="0"/>
            <w:vAlign w:val="center"/>
          </w:tcPr>
          <w:p>
            <w:pPr>
              <w:spacing w:line="560" w:lineRule="exact"/>
              <w:jc w:val="center"/>
              <w:rPr>
                <w:rFonts w:hint="eastAsia" w:ascii="宋体" w:eastAsiaTheme="minorEastAsia"/>
                <w:sz w:val="24"/>
                <w:lang w:val="en-US" w:eastAsia="zh-CN"/>
              </w:rPr>
            </w:pPr>
            <w:r>
              <w:rPr>
                <w:rFonts w:hint="eastAsia" w:ascii="宋体"/>
                <w:sz w:val="24"/>
                <w:lang w:val="en-US" w:eastAsia="zh-CN"/>
              </w:rPr>
              <w:t>0</w:t>
            </w:r>
          </w:p>
        </w:tc>
        <w:tc>
          <w:tcPr>
            <w:tcW w:w="688" w:type="dxa"/>
            <w:tcBorders>
              <w:top w:val="outset" w:color="auto" w:sz="6" w:space="0"/>
              <w:left w:val="single" w:color="auto" w:sz="0" w:space="0"/>
              <w:bottom w:val="outset" w:color="auto" w:sz="6" w:space="0"/>
              <w:right w:val="outset" w:color="auto" w:sz="6" w:space="0"/>
            </w:tcBorders>
            <w:noWrap w:val="0"/>
            <w:vAlign w:val="center"/>
          </w:tcPr>
          <w:p>
            <w:pPr>
              <w:spacing w:line="560" w:lineRule="exact"/>
              <w:jc w:val="center"/>
              <w:rPr>
                <w:rFonts w:hint="eastAsia" w:ascii="宋体" w:eastAsiaTheme="minorEastAsia"/>
                <w:sz w:val="24"/>
                <w:lang w:val="en-US" w:eastAsia="zh-CN"/>
              </w:rPr>
            </w:pPr>
            <w:r>
              <w:rPr>
                <w:rFonts w:hint="eastAsia" w:ascii="宋体"/>
                <w:sz w:val="24"/>
                <w:lang w:val="en-US" w:eastAsia="zh-CN"/>
              </w:rPr>
              <w:t>0</w:t>
            </w:r>
          </w:p>
        </w:tc>
        <w:tc>
          <w:tcPr>
            <w:tcW w:w="688" w:type="dxa"/>
            <w:tcBorders>
              <w:top w:val="outset" w:color="auto" w:sz="6" w:space="0"/>
              <w:left w:val="single" w:color="auto" w:sz="0" w:space="0"/>
              <w:bottom w:val="outset" w:color="auto" w:sz="6" w:space="0"/>
              <w:right w:val="outset" w:color="auto" w:sz="6" w:space="0"/>
            </w:tcBorders>
            <w:noWrap w:val="0"/>
            <w:vAlign w:val="center"/>
          </w:tcPr>
          <w:p>
            <w:pPr>
              <w:spacing w:line="560" w:lineRule="exact"/>
              <w:jc w:val="center"/>
              <w:rPr>
                <w:rFonts w:hint="eastAsia" w:ascii="宋体" w:eastAsiaTheme="minorEastAsia"/>
                <w:sz w:val="24"/>
                <w:lang w:val="en-US" w:eastAsia="zh-CN"/>
              </w:rPr>
            </w:pPr>
            <w:r>
              <w:rPr>
                <w:rFonts w:hint="eastAsia" w:ascii="宋体"/>
                <w:sz w:val="24"/>
                <w:lang w:val="en-US" w:eastAsia="zh-CN"/>
              </w:rPr>
              <w:t>0</w:t>
            </w:r>
          </w:p>
        </w:tc>
        <w:tc>
          <w:tcPr>
            <w:tcW w:w="689" w:type="dxa"/>
            <w:tcBorders>
              <w:top w:val="outset" w:color="auto" w:sz="6" w:space="0"/>
              <w:left w:val="single" w:color="auto" w:sz="0" w:space="0"/>
              <w:bottom w:val="outset" w:color="auto" w:sz="6" w:space="0"/>
              <w:right w:val="outset" w:color="auto" w:sz="6" w:space="0"/>
            </w:tcBorders>
            <w:noWrap w:val="0"/>
            <w:vAlign w:val="center"/>
          </w:tcPr>
          <w:p>
            <w:pPr>
              <w:spacing w:line="560" w:lineRule="exact"/>
              <w:jc w:val="center"/>
              <w:rPr>
                <w:rFonts w:hint="eastAsia" w:ascii="宋体" w:eastAsiaTheme="minorEastAsia"/>
                <w:sz w:val="24"/>
                <w:lang w:val="en-US" w:eastAsia="zh-CN"/>
              </w:rPr>
            </w:pPr>
            <w:r>
              <w:rPr>
                <w:rFonts w:hint="eastAsia" w:ascii="宋体"/>
                <w:sz w:val="24"/>
                <w:lang w:val="en-US" w:eastAsia="zh-CN"/>
              </w:rPr>
              <w:t>1</w:t>
            </w:r>
          </w:p>
        </w:tc>
      </w:tr>
    </w:tbl>
    <w:p>
      <w:pPr>
        <w:pStyle w:val="2"/>
        <w:spacing w:line="560" w:lineRule="exact"/>
        <w:ind w:left="420" w:leftChars="200"/>
        <w:rPr>
          <w:rFonts w:hint="eastAsia"/>
        </w:rPr>
      </w:pPr>
    </w:p>
    <w:p>
      <w:pPr>
        <w:pStyle w:val="2"/>
        <w:spacing w:line="560" w:lineRule="exact"/>
        <w:ind w:left="420" w:leftChars="200"/>
        <w:rPr>
          <w:rFonts w:hint="eastAsia"/>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widowControl/>
        <w:spacing w:line="560" w:lineRule="exact"/>
        <w:jc w:val="center"/>
      </w:pPr>
    </w:p>
    <w:tbl>
      <w:tblPr>
        <w:tblStyle w:val="8"/>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560" w:lineRule="exact"/>
              <w:rPr>
                <w:rFonts w:hint="eastAsia" w:ascii="宋体"/>
                <w:sz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560" w:lineRule="exact"/>
              <w:rPr>
                <w:rFonts w:hint="eastAsia"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560" w:lineRule="exact"/>
              <w:rPr>
                <w:rFonts w:hint="eastAsia"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560" w:lineRule="exact"/>
              <w:rPr>
                <w:rFonts w:hint="eastAsia"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560" w:lineRule="exact"/>
              <w:rPr>
                <w:rFonts w:hint="eastAsia" w:ascii="宋体"/>
                <w:sz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color w:val="000000"/>
                <w:kern w:val="0"/>
                <w:sz w:val="20"/>
                <w:szCs w:val="20"/>
                <w:lang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color w:val="000000"/>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eastAsia="黑体"/>
                <w:lang w:val="en-US" w:eastAsia="zh-CN"/>
              </w:rPr>
            </w:pPr>
            <w:r>
              <w:rPr>
                <w:rFonts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eastAsia="黑体"/>
                <w:lang w:val="en-US" w:eastAsia="zh-CN"/>
              </w:rPr>
            </w:pPr>
            <w:r>
              <w:rPr>
                <w:rFonts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黑体" w:hAnsi="宋体" w:eastAsia="黑体" w:cs="黑体"/>
                <w:kern w:val="0"/>
                <w:sz w:val="20"/>
                <w:szCs w:val="20"/>
                <w:lang w:val="en-US" w:eastAsia="zh-CN" w:bidi="ar"/>
              </w:rPr>
              <w:t>0</w:t>
            </w:r>
            <w:r>
              <w:rPr>
                <w:rFonts w:ascii="黑体" w:hAnsi="宋体" w:eastAsia="黑体" w:cs="黑体"/>
                <w:kern w:val="0"/>
                <w:sz w:val="20"/>
                <w:szCs w:val="20"/>
                <w:lang w:bidi="ar"/>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黑体" w:hAnsi="宋体" w:eastAsia="黑体" w:cs="黑体"/>
                <w:kern w:val="0"/>
                <w:sz w:val="20"/>
                <w:szCs w:val="20"/>
                <w:lang w:val="en-US" w:eastAsia="zh-CN" w:bidi="ar"/>
              </w:rPr>
              <w:t>0</w:t>
            </w:r>
            <w:r>
              <w:rPr>
                <w:rFonts w:ascii="黑体" w:hAnsi="宋体" w:eastAsia="黑体" w:cs="黑体"/>
                <w:kern w:val="0"/>
                <w:sz w:val="20"/>
                <w:szCs w:val="20"/>
                <w:lang w:bidi="ar"/>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eastAsia="黑体"/>
                <w:lang w:val="en-US" w:eastAsia="zh-CN"/>
              </w:rPr>
            </w:pPr>
            <w:r>
              <w:rPr>
                <w:rFonts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黑体" w:hAnsi="宋体" w:eastAsia="黑体" w:cs="黑体"/>
                <w:kern w:val="0"/>
                <w:sz w:val="20"/>
                <w:szCs w:val="20"/>
                <w:lang w:val="en-US" w:eastAsia="zh-CN" w:bidi="ar"/>
              </w:rPr>
              <w:t>0</w:t>
            </w:r>
            <w:r>
              <w:rPr>
                <w:rFonts w:ascii="黑体" w:hAnsi="宋体" w:eastAsia="黑体" w:cs="黑体"/>
                <w:kern w:val="0"/>
                <w:sz w:val="20"/>
                <w:szCs w:val="20"/>
                <w:lang w:bidi="ar"/>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eastAsia="黑体"/>
                <w:lang w:val="en-US" w:eastAsia="zh-CN"/>
              </w:rPr>
            </w:pPr>
            <w:r>
              <w:rPr>
                <w:rFonts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黑体" w:hAnsi="宋体" w:eastAsia="黑体" w:cs="黑体"/>
                <w:kern w:val="0"/>
                <w:sz w:val="20"/>
                <w:szCs w:val="20"/>
                <w:lang w:val="en-US" w:eastAsia="zh-CN" w:bidi="ar"/>
              </w:rPr>
              <w:t>0</w:t>
            </w:r>
            <w:r>
              <w:rPr>
                <w:rFonts w:ascii="黑体" w:hAnsi="宋体" w:eastAsia="黑体" w:cs="黑体"/>
                <w:kern w:val="0"/>
                <w:sz w:val="20"/>
                <w:szCs w:val="20"/>
                <w:lang w:bidi="ar"/>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eastAsia="黑体"/>
                <w:lang w:val="en-US" w:eastAsia="zh-CN"/>
              </w:rPr>
            </w:pPr>
            <w:r>
              <w:rPr>
                <w:rFonts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eastAsia="黑体"/>
                <w:lang w:val="en-US" w:eastAsia="zh-CN"/>
              </w:rPr>
            </w:pPr>
            <w:r>
              <w:rPr>
                <w:rFonts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黑体" w:hAnsi="宋体" w:eastAsia="黑体" w:cs="黑体"/>
                <w:kern w:val="0"/>
                <w:sz w:val="20"/>
                <w:szCs w:val="20"/>
                <w:lang w:val="en-US" w:eastAsia="zh-CN" w:bidi="ar"/>
              </w:rPr>
              <w:t>0</w:t>
            </w:r>
            <w:r>
              <w:rPr>
                <w:rFonts w:ascii="黑体" w:hAnsi="宋体" w:eastAsia="黑体" w:cs="黑体"/>
                <w:kern w:val="0"/>
                <w:sz w:val="20"/>
                <w:szCs w:val="20"/>
                <w:lang w:bidi="ar"/>
              </w:rPr>
              <w:t>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eastAsia="黑体"/>
                <w:lang w:val="en-US" w:eastAsia="zh-CN"/>
              </w:rPr>
            </w:pPr>
            <w:r>
              <w:rPr>
                <w:rFonts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eastAsia="黑体"/>
                <w:lang w:val="en-US" w:eastAsia="zh-CN"/>
              </w:rPr>
            </w:pPr>
            <w:r>
              <w:rPr>
                <w:rFonts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rPr>
                <w:rFonts w:hint="eastAsia" w:eastAsia="黑体"/>
                <w:lang w:val="en-US" w:eastAsia="zh-CN"/>
              </w:rPr>
            </w:pPr>
            <w:r>
              <w:rPr>
                <w:rFonts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560" w:lineRule="exact"/>
              <w:rPr>
                <w:rFonts w:hint="eastAsia" w:ascii="宋体" w:eastAsiaTheme="minorEastAsia"/>
                <w:sz w:val="24"/>
                <w:lang w:val="en-US" w:eastAsia="zh-CN"/>
              </w:rPr>
            </w:pPr>
            <w:r>
              <w:rPr>
                <w:rFonts w:hint="eastAsia" w:ascii="宋体"/>
                <w:sz w:val="24"/>
                <w:lang w:val="en-US" w:eastAsia="zh-CN"/>
              </w:rPr>
              <w:t>0</w:t>
            </w:r>
          </w:p>
        </w:tc>
      </w:tr>
    </w:tbl>
    <w:p>
      <w:pPr>
        <w:widowControl/>
        <w:spacing w:line="560" w:lineRule="exact"/>
        <w:jc w:val="left"/>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widowControl/>
        <w:spacing w:line="560" w:lineRule="exact"/>
        <w:ind w:firstLine="672" w:firstLineChars="200"/>
        <w:jc w:val="left"/>
        <w:rPr>
          <w:rFonts w:hint="eastAsia" w:ascii="仿宋_GB2312" w:hAnsi="宋体" w:eastAsia="仿宋_GB2312" w:cs="宋体"/>
          <w:spacing w:val="8"/>
          <w:kern w:val="0"/>
          <w:sz w:val="32"/>
          <w:szCs w:val="32"/>
        </w:rPr>
      </w:pPr>
      <w:r>
        <w:rPr>
          <w:rFonts w:hint="default" w:ascii="仿宋_GB2312" w:hAnsi="宋体" w:eastAsia="仿宋_GB2312" w:cs="宋体"/>
          <w:spacing w:val="8"/>
          <w:kern w:val="0"/>
          <w:sz w:val="32"/>
          <w:szCs w:val="32"/>
        </w:rPr>
        <w:t>一是政务信息公开力度有待进一步加大，二是政务信息公开的内容还不够全面，三是信息公开更新还不够及时。</w:t>
      </w:r>
    </w:p>
    <w:p>
      <w:pPr>
        <w:widowControl/>
        <w:spacing w:line="560" w:lineRule="exact"/>
        <w:ind w:firstLine="672" w:firstLineChars="200"/>
        <w:jc w:val="left"/>
        <w:rPr>
          <w:rFonts w:hint="default" w:ascii="仿宋_GB2312" w:hAnsi="宋体" w:eastAsia="仿宋_GB2312" w:cs="宋体"/>
          <w:spacing w:val="8"/>
          <w:kern w:val="0"/>
          <w:sz w:val="32"/>
          <w:szCs w:val="32"/>
        </w:rPr>
      </w:pPr>
      <w:r>
        <w:rPr>
          <w:rFonts w:hint="default" w:ascii="仿宋_GB2312" w:hAnsi="宋体" w:eastAsia="仿宋_GB2312" w:cs="宋体"/>
          <w:spacing w:val="8"/>
          <w:kern w:val="0"/>
          <w:sz w:val="32"/>
          <w:szCs w:val="32"/>
        </w:rPr>
        <w:t>为此，我</w:t>
      </w:r>
      <w:r>
        <w:rPr>
          <w:rFonts w:hint="eastAsia" w:ascii="仿宋_GB2312" w:hAnsi="宋体" w:eastAsia="仿宋_GB2312" w:cs="宋体"/>
          <w:spacing w:val="8"/>
          <w:kern w:val="0"/>
          <w:sz w:val="32"/>
          <w:szCs w:val="32"/>
          <w:lang w:eastAsia="zh-CN"/>
        </w:rPr>
        <w:t>街道</w:t>
      </w:r>
      <w:r>
        <w:rPr>
          <w:rFonts w:hint="default" w:ascii="仿宋_GB2312" w:hAnsi="宋体" w:eastAsia="仿宋_GB2312" w:cs="宋体"/>
          <w:spacing w:val="8"/>
          <w:kern w:val="0"/>
          <w:sz w:val="32"/>
          <w:szCs w:val="32"/>
        </w:rPr>
        <w:t>将采取以下改进措施：一是加大信息公开力度。进一步完善信息公开制度，强化信息公开的责任意识、大局意识、服务意识，确保政务信息公开工作及时、准确。二是更好地接受社会公众对信息公开情况的监督。</w:t>
      </w:r>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widowControl/>
        <w:spacing w:line="560" w:lineRule="exact"/>
        <w:ind w:firstLine="675"/>
        <w:jc w:val="both"/>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根据《政府信息公开信息处理费管理办法》(国办函〔2020〕109号)，202</w:t>
      </w:r>
      <w:r>
        <w:rPr>
          <w:rFonts w:hint="eastAsia" w:ascii="仿宋_GB2312" w:hAnsi="宋体" w:eastAsia="仿宋_GB2312" w:cs="宋体"/>
          <w:spacing w:val="8"/>
          <w:kern w:val="0"/>
          <w:sz w:val="32"/>
          <w:szCs w:val="32"/>
          <w:lang w:val="en-US" w:eastAsia="zh-CN"/>
        </w:rPr>
        <w:t>4</w:t>
      </w:r>
      <w:r>
        <w:rPr>
          <w:rFonts w:hint="eastAsia" w:ascii="仿宋_GB2312" w:hAnsi="宋体" w:eastAsia="仿宋_GB2312" w:cs="宋体"/>
          <w:spacing w:val="8"/>
          <w:kern w:val="0"/>
          <w:sz w:val="32"/>
          <w:szCs w:val="32"/>
        </w:rPr>
        <w:t>年度</w:t>
      </w:r>
      <w:r>
        <w:rPr>
          <w:rFonts w:hint="eastAsia" w:ascii="仿宋_GB2312" w:hAnsi="宋体" w:eastAsia="仿宋_GB2312" w:cs="宋体"/>
          <w:spacing w:val="8"/>
          <w:kern w:val="0"/>
          <w:sz w:val="32"/>
          <w:szCs w:val="32"/>
          <w:lang w:val="en-US" w:eastAsia="zh-CN"/>
        </w:rPr>
        <w:t>本单位</w:t>
      </w:r>
      <w:r>
        <w:rPr>
          <w:rFonts w:hint="eastAsia" w:ascii="仿宋_GB2312" w:hAnsi="宋体" w:eastAsia="仿宋_GB2312" w:cs="宋体"/>
          <w:spacing w:val="8"/>
          <w:kern w:val="0"/>
          <w:sz w:val="32"/>
          <w:szCs w:val="32"/>
        </w:rPr>
        <w:t>收取信息处理费情况为：发出收费通知的件数为</w:t>
      </w:r>
      <w:r>
        <w:rPr>
          <w:rFonts w:hint="eastAsia" w:ascii="仿宋_GB2312" w:hAnsi="宋体" w:eastAsia="仿宋_GB2312" w:cs="宋体"/>
          <w:spacing w:val="8"/>
          <w:kern w:val="0"/>
          <w:sz w:val="32"/>
          <w:szCs w:val="32"/>
          <w:lang w:val="en-US" w:eastAsia="zh-CN"/>
        </w:rPr>
        <w:t>0</w:t>
      </w:r>
      <w:r>
        <w:rPr>
          <w:rFonts w:hint="eastAsia" w:ascii="仿宋_GB2312" w:hAnsi="宋体" w:eastAsia="仿宋_GB2312" w:cs="宋体"/>
          <w:spacing w:val="8"/>
          <w:kern w:val="0"/>
          <w:sz w:val="32"/>
          <w:szCs w:val="32"/>
        </w:rPr>
        <w:t>件，总金额为</w:t>
      </w:r>
      <w:r>
        <w:rPr>
          <w:rFonts w:hint="eastAsia" w:ascii="仿宋_GB2312" w:hAnsi="宋体" w:eastAsia="仿宋_GB2312" w:cs="宋体"/>
          <w:spacing w:val="8"/>
          <w:kern w:val="0"/>
          <w:sz w:val="32"/>
          <w:szCs w:val="32"/>
          <w:lang w:val="en-US" w:eastAsia="zh-CN"/>
        </w:rPr>
        <w:t>0</w:t>
      </w:r>
      <w:r>
        <w:rPr>
          <w:rFonts w:hint="eastAsia" w:ascii="仿宋_GB2312" w:hAnsi="宋体" w:eastAsia="仿宋_GB2312" w:cs="宋体"/>
          <w:spacing w:val="8"/>
          <w:kern w:val="0"/>
          <w:sz w:val="32"/>
          <w:szCs w:val="32"/>
        </w:rPr>
        <w:t>元，实际收取的总金额为</w:t>
      </w:r>
      <w:r>
        <w:rPr>
          <w:rFonts w:hint="eastAsia" w:ascii="仿宋_GB2312" w:hAnsi="宋体" w:eastAsia="仿宋_GB2312" w:cs="宋体"/>
          <w:spacing w:val="8"/>
          <w:kern w:val="0"/>
          <w:sz w:val="32"/>
          <w:szCs w:val="32"/>
          <w:lang w:val="en-US" w:eastAsia="zh-CN"/>
        </w:rPr>
        <w:t>0</w:t>
      </w:r>
      <w:r>
        <w:rPr>
          <w:rFonts w:hint="eastAsia" w:ascii="仿宋_GB2312" w:hAnsi="宋体" w:eastAsia="仿宋_GB2312" w:cs="宋体"/>
          <w:spacing w:val="8"/>
          <w:kern w:val="0"/>
          <w:sz w:val="32"/>
          <w:szCs w:val="32"/>
        </w:rPr>
        <w:t>元。</w:t>
      </w:r>
    </w:p>
    <w:p>
      <w:pPr>
        <w:widowControl/>
        <w:spacing w:line="560" w:lineRule="exact"/>
        <w:jc w:val="left"/>
        <w:rPr>
          <w:rFonts w:hint="eastAsia" w:ascii="仿宋_GB2312" w:hAnsi="宋体" w:eastAsia="仿宋_GB2312" w:cs="宋体"/>
          <w:color w:val="9BC2E6"/>
          <w:spacing w:val="8"/>
          <w:kern w:val="0"/>
          <w:sz w:val="32"/>
          <w:szCs w:val="32"/>
        </w:rPr>
      </w:pPr>
    </w:p>
    <w:p>
      <w:pPr>
        <w:pStyle w:val="2"/>
        <w:spacing w:line="560" w:lineRule="exact"/>
        <w:rPr>
          <w:rFonts w:hint="eastAsia"/>
        </w:rPr>
      </w:pPr>
      <w:r>
        <w:rPr>
          <w:rFonts w:hint="eastAsia" w:ascii="微软雅黑" w:hAnsi="微软雅黑" w:eastAsia="微软雅黑" w:cs="宋体"/>
          <w:color w:val="404040"/>
          <w:kern w:val="0"/>
          <w:sz w:val="32"/>
          <w:szCs w:val="32"/>
        </w:rPr>
        <w:t xml:space="preserve"> </w:t>
      </w:r>
    </w:p>
    <w:p>
      <w:pPr>
        <w:pStyle w:val="2"/>
        <w:spacing w:line="560" w:lineRule="exact"/>
        <w:rPr>
          <w:rFonts w:hint="eastAsia"/>
        </w:rPr>
      </w:pPr>
    </w:p>
    <w:p>
      <w:pPr>
        <w:pStyle w:val="2"/>
        <w:spacing w:line="560" w:lineRule="exact"/>
        <w:rPr>
          <w:rFonts w:hint="eastAsia"/>
        </w:rPr>
      </w:pPr>
    </w:p>
    <w:p>
      <w:pPr>
        <w:spacing w:line="560" w:lineRule="exact"/>
        <w:rPr>
          <w:rFonts w:hint="eastAsia" w:ascii="黑体" w:hAnsi="黑体" w:eastAsia="黑体" w:cs="黑体"/>
          <w:color w:val="000000"/>
          <w:sz w:val="32"/>
          <w:szCs w:val="32"/>
        </w:rPr>
      </w:pPr>
    </w:p>
    <w:p>
      <w:pPr>
        <w:spacing w:line="560" w:lineRule="exact"/>
        <w:rPr>
          <w:rFonts w:hint="eastAsia" w:ascii="黑体" w:hAnsi="黑体" w:eastAsia="黑体" w:cs="黑体"/>
          <w:color w:val="000000"/>
          <w:sz w:val="32"/>
          <w:szCs w:val="32"/>
          <w:lang w:val="en-US" w:eastAsia="zh-CN"/>
        </w:rPr>
      </w:pPr>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jZTdjODNhNmU5MGMyNTg1ODJiZThhMzlkZWE3YmIifQ=="/>
  </w:docVars>
  <w:rsids>
    <w:rsidRoot w:val="30807B4B"/>
    <w:rsid w:val="00442DB0"/>
    <w:rsid w:val="05D85E3B"/>
    <w:rsid w:val="05E4647C"/>
    <w:rsid w:val="0ABA6173"/>
    <w:rsid w:val="0AE80091"/>
    <w:rsid w:val="0B9064BE"/>
    <w:rsid w:val="0C082AAD"/>
    <w:rsid w:val="0CC11C92"/>
    <w:rsid w:val="0E36675F"/>
    <w:rsid w:val="0F071AFE"/>
    <w:rsid w:val="11205883"/>
    <w:rsid w:val="13002EED"/>
    <w:rsid w:val="134E798B"/>
    <w:rsid w:val="14A80DA5"/>
    <w:rsid w:val="17D26A70"/>
    <w:rsid w:val="1A7D285E"/>
    <w:rsid w:val="1B2C1A76"/>
    <w:rsid w:val="1B543C65"/>
    <w:rsid w:val="1DBF0083"/>
    <w:rsid w:val="1FFB0140"/>
    <w:rsid w:val="24010760"/>
    <w:rsid w:val="240877EE"/>
    <w:rsid w:val="25315F52"/>
    <w:rsid w:val="25FD3943"/>
    <w:rsid w:val="26913541"/>
    <w:rsid w:val="274A702C"/>
    <w:rsid w:val="299920BB"/>
    <w:rsid w:val="2BEB3657"/>
    <w:rsid w:val="2CE40508"/>
    <w:rsid w:val="2D47153F"/>
    <w:rsid w:val="2D862FF9"/>
    <w:rsid w:val="2ED871E9"/>
    <w:rsid w:val="30807B4B"/>
    <w:rsid w:val="31413674"/>
    <w:rsid w:val="318DF538"/>
    <w:rsid w:val="3221404A"/>
    <w:rsid w:val="327FC6D4"/>
    <w:rsid w:val="32CE7A3F"/>
    <w:rsid w:val="332871CB"/>
    <w:rsid w:val="33BD4470"/>
    <w:rsid w:val="34817233"/>
    <w:rsid w:val="385E5017"/>
    <w:rsid w:val="3967423C"/>
    <w:rsid w:val="3B546DFA"/>
    <w:rsid w:val="3BE8322F"/>
    <w:rsid w:val="3BF015BF"/>
    <w:rsid w:val="3C246C86"/>
    <w:rsid w:val="3F177636"/>
    <w:rsid w:val="3FD15EAF"/>
    <w:rsid w:val="40DD0B8E"/>
    <w:rsid w:val="44F55CE1"/>
    <w:rsid w:val="484D09F6"/>
    <w:rsid w:val="488E7D6F"/>
    <w:rsid w:val="4A751FBB"/>
    <w:rsid w:val="4B7A615D"/>
    <w:rsid w:val="4CF21E21"/>
    <w:rsid w:val="4CF54579"/>
    <w:rsid w:val="4E767533"/>
    <w:rsid w:val="52305BB2"/>
    <w:rsid w:val="535D2A8E"/>
    <w:rsid w:val="537A699B"/>
    <w:rsid w:val="53A771E4"/>
    <w:rsid w:val="53D538D6"/>
    <w:rsid w:val="54FB6504"/>
    <w:rsid w:val="566E25A6"/>
    <w:rsid w:val="56980686"/>
    <w:rsid w:val="584339B6"/>
    <w:rsid w:val="5B45742E"/>
    <w:rsid w:val="5B885BB0"/>
    <w:rsid w:val="5F0C50B4"/>
    <w:rsid w:val="628544F4"/>
    <w:rsid w:val="63941218"/>
    <w:rsid w:val="661750EF"/>
    <w:rsid w:val="67201D7D"/>
    <w:rsid w:val="67384093"/>
    <w:rsid w:val="691875C8"/>
    <w:rsid w:val="6C660F51"/>
    <w:rsid w:val="6C7926D4"/>
    <w:rsid w:val="6D5D5120"/>
    <w:rsid w:val="6D677B57"/>
    <w:rsid w:val="6DE128CD"/>
    <w:rsid w:val="6EAD309C"/>
    <w:rsid w:val="6FE850EB"/>
    <w:rsid w:val="74550C88"/>
    <w:rsid w:val="75432B9D"/>
    <w:rsid w:val="76C379BC"/>
    <w:rsid w:val="782567A5"/>
    <w:rsid w:val="79333E39"/>
    <w:rsid w:val="7BDB1E9F"/>
    <w:rsid w:val="7C3E40D5"/>
    <w:rsid w:val="7C55591F"/>
    <w:rsid w:val="7ECB27F6"/>
    <w:rsid w:val="7FFA135B"/>
    <w:rsid w:val="B79B2EF7"/>
    <w:rsid w:val="EA7E8771"/>
    <w:rsid w:val="EB0BB7E6"/>
    <w:rsid w:val="FDEA7CF5"/>
    <w:rsid w:val="FFDE8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ody Text"/>
    <w:basedOn w:val="1"/>
    <w:qFormat/>
    <w:uiPriority w:val="0"/>
    <w:rPr>
      <w:rFonts w:eastAsia="宋体"/>
      <w:bCs/>
      <w:color w:val="auto"/>
      <w:szCs w:val="24"/>
    </w:rPr>
  </w:style>
  <w:style w:type="paragraph" w:styleId="4">
    <w:name w:val="toc 3"/>
    <w:basedOn w:val="1"/>
    <w:next w:val="1"/>
    <w:semiHidden/>
    <w:unhideWhenUsed/>
    <w:qFormat/>
    <w:uiPriority w:val="39"/>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spacing w:before="100" w:beforeAutospacing="1" w:after="100" w:afterAutospacing="1"/>
      <w:ind w:left="0" w:right="0"/>
      <w:jc w:val="left"/>
    </w:pPr>
    <w:rPr>
      <w:kern w:val="0"/>
      <w:sz w:val="24"/>
      <w:lang w:val="en-US" w:eastAsia="zh-CN" w:bidi="ar"/>
    </w:rPr>
  </w:style>
  <w:style w:type="character" w:styleId="10">
    <w:name w:val="Hyperlink"/>
    <w:basedOn w:val="9"/>
    <w:qFormat/>
    <w:uiPriority w:val="0"/>
    <w:rPr>
      <w:color w:val="333333"/>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5743</Words>
  <Characters>6080</Characters>
  <Lines>0</Lines>
  <Paragraphs>0</Paragraphs>
  <TotalTime>7</TotalTime>
  <ScaleCrop>false</ScaleCrop>
  <LinksUpToDate>false</LinksUpToDate>
  <CharactersWithSpaces>6343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2020-12-16T15:14:00Z</dcterms:created>
  <dc:creator>HS</dc:creator>
  <cp:lastModifiedBy>user</cp:lastModifiedBy>
  <cp:lastPrinted>2025-01-10T09:21:00Z</cp:lastPrinted>
  <dcterms:modified xsi:type="dcterms:W3CDTF">2025-01-15T11:18:58Z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FE31FDA3AF9A44E7908C228B7DFF7827_13</vt:lpwstr>
  </property>
</Properties>
</file>