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北京市通州区永乐店镇人民政府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年，永乐店镇人民政府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始终坚持以习近平新时代中国特色社会主义思想为指导，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深入贯彻落实区委、区政府关于全面推进政务公开工作的系列部署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坚持“应公开尽公开”原则，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切实做好自身政府信息公开工作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。健全工作机制，完善组织架构，落实人员职能，积极推进政务公开的标准化、规范化；保障公民权益，透明信息公开渠道，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保障公民、法人和其他组织依法获取政府信息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  <w:t>，提升公开实效。现将我镇2023年度政府信息公开工作情况报告如下:</w:t>
      </w:r>
    </w:p>
    <w:p>
      <w:pPr>
        <w:widowControl/>
        <w:numPr>
          <w:ilvl w:val="0"/>
          <w:numId w:val="2"/>
        </w:numPr>
        <w:spacing w:line="560" w:lineRule="exac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主动公开政府信息和依申请公开情况</w:t>
      </w:r>
    </w:p>
    <w:p>
      <w:pPr>
        <w:widowControl/>
        <w:spacing w:line="560" w:lineRule="exact"/>
        <w:ind w:firstLine="672" w:firstLineChars="200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自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2023年1月1日起至2023年12月31日，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永乐店镇累计主动公开政府信息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条。公开范围涉及基本概况、机构职能、领导班子成员分工、财政预算决算报告、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社会救助、街乡镇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动态等方面内容。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年全镇受理依申请公开政府信息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，全部依法依规答复，行政复议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2次，其中1件结果维持，另1件尚未完结。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政府信息管理建设情况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完善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组织机构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建设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。永乐店镇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高度重视政府信息公开工作,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由综合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办公室具体负责全镇信息公开日常事务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，其他各科室明确工作职责以及各方面政务信息的公开内容细则，建立信息公开工作响应联动机制，确保信息公开的迅速、及时、规范，保证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政府信息公开工作落到实处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0"/>
        </w:numPr>
        <w:ind w:leftChars="0"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建立健全工作制度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为确保政务公开工作有计划、有步骤、有重点地有序开展，我镇认真学习贯彻落实《政府信息公开条例》，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抓好保密审查、信息公开属性源头管理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，加强主动公开力度和主动回应力度，把群众关心的政策和政府信息及时公开，充分发挥政府公开工作促进政民互动的作用。</w:t>
      </w:r>
    </w:p>
    <w:p>
      <w:pPr>
        <w:pStyle w:val="2"/>
        <w:numPr>
          <w:ilvl w:val="0"/>
          <w:numId w:val="0"/>
        </w:numPr>
        <w:ind w:leftChars="0"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三是加强人员教育培训。我镇鼓励信息公开工作人员积极参与上级部门组织开展的各项培训，同时定期对工作人员进行业务指导，强化实操技能，不断深化各部门对政府信息公开工作的认识理解，努力提高服务水平和服务意识，切实提高政务信息公开整体工作水平。</w:t>
      </w:r>
    </w:p>
    <w:p>
      <w:pPr>
        <w:pStyle w:val="2"/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严格履行监督保障职能</w:t>
      </w:r>
    </w:p>
    <w:p>
      <w:pPr>
        <w:pStyle w:val="2"/>
        <w:numPr>
          <w:ilvl w:val="0"/>
          <w:numId w:val="0"/>
        </w:numPr>
        <w:ind w:leftChars="0"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今年以来，我们按照“以公开是常态，不公开是例外”的要求，进一步落实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《政府信息公开条例》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准确、及时、全面地公开政府信息。建立健全审查机制，严格落实在重大行政决策前进行合法性审查，依法依规对信息公开申请回复内容进行审查；建立健全责任落实机制，制定相关检查制度、责任追究制度、向上反馈制度。确保政府信息公开工作规范化、法治化水平的有效提升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黑体" w:hAnsi="宋体" w:eastAsia="黑体" w:cs="黑体"/>
          <w:sz w:val="32"/>
          <w:szCs w:val="32"/>
          <w:lang w:bidi="ar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政府信息公开行政复议、行政诉讼情况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黑体" w:hAnsi="宋体" w:eastAsia="黑体" w:cs="黑体"/>
          <w:sz w:val="32"/>
          <w:szCs w:val="32"/>
          <w:lang w:bidi="ar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工作取得了良好的成效,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获得了群众的满意。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但还存在一定不足,主要表现在: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一是部分部门主动公开意识还有待加强；二是主动公开内容的深度有待拓展。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针对政府信息公开工作目前存在的问题，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2024年将不断完善工作机制，重点落实信息公开工作的各项要求，深入推进政府信息公开工作。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一是强化信息公开意识。加强与区政府相关部门的沟通和学习，加大工作人员的培训力度，不断强化我镇工作人员的政府信息公开意识，提高办事效率，保证人员专业性。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是规范信息公开内容。进一步充实内容，重点公开民生保障、重大政策等群众最关心、反应最强烈的内容；严格把关公开信息内容质量，加强规范信息公开的格式、内容，提高公开信息的全面性、及时性和准确性。</w:t>
      </w:r>
    </w:p>
    <w:p>
      <w:pPr>
        <w:widowControl/>
        <w:spacing w:line="560" w:lineRule="exact"/>
        <w:ind w:firstLine="672" w:firstLineChars="200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三是优化信息公开服务。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对公民、法人或其他组织申请公开政府信息的,依法在规定时限内予以答复,做到依法有据、严谨规范、慎重稳妥。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根据《政府信息公开信息处理费管理办法》(国办函〔2020〕109号)，2023年度永乐店镇人民政府收取信息处理费情况为：发出收费通知的件数为0件，总金额为0元，实际收取的总金额为0元。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672" w:firstLineChars="200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北京市通州区人民政府网站网址为https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://www.bjtzh.gov.cn/，如需了解更多政府信息，请登录查询。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D82CB7-6B4A-43A0-8CB9-74132B91A9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768BA17-D56C-48EB-BB37-BBBB5604B26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03BBB7D-2B3E-47B7-901C-AFE5FFA4A4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C717800-52BB-4DEE-8151-DD3017F74F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486704B-B14B-478D-9835-09361AE0FFE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2AEE2C30-12C7-4C6B-AB68-5BBCF5571AC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A0DD9E6-5611-4156-A4A7-F46B43449E3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0087D"/>
    <w:multiLevelType w:val="singleLevel"/>
    <w:tmpl w:val="A2F008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82FD89"/>
    <w:multiLevelType w:val="singleLevel"/>
    <w:tmpl w:val="F582FD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617A750D"/>
    <w:rsid w:val="01223997"/>
    <w:rsid w:val="051A5D13"/>
    <w:rsid w:val="0AB11BA4"/>
    <w:rsid w:val="0E6C474A"/>
    <w:rsid w:val="106D1F53"/>
    <w:rsid w:val="15D54F7E"/>
    <w:rsid w:val="2EB90D37"/>
    <w:rsid w:val="2F23221D"/>
    <w:rsid w:val="33B076D7"/>
    <w:rsid w:val="36D965A7"/>
    <w:rsid w:val="382F57A1"/>
    <w:rsid w:val="39CD40A1"/>
    <w:rsid w:val="414238D1"/>
    <w:rsid w:val="437153AA"/>
    <w:rsid w:val="530B79BB"/>
    <w:rsid w:val="54C63819"/>
    <w:rsid w:val="5B6375F4"/>
    <w:rsid w:val="617A750D"/>
    <w:rsid w:val="63C92AAE"/>
    <w:rsid w:val="67FB4D0A"/>
    <w:rsid w:val="6E6D5DF2"/>
    <w:rsid w:val="77EE5399"/>
    <w:rsid w:val="7A22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toc 3"/>
    <w:next w:val="1"/>
    <w:semiHidden/>
    <w:unhideWhenUsed/>
    <w:qFormat/>
    <w:uiPriority w:val="39"/>
    <w:pPr>
      <w:widowControl w:val="0"/>
      <w:ind w:left="840" w:leftChars="4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2023-12-29T02:26:00Z</dcterms:created>
  <dc:creator>lenovo</dc:creator>
  <cp:lastModifiedBy>slw</cp:lastModifiedBy>
  <dcterms:modified xsi:type="dcterms:W3CDTF">2024-01-23T08:48:43Z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B735E19F07E6465D83418898D2918AB2_13</vt:lpwstr>
  </property>
</Properties>
</file>