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C9" w:rsidRDefault="0028615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北京市通州区杨庄街道办事处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</w:t>
      </w:r>
    </w:p>
    <w:p w:rsidR="00EE60C9" w:rsidRDefault="0028615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信息公开工作年度报告</w:t>
      </w:r>
    </w:p>
    <w:p w:rsidR="00EE60C9" w:rsidRDefault="00EE60C9">
      <w:pPr>
        <w:spacing w:line="560" w:lineRule="exact"/>
        <w:jc w:val="center"/>
        <w:rPr>
          <w:sz w:val="44"/>
          <w:szCs w:val="44"/>
        </w:rPr>
      </w:pPr>
    </w:p>
    <w:p w:rsidR="00EE60C9" w:rsidRDefault="00286152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:rsidR="00EE60C9" w:rsidRDefault="00286152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EE60C9" w:rsidRDefault="00286152">
      <w:pPr>
        <w:widowControl/>
        <w:spacing w:line="560" w:lineRule="exact"/>
        <w:ind w:firstLine="675"/>
        <w:jc w:val="left"/>
      </w:pP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  <w:t>年，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杨庄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  <w:t>街道办事处高度重视政府信息公开工作，在区委、区政府的正确领导下，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全面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  <w:t>落实《中华人民共和国政府信息公开条例》等文件要求，</w:t>
      </w:r>
      <w:r>
        <w:rPr>
          <w:rFonts w:ascii="仿宋_GB2312" w:eastAsia="仿宋_GB2312" w:hAnsi="仿宋" w:hint="eastAsia"/>
          <w:sz w:val="32"/>
          <w:szCs w:val="32"/>
        </w:rPr>
        <w:t>积极安排部署，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突出公开重点，政府信息公开工作稳步推进。现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  <w:t>年信息公开工作情况报告如下：</w:t>
      </w:r>
    </w:p>
    <w:p w:rsidR="00EE60C9" w:rsidRDefault="00286152">
      <w:pPr>
        <w:pStyle w:val="9"/>
        <w:spacing w:line="560" w:lineRule="exact"/>
        <w:ind w:left="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主动公开政府信息情况</w:t>
      </w:r>
    </w:p>
    <w:p w:rsidR="00EE60C9" w:rsidRDefault="00286152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 xml:space="preserve"> 2022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年，杨庄街道主动公开政府信息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113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条，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其中街乡镇动态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54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条，预决算公开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条，双公示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条，行政处罚公示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行政检查公示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条。</w:t>
      </w:r>
    </w:p>
    <w:p w:rsidR="00EE60C9" w:rsidRDefault="00286152">
      <w:pPr>
        <w:pStyle w:val="9"/>
        <w:spacing w:line="560" w:lineRule="exact"/>
        <w:ind w:left="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（二）收到和处理政府信息公开申请情况</w:t>
      </w:r>
    </w:p>
    <w:p w:rsidR="00EE60C9" w:rsidRDefault="00286152">
      <w:pPr>
        <w:spacing w:line="560" w:lineRule="exact"/>
        <w:ind w:firstLineChars="200" w:firstLine="640"/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年，杨庄街道收到依申请公开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件，其中邮件申请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件，互联网申请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件，均对当事人及时给予答复，按时办结。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 xml:space="preserve">                         </w:t>
      </w:r>
    </w:p>
    <w:p w:rsidR="00EE60C9" w:rsidRDefault="00286152">
      <w:pPr>
        <w:spacing w:line="560" w:lineRule="exact"/>
        <w:ind w:firstLineChars="200" w:firstLine="640"/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（三）新媒体宣传更新</w:t>
      </w:r>
    </w:p>
    <w:p w:rsidR="00EE60C9" w:rsidRDefault="00286152">
      <w:pPr>
        <w:pStyle w:val="9"/>
        <w:spacing w:line="560" w:lineRule="exact"/>
        <w:ind w:left="0" w:firstLineChars="200" w:firstLine="640"/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年杨庄街道大力开展微信公众号新媒体宣传，年度更新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1426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篇，其中原创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586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篇。</w:t>
      </w:r>
    </w:p>
    <w:p w:rsidR="00EE60C9" w:rsidRDefault="00286152">
      <w:pPr>
        <w:pStyle w:val="9"/>
        <w:spacing w:line="560" w:lineRule="exact"/>
        <w:ind w:left="0"/>
      </w:pPr>
      <w:r>
        <w:rPr>
          <w:rFonts w:hint="eastAsia"/>
        </w:rPr>
        <w:t xml:space="preserve">       </w:t>
      </w:r>
    </w:p>
    <w:p w:rsidR="00EE60C9" w:rsidRDefault="00286152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（四）政府信息管理及平台建设情况</w:t>
      </w:r>
    </w:p>
    <w:p w:rsidR="00EE60C9" w:rsidRDefault="00286152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杨庄街道积极配合通州区人民政府做好政府信息公开集约化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平台建设，推进政府信息公开平台与政府网站平台融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合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，实现政务、财务的公开，方便群众办事，提高政府服务水平。同时固定专人对平台进行使用管理，规范信息申请内部流程管理，加大公开信息审查力度，确保发布信息及时、准确。</w:t>
      </w:r>
    </w:p>
    <w:p w:rsidR="00EE60C9" w:rsidRDefault="00286152">
      <w:pPr>
        <w:pStyle w:val="9"/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（五）政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府信息公开监督保障及教育培训情况</w:t>
      </w:r>
      <w:r>
        <w:rPr>
          <w:rFonts w:hint="eastAsia"/>
          <w:color w:val="333333"/>
          <w:kern w:val="0"/>
          <w:sz w:val="24"/>
          <w:lang w:bidi="ar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E60C9" w:rsidRDefault="0028615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年杨庄街道办事处严格按照《政府信息公开条例》的规定和上级有关部门的部署和要求，不断创新工作思路，完善工作机制，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  <w:t>明确内部公开流程，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在政府网站和公众号及时公布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近期重点工作、便民服务等活动信息，畅通群众来信、来电、来访诉求通道，及时进行回复，自觉接受社会各界监督，主动接受有关部门和社会各界的监督，努力做到政府信息公开内容真实全面以及公开的及时性。同时，开展会前学法学习《政府信息公开条例》要点，针对各部门负责人员开展信息公开培训，切实提高政务公开队伍的业务素养和工作能力，扎实推进街道政府信息公开工作。</w:t>
      </w:r>
    </w:p>
    <w:p w:rsidR="00EE60C9" w:rsidRDefault="0028615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EE60C9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ind w:firstLineChars="400" w:firstLine="80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EE60C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EE60C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第二十条第（六）项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299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EE60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EE60C9" w:rsidRDefault="00286152">
      <w:pPr>
        <w:spacing w:line="560" w:lineRule="exact"/>
        <w:ind w:firstLineChars="200" w:firstLine="640"/>
        <w:rPr>
          <w:rFonts w:ascii="宋体" w:hAnsi="宋体" w:cs="宋体"/>
          <w:color w:val="333333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EE60C9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bookmarkStart w:id="0" w:name="OLE_LINK1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EE60C9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EE60C9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</w:tr>
      <w:tr w:rsidR="00EE60C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E60C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trHeight w:val="654"/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60C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E60C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60C9" w:rsidRDefault="0028615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60C9" w:rsidRDefault="002861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60C9" w:rsidRDefault="002861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60C9" w:rsidRDefault="0028615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60C9" w:rsidRDefault="0028615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60C9" w:rsidRDefault="0028615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60C9" w:rsidRDefault="0028615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60C9" w:rsidRDefault="0028615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bookmarkEnd w:id="0"/>
    </w:tbl>
    <w:p w:rsidR="00EE60C9" w:rsidRDefault="00EE60C9">
      <w:pPr>
        <w:pStyle w:val="a0"/>
      </w:pPr>
    </w:p>
    <w:p w:rsidR="00EE60C9" w:rsidRDefault="0028615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EE60C9" w:rsidRDefault="00EE60C9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E60C9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EE60C9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EE60C9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EE60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EE60C9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60C9" w:rsidRDefault="0028615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EE60C9" w:rsidRDefault="00EE60C9">
      <w:pPr>
        <w:widowControl/>
        <w:jc w:val="left"/>
      </w:pPr>
    </w:p>
    <w:p w:rsidR="00EE60C9" w:rsidRDefault="00286152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bookmarkStart w:id="1" w:name="_GoBack"/>
      <w:bookmarkEnd w:id="1"/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EE60C9" w:rsidRDefault="00286152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年杨庄街道政府信息公开工作在很多方面有了较大进步，但还存在一定的差距。存在的主要问题包括两方面，一是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个别领域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信息公开存在不及时情况。二是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依申请答复环节熟悉程序有待加强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EE60C9" w:rsidRDefault="00286152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下一步改进的主要措施：</w:t>
      </w:r>
    </w:p>
    <w:p w:rsidR="00EE60C9" w:rsidRDefault="00286152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一是加强责任落实。进一步落实责任，强化专人负责，明确工作职责；规范内部流程，加强各部门沟通，确保信息公开的及时性和准确性。</w:t>
      </w:r>
    </w:p>
    <w:p w:rsidR="00EE60C9" w:rsidRDefault="00286152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二是提升网上政务信息公开水平。</w:t>
      </w:r>
      <w:r>
        <w:rPr>
          <w:rFonts w:ascii="仿宋_GB2312" w:eastAsia="仿宋_GB2312" w:hint="eastAsia"/>
          <w:bCs/>
          <w:sz w:val="32"/>
          <w:szCs w:val="32"/>
        </w:rPr>
        <w:t>不定期组织各部门工作员进行学习培训，针对报送情况进行通报。有针对性进行约稿，引导各部门工作人员培养信息公开意识，提升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信息公开水平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EE60C9" w:rsidRDefault="00286152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EE60C9" w:rsidRDefault="00286152">
      <w:pPr>
        <w:widowControl/>
        <w:spacing w:line="560" w:lineRule="exact"/>
        <w:ind w:firstLineChars="200" w:firstLine="672"/>
        <w:jc w:val="left"/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本单位依据《政府信息公开信息处理费管理办法》收取信息处理费，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年发出收费通知的件数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件，总金额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元。实际收取的总金额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元。</w:t>
      </w:r>
    </w:p>
    <w:p w:rsidR="00EE60C9" w:rsidRDefault="00286152">
      <w:pPr>
        <w:pStyle w:val="a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北京市通州区人民政府网站网址为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http://www.bjtzh.gov.cn/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如需了解更多政府信息，请登录查询。</w:t>
      </w:r>
    </w:p>
    <w:p w:rsidR="00EE60C9" w:rsidRDefault="00EE60C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E60C9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52" w:rsidRDefault="00286152">
      <w:r>
        <w:separator/>
      </w:r>
    </w:p>
  </w:endnote>
  <w:endnote w:type="continuationSeparator" w:id="0">
    <w:p w:rsidR="00286152" w:rsidRDefault="0028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C9" w:rsidRDefault="0028615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60C9" w:rsidRDefault="00286152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41F1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60C9" w:rsidRDefault="00286152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941F1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52" w:rsidRDefault="00286152">
      <w:r>
        <w:separator/>
      </w:r>
    </w:p>
  </w:footnote>
  <w:footnote w:type="continuationSeparator" w:id="0">
    <w:p w:rsidR="00286152" w:rsidRDefault="0028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F3B75787"/>
    <w:rsid w:val="F3ED00A4"/>
    <w:rsid w:val="F7BF568D"/>
    <w:rsid w:val="F7E71D6E"/>
    <w:rsid w:val="F7EFF7D4"/>
    <w:rsid w:val="F8BE9C02"/>
    <w:rsid w:val="F8EF89E4"/>
    <w:rsid w:val="FACFB768"/>
    <w:rsid w:val="FAD6EC9C"/>
    <w:rsid w:val="FAF7109D"/>
    <w:rsid w:val="FAFFD816"/>
    <w:rsid w:val="FBBF6E98"/>
    <w:rsid w:val="FBDBD829"/>
    <w:rsid w:val="FBFDBED2"/>
    <w:rsid w:val="FC7B3072"/>
    <w:rsid w:val="FCAB943E"/>
    <w:rsid w:val="FCEB026E"/>
    <w:rsid w:val="FD1F6316"/>
    <w:rsid w:val="FDAE3653"/>
    <w:rsid w:val="FDBB2B85"/>
    <w:rsid w:val="FDEB040A"/>
    <w:rsid w:val="FDFA2E7B"/>
    <w:rsid w:val="FEA54BAA"/>
    <w:rsid w:val="FEBB6E70"/>
    <w:rsid w:val="FEFA4A21"/>
    <w:rsid w:val="FF5561B1"/>
    <w:rsid w:val="FF7E440E"/>
    <w:rsid w:val="FF9FB72A"/>
    <w:rsid w:val="FFAF2418"/>
    <w:rsid w:val="FFB74A0B"/>
    <w:rsid w:val="FFB7A3D5"/>
    <w:rsid w:val="FFB90DC5"/>
    <w:rsid w:val="FFCFB1CF"/>
    <w:rsid w:val="FFEE08BB"/>
    <w:rsid w:val="FFF74F52"/>
    <w:rsid w:val="FFF76573"/>
    <w:rsid w:val="FFFF00C2"/>
    <w:rsid w:val="FFFF948C"/>
    <w:rsid w:val="00076DBF"/>
    <w:rsid w:val="0017346D"/>
    <w:rsid w:val="00286152"/>
    <w:rsid w:val="002941F1"/>
    <w:rsid w:val="0074633D"/>
    <w:rsid w:val="00763DB2"/>
    <w:rsid w:val="00BC4A80"/>
    <w:rsid w:val="00C46870"/>
    <w:rsid w:val="00E05E24"/>
    <w:rsid w:val="00ED51E1"/>
    <w:rsid w:val="00EE60C9"/>
    <w:rsid w:val="00FF4CCF"/>
    <w:rsid w:val="010F5CB0"/>
    <w:rsid w:val="020E7372"/>
    <w:rsid w:val="037D5E10"/>
    <w:rsid w:val="04D1276B"/>
    <w:rsid w:val="07F813C7"/>
    <w:rsid w:val="0A826F96"/>
    <w:rsid w:val="0B53F20D"/>
    <w:rsid w:val="0CBB1A54"/>
    <w:rsid w:val="0E7E0858"/>
    <w:rsid w:val="14470F9D"/>
    <w:rsid w:val="14A17984"/>
    <w:rsid w:val="157214B0"/>
    <w:rsid w:val="169E3D85"/>
    <w:rsid w:val="17217E52"/>
    <w:rsid w:val="1987E0D0"/>
    <w:rsid w:val="19D73DAC"/>
    <w:rsid w:val="1BF7B0EF"/>
    <w:rsid w:val="1DBF6258"/>
    <w:rsid w:val="1DFE5019"/>
    <w:rsid w:val="1E3F1448"/>
    <w:rsid w:val="1EFBF6E3"/>
    <w:rsid w:val="1F7ECF57"/>
    <w:rsid w:val="22EA0B45"/>
    <w:rsid w:val="247B746E"/>
    <w:rsid w:val="25DE18FD"/>
    <w:rsid w:val="27470A1C"/>
    <w:rsid w:val="297FA2DF"/>
    <w:rsid w:val="29AE54B9"/>
    <w:rsid w:val="2C7A8FDB"/>
    <w:rsid w:val="2CA6446F"/>
    <w:rsid w:val="2CEB6771"/>
    <w:rsid w:val="2EEFCABF"/>
    <w:rsid w:val="2EF6189F"/>
    <w:rsid w:val="2EF746DE"/>
    <w:rsid w:val="2FE77C84"/>
    <w:rsid w:val="30FB3D2A"/>
    <w:rsid w:val="32F87D28"/>
    <w:rsid w:val="33BF8CCD"/>
    <w:rsid w:val="377D4C50"/>
    <w:rsid w:val="377E9215"/>
    <w:rsid w:val="38780662"/>
    <w:rsid w:val="38FE38FA"/>
    <w:rsid w:val="3ABFF15B"/>
    <w:rsid w:val="3B77DBD8"/>
    <w:rsid w:val="3BEFA8BA"/>
    <w:rsid w:val="3D255B57"/>
    <w:rsid w:val="3DA74828"/>
    <w:rsid w:val="3DEE132A"/>
    <w:rsid w:val="3DEF5F4B"/>
    <w:rsid w:val="3E7F6E9A"/>
    <w:rsid w:val="3F27131E"/>
    <w:rsid w:val="3F7FD938"/>
    <w:rsid w:val="3F9FB41F"/>
    <w:rsid w:val="3FDE9D04"/>
    <w:rsid w:val="3FE748CB"/>
    <w:rsid w:val="425B2749"/>
    <w:rsid w:val="469B47D8"/>
    <w:rsid w:val="46FF992E"/>
    <w:rsid w:val="47CF6435"/>
    <w:rsid w:val="4C074CEF"/>
    <w:rsid w:val="4CFF26B7"/>
    <w:rsid w:val="4DFD5141"/>
    <w:rsid w:val="4FEB585A"/>
    <w:rsid w:val="5577EB4C"/>
    <w:rsid w:val="55CC51C1"/>
    <w:rsid w:val="575437DF"/>
    <w:rsid w:val="57FF4C95"/>
    <w:rsid w:val="5AD900C3"/>
    <w:rsid w:val="5AEF970C"/>
    <w:rsid w:val="5AFA3E4F"/>
    <w:rsid w:val="5AFFD800"/>
    <w:rsid w:val="5BFFDD69"/>
    <w:rsid w:val="5CDF5FB1"/>
    <w:rsid w:val="5CEF4A95"/>
    <w:rsid w:val="5DA9301B"/>
    <w:rsid w:val="5DE86BD7"/>
    <w:rsid w:val="5DED1905"/>
    <w:rsid w:val="5DEF9C1D"/>
    <w:rsid w:val="5DFDD38C"/>
    <w:rsid w:val="5E1A1228"/>
    <w:rsid w:val="5E282F0F"/>
    <w:rsid w:val="5E7231FE"/>
    <w:rsid w:val="5EA6774A"/>
    <w:rsid w:val="5EDECA65"/>
    <w:rsid w:val="5F377F57"/>
    <w:rsid w:val="5F9F2C5E"/>
    <w:rsid w:val="62AD78B3"/>
    <w:rsid w:val="65A63F93"/>
    <w:rsid w:val="666138CB"/>
    <w:rsid w:val="67D68B30"/>
    <w:rsid w:val="68DF5D04"/>
    <w:rsid w:val="68EB21F8"/>
    <w:rsid w:val="69EF346D"/>
    <w:rsid w:val="6AF12E1B"/>
    <w:rsid w:val="6BF30516"/>
    <w:rsid w:val="6C8F726D"/>
    <w:rsid w:val="6CEB6ECC"/>
    <w:rsid w:val="6E332263"/>
    <w:rsid w:val="6EFEEC5B"/>
    <w:rsid w:val="6F73BDA0"/>
    <w:rsid w:val="6F8675E6"/>
    <w:rsid w:val="6FAE99D5"/>
    <w:rsid w:val="6FDB37E4"/>
    <w:rsid w:val="6FDF6844"/>
    <w:rsid w:val="6FFDE954"/>
    <w:rsid w:val="6FFEA800"/>
    <w:rsid w:val="6FFFFADA"/>
    <w:rsid w:val="71DE7EE3"/>
    <w:rsid w:val="728F730A"/>
    <w:rsid w:val="73FF70F9"/>
    <w:rsid w:val="74064D96"/>
    <w:rsid w:val="74EFC7B6"/>
    <w:rsid w:val="74FCAE27"/>
    <w:rsid w:val="74FF1890"/>
    <w:rsid w:val="753DD38E"/>
    <w:rsid w:val="753F73CA"/>
    <w:rsid w:val="75F72369"/>
    <w:rsid w:val="75FB78FE"/>
    <w:rsid w:val="76EF58C4"/>
    <w:rsid w:val="76F5F0D1"/>
    <w:rsid w:val="774D864A"/>
    <w:rsid w:val="77EFBAC8"/>
    <w:rsid w:val="77FD4068"/>
    <w:rsid w:val="780218A6"/>
    <w:rsid w:val="794E0686"/>
    <w:rsid w:val="7A3BE3CE"/>
    <w:rsid w:val="7A3F2C9C"/>
    <w:rsid w:val="7A6B52EC"/>
    <w:rsid w:val="7B4F382C"/>
    <w:rsid w:val="7B776F04"/>
    <w:rsid w:val="7B9D492C"/>
    <w:rsid w:val="7B9E8E8A"/>
    <w:rsid w:val="7BCC0324"/>
    <w:rsid w:val="7BFD5CEE"/>
    <w:rsid w:val="7C6402AC"/>
    <w:rsid w:val="7DBF8BCE"/>
    <w:rsid w:val="7EDBB3E5"/>
    <w:rsid w:val="7EDF1CF7"/>
    <w:rsid w:val="7EFD0F13"/>
    <w:rsid w:val="7EFF951F"/>
    <w:rsid w:val="7F5B35B9"/>
    <w:rsid w:val="7F6F1380"/>
    <w:rsid w:val="7F77307C"/>
    <w:rsid w:val="7F775630"/>
    <w:rsid w:val="7FC3A9C4"/>
    <w:rsid w:val="7FC3FD46"/>
    <w:rsid w:val="7FEE3F4C"/>
    <w:rsid w:val="7FF6EFD2"/>
    <w:rsid w:val="7FFBD779"/>
    <w:rsid w:val="7FFEA9E7"/>
    <w:rsid w:val="7FFF0B09"/>
    <w:rsid w:val="86EFEF1E"/>
    <w:rsid w:val="93F7574D"/>
    <w:rsid w:val="96EF79F1"/>
    <w:rsid w:val="9EFBAF3B"/>
    <w:rsid w:val="9F96E5DB"/>
    <w:rsid w:val="9F978493"/>
    <w:rsid w:val="9FEFEE24"/>
    <w:rsid w:val="A8BDE472"/>
    <w:rsid w:val="AC9FBE67"/>
    <w:rsid w:val="ADF921B1"/>
    <w:rsid w:val="AEF20B0D"/>
    <w:rsid w:val="AF4F3419"/>
    <w:rsid w:val="AFDF77A5"/>
    <w:rsid w:val="AFDFDAFC"/>
    <w:rsid w:val="AFFBAC2E"/>
    <w:rsid w:val="B48EC8D1"/>
    <w:rsid w:val="B7FF31FF"/>
    <w:rsid w:val="B7FFC4A8"/>
    <w:rsid w:val="B7FFEF29"/>
    <w:rsid w:val="BAF56F19"/>
    <w:rsid w:val="BB6A601F"/>
    <w:rsid w:val="BB6DEEB8"/>
    <w:rsid w:val="BB7C50B5"/>
    <w:rsid w:val="BB9F4635"/>
    <w:rsid w:val="BD7BDA57"/>
    <w:rsid w:val="BDEFFCC4"/>
    <w:rsid w:val="BDF7631F"/>
    <w:rsid w:val="BDFEAC75"/>
    <w:rsid w:val="BDFF6171"/>
    <w:rsid w:val="BFBD417E"/>
    <w:rsid w:val="BFEF2E5A"/>
    <w:rsid w:val="BFFAF6C7"/>
    <w:rsid w:val="C7F62D21"/>
    <w:rsid w:val="CABBA266"/>
    <w:rsid w:val="CACA68C3"/>
    <w:rsid w:val="CDEF3526"/>
    <w:rsid w:val="CF5EF946"/>
    <w:rsid w:val="D4F7AAD4"/>
    <w:rsid w:val="D5F70DBA"/>
    <w:rsid w:val="D6CFB3F8"/>
    <w:rsid w:val="D6DDF7C8"/>
    <w:rsid w:val="D777554A"/>
    <w:rsid w:val="D95B88A5"/>
    <w:rsid w:val="D967254D"/>
    <w:rsid w:val="DBBE1CAA"/>
    <w:rsid w:val="DBFEBA28"/>
    <w:rsid w:val="DCD30085"/>
    <w:rsid w:val="DD7F2ED0"/>
    <w:rsid w:val="DDB6FD2D"/>
    <w:rsid w:val="DDBF9844"/>
    <w:rsid w:val="DDDA4425"/>
    <w:rsid w:val="DDF725E0"/>
    <w:rsid w:val="DEAD61DA"/>
    <w:rsid w:val="DEF2FA4E"/>
    <w:rsid w:val="DF5D2651"/>
    <w:rsid w:val="DFDB1E25"/>
    <w:rsid w:val="E3F41858"/>
    <w:rsid w:val="E7FC78B6"/>
    <w:rsid w:val="E7FD22C0"/>
    <w:rsid w:val="E9F85EFB"/>
    <w:rsid w:val="E9FF0691"/>
    <w:rsid w:val="EBCC2775"/>
    <w:rsid w:val="EBCDEFA1"/>
    <w:rsid w:val="EBFF0594"/>
    <w:rsid w:val="EEB6E0CE"/>
    <w:rsid w:val="EEF78284"/>
    <w:rsid w:val="EEFD39A8"/>
    <w:rsid w:val="EF9326A8"/>
    <w:rsid w:val="EFBF17FF"/>
    <w:rsid w:val="EFF3DAB8"/>
    <w:rsid w:val="EFFEE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66ECFE-437D-4C63-824B-03DE3B4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toc 3" w:semiHidden="1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3">
    <w:name w:val="toc 3"/>
    <w:basedOn w:val="a"/>
    <w:next w:val="a"/>
    <w:uiPriority w:val="99"/>
    <w:semiHidden/>
    <w:qFormat/>
    <w:pPr>
      <w:spacing w:line="600" w:lineRule="exact"/>
    </w:pPr>
    <w:rPr>
      <w:rFonts w:ascii="黑体" w:eastAsia="黑体" w:hAnsi="黑体" w:cs="黑体"/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index 9"/>
    <w:next w:val="a"/>
    <w:qFormat/>
    <w:pPr>
      <w:widowControl w:val="0"/>
      <w:ind w:left="3360"/>
    </w:pPr>
    <w:rPr>
      <w:kern w:val="2"/>
      <w:sz w:val="21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9">
    <w:name w:val="annotation subject"/>
    <w:basedOn w:val="a4"/>
    <w:next w:val="a4"/>
    <w:link w:val="Char1"/>
    <w:qFormat/>
    <w:rPr>
      <w:b/>
      <w:bCs/>
    </w:r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00"/>
      <w:u w:val="none"/>
    </w:r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一米阳光66</dc:creator>
  <cp:lastModifiedBy>ZOE</cp:lastModifiedBy>
  <cp:revision>8</cp:revision>
  <cp:lastPrinted>2019-12-16T17:52:00Z</cp:lastPrinted>
  <dcterms:created xsi:type="dcterms:W3CDTF">2019-12-13T21:53:00Z</dcterms:created>
  <dcterms:modified xsi:type="dcterms:W3CDTF">2023-01-09T09:03:00Z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835E834E68EA4780A3095433706B6C26</vt:lpwstr>
  </property>
</Properties>
</file>