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北京市通州区</w:t>
      </w:r>
      <w:r>
        <w:rPr>
          <w:rFonts w:hint="eastAsia" w:ascii="方正小标宋简体" w:hAnsi="方正小标宋简体" w:eastAsia="方正小标宋简体" w:cs="方正小标宋简体"/>
          <w:sz w:val="44"/>
          <w:szCs w:val="44"/>
        </w:rPr>
        <w:t>于家务回族乡2022年</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sz w:val="44"/>
          <w:szCs w:val="44"/>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before="292" w:beforeLines="50" w:after="292" w:afterLines="50" w:line="560" w:lineRule="exact"/>
        <w:ind w:firstLine="664" w:firstLineChars="200"/>
        <w:jc w:val="left"/>
        <w:textAlignment w:val="auto"/>
        <w:outlineLvl w:val="9"/>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2年，于家务回族乡人民政府坚持以习近平新时代中国特色社会主义思想为指导，认真贯彻落实党中央国务院、市委市政府、区委区政府关于政务公开工作的决策部署，紧紧围绕乡党委政府中心工作，进一步深化决策、执行、管理、服务、结果公开，全面保障人民群众知情权、参与权、表达权、监督权，助力政府治理体系和治理能力现代化。</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pPr>
      <w:r>
        <w:rPr>
          <w:rFonts w:hint="eastAsia" w:ascii="仿宋_GB2312" w:hAnsi="仿宋_GB2312" w:eastAsia="仿宋_GB2312" w:cs="仿宋_GB2312"/>
          <w:color w:val="000000"/>
          <w:sz w:val="32"/>
          <w:szCs w:val="32"/>
        </w:rPr>
        <w:t>于家务回族乡人民政府始终坚持贯彻落实《政府信息公开条例》和国办《2022年政务公开工作要点》（国办发〔2022〕8号），扎实抓好主动公开、依申请公开、政府信息管理、公开平台建设、教育培训、监督保障等工作。</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主动公开方面。坚持以公开为常态、不公开为例外，主动公开涉及公众利益调整、需要公众广泛知晓或者需要公众参与决策的政府信息，确保法定主动公开内容全部公开到位。2022年，依法主动公开信息168条。</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依申请公开方面。按照“依法依规便民”原则，及时保障公民、法人和其他组织依法获取政府信息。2022年，新收政府信息公开申请12件，均为自然人提出申请；予以公开7件、部分公开1件、重复申请不予处理1件、不掌握相关信息无法提供2件、其他处理1件。</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政府信息管理方面。强化各科室主动公开信息意识，加强政府信息的梳理，按照规定时限予以公开。</w:t>
      </w:r>
      <w:r>
        <w:rPr>
          <w:rFonts w:hint="eastAsia" w:ascii="仿宋_GB2312" w:hAnsi="仿宋_GB2312" w:eastAsia="仿宋_GB2312" w:cs="仿宋_GB2312"/>
          <w:b/>
          <w:bCs/>
          <w:color w:val="000000"/>
          <w:sz w:val="32"/>
          <w:szCs w:val="32"/>
        </w:rPr>
        <w:t>四是</w:t>
      </w:r>
      <w:r>
        <w:rPr>
          <w:rFonts w:hint="eastAsia" w:ascii="仿宋_GB2312" w:hAnsi="仿宋_GB2312" w:eastAsia="仿宋_GB2312" w:cs="仿宋_GB2312"/>
          <w:color w:val="000000"/>
          <w:sz w:val="32"/>
          <w:szCs w:val="32"/>
        </w:rPr>
        <w:t>信息公开平台建设方面。按照市区要求，定期开展网站自查，及时整改完善。</w:t>
      </w:r>
      <w:r>
        <w:rPr>
          <w:rFonts w:hint="eastAsia" w:ascii="仿宋_GB2312" w:hAnsi="仿宋_GB2312" w:eastAsia="仿宋_GB2312" w:cs="仿宋_GB2312"/>
          <w:b/>
          <w:bCs/>
          <w:color w:val="000000"/>
          <w:sz w:val="32"/>
          <w:szCs w:val="32"/>
        </w:rPr>
        <w:t>五是</w:t>
      </w:r>
      <w:r>
        <w:rPr>
          <w:rFonts w:hint="eastAsia" w:ascii="仿宋_GB2312" w:hAnsi="仿宋_GB2312" w:eastAsia="仿宋_GB2312" w:cs="仿宋_GB2312"/>
          <w:color w:val="000000"/>
          <w:sz w:val="32"/>
          <w:szCs w:val="32"/>
        </w:rPr>
        <w:t>监督保障方面。主动公开严格落实“录入-审核-发布”三级审核制度，依申请公开充分发挥司法所规范、监督职能作用，依法依规处理。</w:t>
      </w:r>
    </w:p>
    <w:p>
      <w:pPr>
        <w:keepNext w:val="0"/>
        <w:keepLines w:val="0"/>
        <w:pageBreakBefore w:val="0"/>
        <w:widowControl w:val="0"/>
        <w:numPr>
          <w:ilvl w:val="0"/>
          <w:numId w:val="1"/>
        </w:numPr>
        <w:kinsoku/>
        <w:wordWrap/>
        <w:overflowPunct/>
        <w:topLinePunct w:val="0"/>
        <w:autoSpaceDE/>
        <w:autoSpaceDN/>
        <w:bidi w:val="0"/>
        <w:adjustRightInd/>
        <w:snapToGrid/>
        <w:spacing w:before="292" w:beforeLines="50" w:after="292" w:afterLines="50" w:line="560" w:lineRule="exact"/>
        <w:ind w:firstLine="632" w:firstLineChars="200"/>
        <w:textAlignment w:val="auto"/>
        <w:outlineLvl w:val="9"/>
        <w:rPr>
          <w:rFonts w:ascii="黑体" w:hAnsi="黑体" w:eastAsia="黑体" w:cs="黑体"/>
          <w:sz w:val="32"/>
          <w:szCs w:val="32"/>
        </w:rPr>
      </w:pPr>
      <w:r>
        <w:rPr>
          <w:rFonts w:hint="eastAsia" w:ascii="黑体" w:hAnsi="黑体" w:eastAsia="黑体" w:cs="黑体"/>
          <w:sz w:val="32"/>
          <w:szCs w:val="32"/>
        </w:rPr>
        <w:t>主动公开政府信息情况</w:t>
      </w:r>
    </w:p>
    <w:tbl>
      <w:tblPr>
        <w:tblStyle w:val="12"/>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Layout w:type="fixed"/>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ind w:firstLine="784" w:firstLineChars="400"/>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Layout w:type="fixed"/>
          <w:tblCellMar>
            <w:top w:w="0" w:type="dxa"/>
            <w:left w:w="0" w:type="dxa"/>
            <w:bottom w:w="0" w:type="dxa"/>
            <w:right w:w="0" w:type="dxa"/>
          </w:tblCellMar>
        </w:tblPrEx>
        <w:trPr>
          <w:trHeight w:val="294"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474"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690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Layout w:type="fixed"/>
          <w:tblCellMar>
            <w:top w:w="0" w:type="dxa"/>
            <w:left w:w="0" w:type="dxa"/>
            <w:bottom w:w="0" w:type="dxa"/>
            <w:right w:w="0" w:type="dxa"/>
          </w:tblCellMar>
        </w:tblPrEx>
        <w:trPr>
          <w:trHeight w:val="519"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rPr>
            </w:pPr>
            <w:r>
              <w:rPr>
                <w:rFonts w:hint="eastAsia" w:ascii="宋体"/>
                <w:sz w:val="24"/>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before="292" w:beforeLines="50" w:after="292" w:afterLines="50" w:line="560" w:lineRule="exact"/>
        <w:ind w:firstLine="632" w:firstLineChars="200"/>
        <w:textAlignment w:val="auto"/>
        <w:outlineLvl w:val="9"/>
        <w:rPr>
          <w:rFonts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12"/>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imes New Roman" w:hAnsi="Times New Roman" w:eastAsia="宋体"/>
                <w:b/>
                <w:bCs/>
                <w:szCs w:val="21"/>
                <w:lang w:eastAsia="zh-CN"/>
              </w:rPr>
            </w:pPr>
            <w:r>
              <w:rPr>
                <w:rFonts w:ascii="Times New Roman" w:hAnsi="Times New Roman"/>
                <w:b/>
                <w:bCs/>
                <w:kern w:val="0"/>
                <w:szCs w:val="21"/>
                <w:lang w:bidi="ar"/>
              </w:rPr>
              <w:t>1</w:t>
            </w:r>
            <w:r>
              <w:rPr>
                <w:rFonts w:hint="eastAsia" w:ascii="Times New Roman" w:hAnsi="Times New Roman"/>
                <w:b/>
                <w:bCs/>
                <w:kern w:val="0"/>
                <w:szCs w:val="21"/>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ascii="Times New Roman" w:hAnsi="Times New Roman" w:eastAsia="宋体"/>
                <w:b/>
                <w:bCs/>
                <w:szCs w:val="21"/>
                <w:lang w:eastAsia="zh-CN"/>
              </w:rPr>
            </w:pPr>
            <w:r>
              <w:rPr>
                <w:rFonts w:ascii="Times New Roman" w:hAnsi="Times New Roman"/>
                <w:b/>
                <w:bCs/>
                <w:kern w:val="0"/>
                <w:szCs w:val="21"/>
                <w:lang w:bidi="ar"/>
              </w:rPr>
              <w:t>1</w:t>
            </w:r>
            <w:r>
              <w:rPr>
                <w:rFonts w:hint="eastAsia" w:ascii="Times New Roman" w:hAnsi="Times New Roman"/>
                <w:b/>
                <w:bCs/>
                <w:kern w:val="0"/>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imes New Roman" w:hAnsi="Times New Roman" w:eastAsia="宋体"/>
                <w:b/>
                <w:bCs/>
                <w:szCs w:val="21"/>
                <w:lang w:val="en-US" w:eastAsia="zh-CN"/>
              </w:rPr>
            </w:pPr>
            <w:r>
              <w:rPr>
                <w:rFonts w:hint="eastAsia" w:ascii="Times New Roman" w:hAnsi="Times New Roman"/>
                <w:b/>
                <w:bCs/>
                <w:szCs w:val="21"/>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ascii="Times New Roman" w:hAnsi="Times New Roman" w:eastAsia="宋体"/>
                <w:b/>
                <w:bCs/>
                <w:szCs w:val="21"/>
                <w:lang w:eastAsia="zh-CN"/>
              </w:rPr>
            </w:pPr>
            <w:r>
              <w:rPr>
                <w:rFonts w:hint="eastAsia" w:ascii="Times New Roman" w:hAnsi="Times New Roman"/>
                <w:b/>
                <w:bCs/>
                <w:kern w:val="0"/>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b/>
                <w:bCs/>
                <w:szCs w:val="21"/>
              </w:rPr>
            </w:pPr>
            <w:r>
              <w:rPr>
                <w:rFonts w:ascii="Times New Roman" w:hAnsi="Times New Roman"/>
                <w:b/>
                <w:bCs/>
                <w:kern w:val="0"/>
                <w:szCs w:val="21"/>
                <w:lang w:bidi="ar"/>
              </w:rPr>
              <w:t>7</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ascii="Times New Roman" w:hAnsi="Times New Roman"/>
                <w:b/>
                <w:bCs/>
                <w:szCs w:val="21"/>
              </w:rPr>
            </w:pPr>
            <w:r>
              <w:rPr>
                <w:rFonts w:ascii="Times New Roman" w:hAnsi="Times New Roman"/>
                <w:b/>
                <w:bCs/>
                <w:kern w:val="0"/>
                <w:szCs w:val="21"/>
                <w:lang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b/>
                <w:bCs/>
                <w:szCs w:val="21"/>
              </w:rPr>
            </w:pPr>
            <w:r>
              <w:rPr>
                <w:rFonts w:ascii="Times New Roman" w:hAnsi="Times New Roman"/>
                <w:b/>
                <w:bCs/>
                <w:kern w:val="0"/>
                <w:szCs w:val="21"/>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b/>
                <w:bCs/>
                <w:szCs w:val="21"/>
              </w:rPr>
            </w:pPr>
            <w:r>
              <w:rPr>
                <w:rFonts w:ascii="Times New Roman" w:hAnsi="Times New Roman"/>
                <w:b/>
                <w:bCs/>
                <w:kern w:val="0"/>
                <w:szCs w:val="21"/>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ascii="Times New Roman" w:hAnsi="Times New Roman"/>
                <w:b/>
                <w:bCs/>
                <w:kern w:val="0"/>
                <w:szCs w:val="21"/>
                <w:lang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ascii="Times New Roman" w:hAnsi="Times New Roman"/>
                <w:b/>
                <w:bCs/>
                <w:kern w:val="0"/>
                <w:szCs w:val="21"/>
                <w:lang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ascii="Times New Roman" w:hAnsi="Times New Roman"/>
                <w:b/>
                <w:bCs/>
                <w:kern w:val="0"/>
                <w:szCs w:val="21"/>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ascii="Times New Roman" w:hAnsi="Times New Roman"/>
                <w:b/>
                <w:bCs/>
                <w:kern w:val="0"/>
                <w:szCs w:val="21"/>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szCs w:val="21"/>
              </w:rPr>
            </w:pPr>
            <w:r>
              <w:rPr>
                <w:rFonts w:hint="eastAsia" w:ascii="Times New Roman" w:hAnsi="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hint="eastAsia" w:ascii="Times New Roman" w:hAnsi="Times New Roman"/>
                <w:kern w:val="0"/>
                <w:szCs w:val="21"/>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hint="eastAsia" w:ascii="Times New Roman" w:hAnsi="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hint="eastAsia" w:ascii="Times New Roman" w:hAnsi="Times New Roman"/>
                <w:szCs w:val="21"/>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hint="eastAsia" w:ascii="Times New Roman" w:hAnsi="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hint="eastAsia" w:ascii="Times New Roman" w:hAnsi="Times New Roman"/>
                <w:szCs w:val="21"/>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hint="eastAsia" w:ascii="Times New Roman" w:hAnsi="Times New Roman"/>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b/>
                <w:bCs/>
                <w:szCs w:val="21"/>
              </w:rPr>
            </w:pPr>
            <w:r>
              <w:rPr>
                <w:rFonts w:ascii="Times New Roman" w:hAnsi="Times New Roman"/>
                <w:b/>
                <w:bCs/>
                <w:kern w:val="0"/>
                <w:szCs w:val="21"/>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ascii="Times New Roman" w:hAnsi="Times New Roman"/>
                <w:b/>
                <w:bCs/>
                <w:szCs w:val="21"/>
              </w:rPr>
            </w:pPr>
            <w:r>
              <w:rPr>
                <w:rFonts w:ascii="Times New Roman" w:hAnsi="Times New Roman"/>
                <w:b/>
                <w:bCs/>
                <w:kern w:val="0"/>
                <w:szCs w:val="21"/>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宋体"/>
                <w:b/>
                <w:bCs/>
                <w:szCs w:val="21"/>
                <w:lang w:val="en-US" w:eastAsia="zh-CN"/>
              </w:rPr>
            </w:pPr>
            <w:r>
              <w:rPr>
                <w:rFonts w:hint="eastAsia" w:ascii="Times New Roman" w:hAnsi="Times New Roman"/>
                <w:b/>
                <w:bCs/>
                <w:kern w:val="0"/>
                <w:szCs w:val="21"/>
                <w:lang w:val="en-US" w:eastAsia="zh-CN" w:bidi="ar"/>
              </w:rPr>
              <w:t>12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宋体"/>
                <w:b/>
                <w:bCs/>
                <w:szCs w:val="21"/>
                <w:lang w:val="en-US" w:eastAsia="zh-CN"/>
              </w:rPr>
            </w:pPr>
            <w:r>
              <w:rPr>
                <w:rFonts w:hint="eastAsia" w:ascii="Times New Roman" w:hAnsi="Times New Roman"/>
                <w:b/>
                <w:bCs/>
                <w:kern w:val="0"/>
                <w:szCs w:val="21"/>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ascii="Times New Roman" w:hAnsi="Times New Roman"/>
                <w:szCs w:val="21"/>
              </w:rPr>
            </w:pPr>
            <w:r>
              <w:rPr>
                <w:rFonts w:ascii="Times New Roman" w:hAnsi="Times New Roman"/>
                <w:szCs w:val="21"/>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Times New Roman" w:hAnsi="Times New Roman"/>
                <w:szCs w:val="21"/>
              </w:rPr>
            </w:pPr>
            <w:r>
              <w:rPr>
                <w:rFonts w:ascii="Times New Roman" w:hAnsi="Times New Roman"/>
                <w:kern w:val="0"/>
                <w:szCs w:val="21"/>
                <w:lang w:bidi="ar"/>
              </w:rPr>
              <w:t>0</w:t>
            </w:r>
          </w:p>
        </w:tc>
        <w:tc>
          <w:tcPr>
            <w:tcW w:w="689" w:type="dxa"/>
            <w:tcBorders>
              <w:top w:val="outset" w:color="auto" w:sz="6" w:space="0"/>
              <w:left w:val="nil"/>
              <w:bottom w:val="outset" w:color="auto" w:sz="6" w:space="0"/>
              <w:right w:val="outset" w:color="auto" w:sz="6" w:space="0"/>
            </w:tcBorders>
            <w:vAlign w:val="center"/>
          </w:tcPr>
          <w:p>
            <w:pPr>
              <w:jc w:val="center"/>
              <w:rPr>
                <w:rFonts w:ascii="Times New Roman" w:hAnsi="Times New Roman"/>
                <w:szCs w:val="21"/>
              </w:rPr>
            </w:pPr>
            <w:r>
              <w:rPr>
                <w:rFonts w:ascii="Times New Roman" w:hAnsi="Times New Roman"/>
                <w:szCs w:val="21"/>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黑体" w:hAnsi="黑体" w:eastAsia="黑体" w:cs="黑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ind w:firstLine="632" w:firstLineChars="200"/>
        <w:textAlignment w:val="auto"/>
        <w:outlineLvl w:val="9"/>
      </w:pPr>
      <w:r>
        <w:rPr>
          <w:rFonts w:hint="eastAsia" w:ascii="黑体" w:hAnsi="黑体" w:eastAsia="黑体" w:cs="黑体"/>
          <w:sz w:val="32"/>
          <w:szCs w:val="32"/>
        </w:rPr>
        <w:t>四、政府信息公开行政复议、行政诉讼情况</w:t>
      </w:r>
    </w:p>
    <w:tbl>
      <w:tblPr>
        <w:tblStyle w:val="12"/>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b/>
                <w:bCs/>
              </w:rPr>
            </w:pPr>
            <w:r>
              <w:rPr>
                <w:rFonts w:hint="eastAsia" w:ascii="Times New Roman" w:hAnsi="Times New Roman" w:eastAsia="黑体"/>
                <w:b/>
                <w:bCs/>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b/>
                <w:bCs/>
              </w:rPr>
            </w:pPr>
            <w:r>
              <w:rPr>
                <w:rFonts w:ascii="Times New Roman" w:hAnsi="Times New Roman"/>
                <w:b/>
                <w:bCs/>
              </w:rPr>
              <w:t>4</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b/>
                <w:bCs/>
              </w:rPr>
            </w:pPr>
            <w:r>
              <w:rPr>
                <w:rFonts w:hint="eastAsia" w:ascii="Times New Roman" w:hAnsi="Times New Roman"/>
                <w:b/>
                <w:bCs/>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b/>
                <w:bCs/>
              </w:rPr>
            </w:pPr>
            <w:r>
              <w:rPr>
                <w:rFonts w:ascii="Times New Roman" w:hAnsi="Times New Roman"/>
                <w:b/>
                <w:bCs/>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b/>
                <w:bCs/>
              </w:rPr>
            </w:pPr>
            <w:r>
              <w:rPr>
                <w:rFonts w:ascii="Times New Roman" w:hAnsi="Times New Roman"/>
                <w:b/>
                <w:bCs/>
              </w:rPr>
              <w:t>5</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b/>
                <w:bCs/>
              </w:rPr>
            </w:pPr>
            <w:r>
              <w:rPr>
                <w:rFonts w:ascii="Times New Roman" w:hAnsi="Times New Roman"/>
                <w:b/>
                <w:bCs/>
              </w:rPr>
              <w:t>6</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b/>
                <w:bCs/>
              </w:rPr>
            </w:pPr>
            <w:r>
              <w:rPr>
                <w:rFonts w:ascii="Times New Roman" w:hAnsi="Times New Roman"/>
                <w:b/>
                <w:bCs/>
              </w:rPr>
              <w:t>1</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b/>
                <w:bCs/>
              </w:rPr>
            </w:pPr>
            <w:r>
              <w:rPr>
                <w:rFonts w:hint="eastAsia" w:ascii="Times New Roman" w:hAnsi="Times New Roman"/>
                <w:b/>
                <w:bCs/>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b/>
                <w:bCs/>
              </w:rPr>
            </w:pPr>
            <w:r>
              <w:rPr>
                <w:rFonts w:ascii="Times New Roman" w:hAnsi="Times New Roman" w:eastAsia="黑体"/>
                <w:b/>
                <w:bCs/>
                <w:kern w:val="0"/>
                <w:sz w:val="20"/>
                <w:szCs w:val="20"/>
                <w:lang w:bidi="ar"/>
              </w:rPr>
              <w:t>1</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b/>
                <w:bCs/>
              </w:rPr>
            </w:pPr>
            <w:r>
              <w:rPr>
                <w:rFonts w:ascii="Times New Roman" w:hAnsi="Times New Roman" w:eastAsia="黑体"/>
                <w:b/>
                <w:bCs/>
                <w:kern w:val="0"/>
                <w:sz w:val="20"/>
                <w:szCs w:val="20"/>
                <w:lang w:bidi="ar"/>
              </w:rPr>
              <w:t>8</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b/>
                <w:bCs/>
              </w:rPr>
            </w:pPr>
            <w:r>
              <w:rPr>
                <w:rFonts w:hint="eastAsia" w:ascii="Times New Roman" w:hAnsi="Times New Roman" w:eastAsia="黑体"/>
                <w:b/>
                <w:bCs/>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b/>
                <w:bCs/>
              </w:rPr>
            </w:pPr>
            <w:r>
              <w:rPr>
                <w:rFonts w:hint="eastAsia" w:ascii="Times New Roman" w:hAnsi="Times New Roman" w:eastAsia="黑体"/>
                <w:b/>
                <w:bCs/>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b/>
                <w:bCs/>
              </w:rPr>
            </w:pPr>
            <w:r>
              <w:rPr>
                <w:rFonts w:hint="eastAsia" w:ascii="Times New Roman" w:hAnsi="Times New Roman" w:eastAsia="黑体"/>
                <w:b/>
                <w:bCs/>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b/>
                <w:bCs/>
              </w:rPr>
            </w:pPr>
            <w:r>
              <w:rPr>
                <w:rFonts w:hint="eastAsia" w:ascii="Times New Roman" w:hAnsi="Times New Roman" w:eastAsia="黑体"/>
                <w:b/>
                <w:bCs/>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Times New Roman" w:hAnsi="Times New Roman"/>
                <w:b/>
                <w:bCs/>
                <w:sz w:val="24"/>
              </w:rPr>
            </w:pPr>
            <w:r>
              <w:rPr>
                <w:rFonts w:hint="eastAsia" w:ascii="Times New Roman" w:hAnsi="Times New Roman"/>
                <w:b/>
                <w:bCs/>
                <w:sz w:val="24"/>
              </w:rPr>
              <w:t>0</w:t>
            </w:r>
          </w:p>
        </w:tc>
      </w:tr>
    </w:tbl>
    <w:p>
      <w:pPr>
        <w:keepNext w:val="0"/>
        <w:keepLines w:val="0"/>
        <w:pageBreakBefore w:val="0"/>
        <w:widowControl/>
        <w:kinsoku/>
        <w:wordWrap/>
        <w:overflowPunct/>
        <w:topLinePunct w:val="0"/>
        <w:autoSpaceDE/>
        <w:autoSpaceDN/>
        <w:bidi w:val="0"/>
        <w:adjustRightInd/>
        <w:snapToGrid/>
        <w:spacing w:before="292" w:beforeLines="50" w:after="292" w:afterLines="50" w:line="560" w:lineRule="exact"/>
        <w:ind w:firstLine="664" w:firstLineChars="200"/>
        <w:jc w:val="left"/>
        <w:textAlignment w:val="auto"/>
        <w:outlineLvl w:val="9"/>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2"/>
        <w:spacing w:line="560" w:lineRule="exact"/>
        <w:ind w:firstLine="632" w:firstLineChars="20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（1）存在问题</w:t>
      </w:r>
    </w:p>
    <w:p>
      <w:pPr>
        <w:pStyle w:val="2"/>
        <w:spacing w:line="560" w:lineRule="exact"/>
        <w:ind w:firstLine="632"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一是政务公开工作人员流动性大，工作连续性不足，专业化水平较低。二是存在受理日期填报不规范、答复不规范等问题，易引起行政复议和诉讼。</w:t>
      </w:r>
    </w:p>
    <w:p>
      <w:pPr>
        <w:pStyle w:val="2"/>
        <w:spacing w:line="560" w:lineRule="exact"/>
        <w:ind w:firstLine="632" w:firstLineChars="20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（2）改进情况</w:t>
      </w:r>
    </w:p>
    <w:p>
      <w:pPr>
        <w:pStyle w:val="2"/>
        <w:spacing w:line="560" w:lineRule="exact"/>
        <w:ind w:firstLine="632"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是强化工作人员配备。持续完善政务公开工作机制，强化人员力量配备和政务公开业务交流，进一步提高政务公开工作人员的业务水平。二是强化政务公开条例及相关规定的学习研究，吃准弄通学透政务公开规范，切实做到登记、审核、办理、答复、归档认真规范。</w:t>
      </w:r>
    </w:p>
    <w:p>
      <w:pPr>
        <w:pStyle w:val="2"/>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ind w:firstLine="664" w:firstLineChars="200"/>
        <w:textAlignment w:val="auto"/>
        <w:outlineLvl w:val="9"/>
        <w:rPr>
          <w:rFonts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708"/>
        <w:jc w:val="both"/>
        <w:textAlignment w:val="auto"/>
        <w:outlineLvl w:val="9"/>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根据《政府信息公开信息处理费管理办法》(国办函〔2020〕109号)，2022年度</w:t>
      </w:r>
      <w:r>
        <w:rPr>
          <w:rFonts w:hint="eastAsia" w:ascii="仿宋_GB2312" w:hAnsi="仿宋_GB2312" w:eastAsia="仿宋_GB2312" w:cs="仿宋_GB2312"/>
          <w:spacing w:val="8"/>
          <w:kern w:val="0"/>
          <w:sz w:val="32"/>
          <w:szCs w:val="32"/>
          <w:lang w:eastAsia="zh-CN"/>
        </w:rPr>
        <w:t>于家务回族乡人民政府</w:t>
      </w:r>
      <w:r>
        <w:rPr>
          <w:rFonts w:hint="eastAsia" w:ascii="仿宋_GB2312" w:hAnsi="仿宋_GB2312" w:eastAsia="仿宋_GB2312" w:cs="仿宋_GB2312"/>
          <w:spacing w:val="8"/>
          <w:kern w:val="0"/>
          <w:sz w:val="32"/>
          <w:szCs w:val="32"/>
        </w:rPr>
        <w:t>收取信息处理费情况为：发出收费通知的件数为</w:t>
      </w:r>
      <w:r>
        <w:rPr>
          <w:rFonts w:hint="eastAsia" w:ascii="仿宋_GB2312" w:hAnsi="仿宋_GB2312" w:eastAsia="仿宋_GB2312" w:cs="仿宋_GB2312"/>
          <w:spacing w:val="8"/>
          <w:kern w:val="0"/>
          <w:sz w:val="32"/>
          <w:szCs w:val="32"/>
          <w:lang w:val="en-US" w:eastAsia="zh-CN"/>
        </w:rPr>
        <w:t>0</w:t>
      </w:r>
      <w:r>
        <w:rPr>
          <w:rFonts w:hint="eastAsia" w:ascii="仿宋_GB2312" w:hAnsi="仿宋_GB2312" w:eastAsia="仿宋_GB2312" w:cs="仿宋_GB2312"/>
          <w:spacing w:val="8"/>
          <w:kern w:val="0"/>
          <w:sz w:val="32"/>
          <w:szCs w:val="32"/>
        </w:rPr>
        <w:t>件，总金额为</w:t>
      </w:r>
      <w:r>
        <w:rPr>
          <w:rFonts w:hint="eastAsia" w:ascii="仿宋_GB2312" w:hAnsi="仿宋_GB2312" w:eastAsia="仿宋_GB2312" w:cs="仿宋_GB2312"/>
          <w:spacing w:val="8"/>
          <w:kern w:val="0"/>
          <w:sz w:val="32"/>
          <w:szCs w:val="32"/>
          <w:lang w:val="en-US" w:eastAsia="zh-CN"/>
        </w:rPr>
        <w:t>0</w:t>
      </w:r>
      <w:r>
        <w:rPr>
          <w:rFonts w:hint="eastAsia" w:ascii="仿宋_GB2312" w:hAnsi="仿宋_GB2312" w:eastAsia="仿宋_GB2312" w:cs="仿宋_GB2312"/>
          <w:spacing w:val="8"/>
          <w:kern w:val="0"/>
          <w:sz w:val="32"/>
          <w:szCs w:val="32"/>
        </w:rPr>
        <w:t>元，实际收取的总金额为</w:t>
      </w:r>
      <w:r>
        <w:rPr>
          <w:rFonts w:hint="eastAsia" w:ascii="仿宋_GB2312" w:hAnsi="仿宋_GB2312" w:eastAsia="仿宋_GB2312" w:cs="仿宋_GB2312"/>
          <w:spacing w:val="8"/>
          <w:kern w:val="0"/>
          <w:sz w:val="32"/>
          <w:szCs w:val="32"/>
          <w:lang w:val="en-US" w:eastAsia="zh-CN"/>
        </w:rPr>
        <w:t>0</w:t>
      </w:r>
      <w:r>
        <w:rPr>
          <w:rFonts w:hint="eastAsia" w:ascii="仿宋_GB2312" w:hAnsi="仿宋_GB2312" w:eastAsia="仿宋_GB2312" w:cs="仿宋_GB2312"/>
          <w:spacing w:val="8"/>
          <w:kern w:val="0"/>
          <w:sz w:val="32"/>
          <w:szCs w:val="32"/>
        </w:rPr>
        <w:t>元。</w:t>
      </w:r>
    </w:p>
    <w:p>
      <w:pPr>
        <w:keepNext w:val="0"/>
        <w:keepLines w:val="0"/>
        <w:pageBreakBefore w:val="0"/>
        <w:widowControl/>
        <w:kinsoku/>
        <w:wordWrap/>
        <w:overflowPunct/>
        <w:topLinePunct w:val="0"/>
        <w:autoSpaceDE/>
        <w:autoSpaceDN/>
        <w:bidi w:val="0"/>
        <w:adjustRightInd/>
        <w:snapToGrid/>
        <w:spacing w:line="560" w:lineRule="exact"/>
        <w:ind w:firstLine="70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8"/>
          <w:kern w:val="0"/>
          <w:sz w:val="32"/>
          <w:szCs w:val="32"/>
        </w:rPr>
        <w:t>北京市通州区人民政府网站网址为http://www.bjtzh.gov.cn/，如需了解更多政府信息，请登录查询。</w:t>
      </w:r>
    </w:p>
    <w:sectPr>
      <w:footerReference r:id="rId3" w:type="default"/>
      <w:pgSz w:w="11906" w:h="16838"/>
      <w:pgMar w:top="2098" w:right="1474" w:bottom="1984" w:left="1587" w:header="851" w:footer="1701" w:gutter="0"/>
      <w:pgNumType w:fmt="numberInDash"/>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asciiTheme="majorEastAsia" w:hAnsiTheme="majorEastAsia" w:eastAsiaTheme="majorEastAsia" w:cstheme="majorEastAsia"/>
                              <w:sz w:val="28"/>
                              <w:szCs w:val="44"/>
                            </w:rPr>
                            <w:t>- 4 -</w:t>
                          </w:r>
                          <w:r>
                            <w:rPr>
                              <w:rFonts w:hint="eastAsia" w:asciiTheme="majorEastAsia" w:hAnsiTheme="majorEastAsia" w:eastAsiaTheme="majorEastAsia" w:cstheme="major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asciiTheme="majorEastAsia" w:hAnsiTheme="majorEastAsia" w:eastAsiaTheme="majorEastAsia" w:cstheme="majorEastAsia"/>
                        <w:sz w:val="28"/>
                        <w:szCs w:val="44"/>
                      </w:rPr>
                      <w:t>- 4 -</w:t>
                    </w:r>
                    <w:r>
                      <w:rPr>
                        <w:rFonts w:hint="eastAsia" w:asciiTheme="majorEastAsia" w:hAnsiTheme="majorEastAsia" w:eastAsiaTheme="majorEastAsia" w:cstheme="majorEastAsia"/>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D2011"/>
    <w:rsid w:val="00246EEE"/>
    <w:rsid w:val="002D6EBE"/>
    <w:rsid w:val="00C5523D"/>
    <w:rsid w:val="00F3248D"/>
    <w:rsid w:val="01A55DCD"/>
    <w:rsid w:val="01DF08D4"/>
    <w:rsid w:val="03843920"/>
    <w:rsid w:val="03FA6499"/>
    <w:rsid w:val="040316B2"/>
    <w:rsid w:val="04C72082"/>
    <w:rsid w:val="050A1A16"/>
    <w:rsid w:val="059305B3"/>
    <w:rsid w:val="05B06124"/>
    <w:rsid w:val="08575A9B"/>
    <w:rsid w:val="09590A25"/>
    <w:rsid w:val="09F51B49"/>
    <w:rsid w:val="0A1572FE"/>
    <w:rsid w:val="0AFA24CE"/>
    <w:rsid w:val="0B9B71C4"/>
    <w:rsid w:val="0C774D2C"/>
    <w:rsid w:val="0C8E256C"/>
    <w:rsid w:val="0E00698E"/>
    <w:rsid w:val="0E576ACE"/>
    <w:rsid w:val="0F302F0A"/>
    <w:rsid w:val="103F6E22"/>
    <w:rsid w:val="113F0ACE"/>
    <w:rsid w:val="11B30308"/>
    <w:rsid w:val="11E27B18"/>
    <w:rsid w:val="132064FC"/>
    <w:rsid w:val="13794FB8"/>
    <w:rsid w:val="13A03817"/>
    <w:rsid w:val="144C0802"/>
    <w:rsid w:val="15473B05"/>
    <w:rsid w:val="16140028"/>
    <w:rsid w:val="196A5F23"/>
    <w:rsid w:val="1A777FAB"/>
    <w:rsid w:val="1D8D1FEF"/>
    <w:rsid w:val="1E572B79"/>
    <w:rsid w:val="1F5F5BEB"/>
    <w:rsid w:val="22806B3C"/>
    <w:rsid w:val="22D4691B"/>
    <w:rsid w:val="23F055F6"/>
    <w:rsid w:val="25877E43"/>
    <w:rsid w:val="26DE3264"/>
    <w:rsid w:val="288A15BB"/>
    <w:rsid w:val="293F6E56"/>
    <w:rsid w:val="29977E04"/>
    <w:rsid w:val="2B0D79AB"/>
    <w:rsid w:val="2C7366EE"/>
    <w:rsid w:val="2E5D5195"/>
    <w:rsid w:val="30220551"/>
    <w:rsid w:val="30ED3DAF"/>
    <w:rsid w:val="31991D1D"/>
    <w:rsid w:val="32075E61"/>
    <w:rsid w:val="322517E4"/>
    <w:rsid w:val="33142C93"/>
    <w:rsid w:val="33186B7C"/>
    <w:rsid w:val="3324542A"/>
    <w:rsid w:val="347F6B34"/>
    <w:rsid w:val="34AC35B4"/>
    <w:rsid w:val="354D6BB8"/>
    <w:rsid w:val="356F4C07"/>
    <w:rsid w:val="375D2011"/>
    <w:rsid w:val="3805248D"/>
    <w:rsid w:val="38D2519F"/>
    <w:rsid w:val="392C09EA"/>
    <w:rsid w:val="39B85684"/>
    <w:rsid w:val="3AAD63BC"/>
    <w:rsid w:val="3F03340F"/>
    <w:rsid w:val="3F433CA0"/>
    <w:rsid w:val="3FD44C09"/>
    <w:rsid w:val="451D3D48"/>
    <w:rsid w:val="45431F2D"/>
    <w:rsid w:val="485536B8"/>
    <w:rsid w:val="48813A65"/>
    <w:rsid w:val="491F70D7"/>
    <w:rsid w:val="4A055B54"/>
    <w:rsid w:val="4A55295C"/>
    <w:rsid w:val="4BCC47EB"/>
    <w:rsid w:val="4C004EBB"/>
    <w:rsid w:val="4C236C6A"/>
    <w:rsid w:val="4CF66F60"/>
    <w:rsid w:val="4EEF1ECC"/>
    <w:rsid w:val="4FB47713"/>
    <w:rsid w:val="50203854"/>
    <w:rsid w:val="50393055"/>
    <w:rsid w:val="511039C3"/>
    <w:rsid w:val="515C2D0C"/>
    <w:rsid w:val="52BF1C72"/>
    <w:rsid w:val="52D2672F"/>
    <w:rsid w:val="5522362E"/>
    <w:rsid w:val="554530AD"/>
    <w:rsid w:val="55517BCB"/>
    <w:rsid w:val="567638D7"/>
    <w:rsid w:val="56871E1F"/>
    <w:rsid w:val="581078F9"/>
    <w:rsid w:val="581255FC"/>
    <w:rsid w:val="58414D74"/>
    <w:rsid w:val="58BB0E68"/>
    <w:rsid w:val="5A427304"/>
    <w:rsid w:val="5BB803AC"/>
    <w:rsid w:val="5BE117C8"/>
    <w:rsid w:val="5C0E3586"/>
    <w:rsid w:val="5C5D46A6"/>
    <w:rsid w:val="5CB324C8"/>
    <w:rsid w:val="5D0569A0"/>
    <w:rsid w:val="5D4313B2"/>
    <w:rsid w:val="5DCB4204"/>
    <w:rsid w:val="61006AC6"/>
    <w:rsid w:val="61E4416F"/>
    <w:rsid w:val="628C0B9D"/>
    <w:rsid w:val="630A744F"/>
    <w:rsid w:val="636D3B5A"/>
    <w:rsid w:val="63BC2C92"/>
    <w:rsid w:val="6471656F"/>
    <w:rsid w:val="64ED1B6B"/>
    <w:rsid w:val="654B4D68"/>
    <w:rsid w:val="6714730C"/>
    <w:rsid w:val="67CF0771"/>
    <w:rsid w:val="6A01616A"/>
    <w:rsid w:val="6A18323D"/>
    <w:rsid w:val="6A6E2492"/>
    <w:rsid w:val="6B066C98"/>
    <w:rsid w:val="6CEC29E2"/>
    <w:rsid w:val="6D324D93"/>
    <w:rsid w:val="6D701DFF"/>
    <w:rsid w:val="6D7B6428"/>
    <w:rsid w:val="6E782C8A"/>
    <w:rsid w:val="6E917ED1"/>
    <w:rsid w:val="6F9D63F4"/>
    <w:rsid w:val="708D03CC"/>
    <w:rsid w:val="7166258D"/>
    <w:rsid w:val="716F2FF7"/>
    <w:rsid w:val="71E45944"/>
    <w:rsid w:val="72602769"/>
    <w:rsid w:val="72BD2098"/>
    <w:rsid w:val="735D25D8"/>
    <w:rsid w:val="73844D2B"/>
    <w:rsid w:val="73C97B25"/>
    <w:rsid w:val="74AB06FA"/>
    <w:rsid w:val="751433E9"/>
    <w:rsid w:val="75B41B10"/>
    <w:rsid w:val="79F337EB"/>
    <w:rsid w:val="7A8D74BF"/>
    <w:rsid w:val="7ADF5EC0"/>
    <w:rsid w:val="7B5A0D32"/>
    <w:rsid w:val="7B5F2D7A"/>
    <w:rsid w:val="7C437487"/>
    <w:rsid w:val="7D675EBB"/>
    <w:rsid w:val="7E2C6DA8"/>
    <w:rsid w:val="7F143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subject"/>
    <w:basedOn w:val="4"/>
    <w:next w:val="4"/>
    <w:link w:val="14"/>
    <w:qFormat/>
    <w:uiPriority w:val="0"/>
    <w:rPr>
      <w:b/>
      <w:bCs/>
    </w:rPr>
  </w:style>
  <w:style w:type="paragraph" w:styleId="4">
    <w:name w:val="annotation text"/>
    <w:basedOn w:val="1"/>
    <w:link w:val="13"/>
    <w:qFormat/>
    <w:uiPriority w:val="0"/>
    <w:pPr>
      <w:jc w:val="left"/>
    </w:pPr>
  </w:style>
  <w:style w:type="paragraph" w:styleId="5">
    <w:name w:val="Block Text"/>
    <w:basedOn w:val="1"/>
    <w:qFormat/>
    <w:uiPriority w:val="0"/>
    <w:pPr>
      <w:spacing w:after="120"/>
      <w:ind w:left="1440" w:leftChars="700" w:right="700" w:rightChars="700"/>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character" w:styleId="11">
    <w:name w:val="annotation reference"/>
    <w:basedOn w:val="10"/>
    <w:qFormat/>
    <w:uiPriority w:val="0"/>
    <w:rPr>
      <w:sz w:val="21"/>
      <w:szCs w:val="21"/>
    </w:rPr>
  </w:style>
  <w:style w:type="character" w:customStyle="1" w:styleId="13">
    <w:name w:val="批注文字 Char"/>
    <w:basedOn w:val="10"/>
    <w:link w:val="4"/>
    <w:qFormat/>
    <w:uiPriority w:val="0"/>
    <w:rPr>
      <w:rFonts w:ascii="Calibri" w:hAnsi="Calibri"/>
      <w:kern w:val="2"/>
      <w:sz w:val="21"/>
      <w:szCs w:val="24"/>
    </w:rPr>
  </w:style>
  <w:style w:type="character" w:customStyle="1" w:styleId="14">
    <w:name w:val="批注主题 Char"/>
    <w:basedOn w:val="13"/>
    <w:link w:val="3"/>
    <w:qFormat/>
    <w:uiPriority w:val="0"/>
    <w:rPr>
      <w:rFonts w:ascii="Calibri" w:hAnsi="Calibri"/>
      <w:b/>
      <w:bCs/>
      <w:kern w:val="2"/>
      <w:sz w:val="21"/>
      <w:szCs w:val="24"/>
    </w:rPr>
  </w:style>
  <w:style w:type="character" w:customStyle="1" w:styleId="15">
    <w:name w:val="批注框文本 Char"/>
    <w:basedOn w:val="10"/>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337</Words>
  <Characters>1921</Characters>
  <Lines>16</Lines>
  <Paragraphs>4</Paragraphs>
  <TotalTime>41</TotalTime>
  <ScaleCrop>false</ScaleCrop>
  <LinksUpToDate>false</LinksUpToDate>
  <CharactersWithSpaces>2254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2023-01-05T12:33:00Z</dcterms:created>
  <dc:creator>清净1425888011</dc:creator>
  <cp:lastModifiedBy>清净1425888011</cp:lastModifiedBy>
  <dcterms:modified xsi:type="dcterms:W3CDTF">2023-01-09T07:13:19Z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