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北京市通州区张家湾镇人民政府2022年</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widowControl/>
        <w:spacing w:line="560" w:lineRule="exact"/>
        <w:jc w:val="left"/>
        <w:rPr>
          <w:rFonts w:ascii="仿宋_GB2312" w:hAnsi="仿宋_GB2312" w:eastAsia="仿宋_GB2312" w:cs="仿宋_GB2312"/>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仿宋_GB2312" w:eastAsia="仿宋_GB2312" w:cs="仿宋_GB2312"/>
          <w:spacing w:val="8"/>
          <w:kern w:val="0"/>
          <w:sz w:val="32"/>
          <w:szCs w:val="32"/>
        </w:rPr>
        <w:t>依据《中华人民共和国政府信息公开条例》(以下简称《政府信息公开条例》)第五十条规定，编制本报告。</w:t>
      </w:r>
    </w:p>
    <w:p>
      <w:pPr>
        <w:widowControl/>
        <w:numPr>
          <w:ilvl w:val="0"/>
          <w:numId w:val="1"/>
        </w:numPr>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总体情况</w:t>
      </w:r>
    </w:p>
    <w:p>
      <w:pPr>
        <w:pStyle w:val="2"/>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2022年，我镇结合《通州区2022年政务公开工作要点》，认真贯彻落实区政府文件要求，从组织领导、机制构建、渠道拓展、方法创新等方面扎实推进主动公开和依申请公开等相关工作，充分保证依法公开政务活动及其信息，扩大公众参与。现向社会公布张家湾镇2022年度政府信息公开工作年度报告。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p>
    <w:p>
      <w:pPr>
        <w:pStyle w:val="2"/>
        <w:spacing w:line="56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sz w:val="32"/>
          <w:szCs w:val="32"/>
        </w:rPr>
        <w:t>（一）强化组织领导，健全信息公开工作机制</w:t>
      </w:r>
    </w:p>
    <w:p>
      <w:pPr>
        <w:pStyle w:val="2"/>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进一步做好政府信息公开工作，镇政府不断建立健全信息公开工作机制。完善主动公开逐级审核制度，通过“公开前审查+公开后监督”的闭环管理机制，充分保证政府信息的准确性。优化依申请公开的审批流程，由业务科室、业务分管领导、信息公开主管领导逐级审阅，对重点领域、敏感信息的依申请公开内容层层把关，严格审查。强化细节管理，针对依申请公开咨询电话常见问题，制定《答复指引》，便于公民、法人高效、便捷获取信息公开相关问题的答复。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（二）</w:t>
      </w:r>
      <w:r>
        <w:rPr>
          <w:rFonts w:hint="eastAsia" w:ascii="楷体" w:hAnsi="楷体" w:eastAsia="楷体" w:cs="楷体"/>
          <w:sz w:val="32"/>
          <w:szCs w:val="32"/>
        </w:rPr>
        <w:t>拓宽政务信息公开渠道，提升服务水平</w:t>
      </w:r>
    </w:p>
    <w:p>
      <w:pPr>
        <w:pStyle w:val="2"/>
        <w:spacing w:line="560" w:lineRule="exact"/>
        <w:ind w:firstLine="640" w:firstLineChars="20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运用</w:t>
      </w:r>
      <w:r>
        <w:rPr>
          <w:rFonts w:ascii="仿宋_GB2312" w:hAnsi="宋体" w:eastAsia="仿宋_GB2312" w:cs="仿宋_GB2312"/>
          <w:color w:val="000000"/>
          <w:sz w:val="32"/>
          <w:szCs w:val="32"/>
          <w:shd w:val="clear" w:color="auto" w:fill="FFFFFF"/>
        </w:rPr>
        <w:t>“</w:t>
      </w:r>
      <w:r>
        <w:rPr>
          <w:rFonts w:hint="eastAsia" w:ascii="仿宋_GB2312" w:hAnsi="宋体" w:eastAsia="仿宋_GB2312" w:cs="仿宋_GB2312"/>
          <w:color w:val="000000"/>
          <w:sz w:val="32"/>
          <w:szCs w:val="32"/>
          <w:shd w:val="clear" w:color="auto" w:fill="FFFFFF"/>
        </w:rPr>
        <w:t>漕运古镇张家湾</w:t>
      </w:r>
      <w:r>
        <w:rPr>
          <w:rFonts w:ascii="仿宋_GB2312" w:hAnsi="宋体" w:eastAsia="仿宋_GB2312" w:cs="仿宋_GB2312"/>
          <w:color w:val="000000"/>
          <w:sz w:val="32"/>
          <w:szCs w:val="32"/>
          <w:shd w:val="clear" w:color="auto" w:fill="FFFFFF"/>
        </w:rPr>
        <w:t>”微信公众号，围绕中心工作发布政务信息，加强部门工作和政策法规宣传力度，</w:t>
      </w:r>
      <w:r>
        <w:rPr>
          <w:rFonts w:hint="eastAsia" w:ascii="仿宋_GB2312" w:hAnsi="宋体" w:eastAsia="仿宋_GB2312" w:cs="仿宋_GB2312"/>
          <w:color w:val="000000"/>
          <w:sz w:val="32"/>
          <w:szCs w:val="32"/>
          <w:shd w:val="clear" w:color="auto" w:fill="FFFFFF"/>
        </w:rPr>
        <w:t>充分保障群众的知情权。2022年，我镇开发上线“湾事通”小程序，设置“政务服务”模块，就群众所关心的社保、医疗卫生、住房保障等信息予以公示，方便群众了解各类政务公开事项。开展以“民有所需、我有所应”为主题的“政府开放日”活动，现场解答群众关注的热点问题，加强政民信息沟通。</w:t>
      </w:r>
    </w:p>
    <w:p>
      <w:pPr>
        <w:pStyle w:val="2"/>
        <w:spacing w:line="560" w:lineRule="exact"/>
        <w:ind w:firstLine="672" w:firstLineChars="200"/>
        <w:jc w:val="left"/>
        <w:rPr>
          <w:rFonts w:ascii="楷体" w:hAnsi="楷体" w:eastAsia="楷体" w:cs="楷体"/>
          <w:sz w:val="32"/>
          <w:szCs w:val="32"/>
        </w:rPr>
      </w:pPr>
      <w:r>
        <w:rPr>
          <w:rFonts w:hint="eastAsia" w:ascii="楷体" w:hAnsi="楷体" w:eastAsia="楷体" w:cs="楷体"/>
          <w:color w:val="222222"/>
          <w:spacing w:val="8"/>
          <w:sz w:val="32"/>
          <w:szCs w:val="32"/>
          <w:shd w:val="clear" w:color="auto" w:fill="FFFFFF"/>
        </w:rPr>
        <w:t>（三）创新工作方法，多元共治破解信息公开难题</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2022年，我镇成立一核多元共治中心，通过多部门、多主体联动方式解决基层治理难题。依托“联席会商工作机制”，信息公开办将依申请公开问题上报到共治中心，对该问题进行研判会商，由村委会、律师、相关业务科室等共同参与申请人“面对面”沟通，逐一明确申请事项涉及的政策及答复依据，避免了“信息不对称”导致的答复不满意。通过“多元参与”的方式，有效化解了4件依申请公开难题，从源头上避免依申请公开引发的诉讼或行政复议，大大提升了群众对依申请公开工作的满意度。</w:t>
      </w:r>
    </w:p>
    <w:p>
      <w:pPr>
        <w:spacing w:line="560" w:lineRule="exact"/>
        <w:ind w:left="840"/>
        <w:rPr>
          <w:rFonts w:ascii="黑体" w:hAnsi="黑体" w:eastAsia="黑体" w:cs="黑体"/>
        </w:rPr>
      </w:pPr>
      <w:r>
        <w:rPr>
          <w:rFonts w:hint="eastAsia" w:ascii="黑体" w:hAnsi="黑体" w:eastAsia="黑体" w:cs="黑体"/>
          <w:sz w:val="32"/>
          <w:szCs w:val="32"/>
        </w:rPr>
        <w:t>二、主动公开政府信息情况</w:t>
      </w:r>
    </w:p>
    <w:p>
      <w:pPr>
        <w:pStyle w:val="2"/>
        <w:spacing w:line="560" w:lineRule="exact"/>
      </w:pP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1</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1625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spacing w:line="560" w:lineRule="exact"/>
              <w:jc w:val="center"/>
              <w:rPr>
                <w:rFonts w:ascii="宋体"/>
                <w:sz w:val="24"/>
              </w:rPr>
            </w:pPr>
            <w:r>
              <w:rPr>
                <w:rFonts w:hint="eastAsia" w:ascii="宋体"/>
                <w:sz w:val="24"/>
              </w:rPr>
              <w:t>0</w:t>
            </w:r>
          </w:p>
        </w:tc>
      </w:tr>
    </w:tbl>
    <w:p>
      <w:pPr>
        <w:pStyle w:val="2"/>
        <w:spacing w:line="560" w:lineRule="exact"/>
      </w:pPr>
    </w:p>
    <w:p>
      <w:pPr>
        <w:spacing w:line="560" w:lineRule="exact"/>
        <w:ind w:left="840"/>
        <w:rPr>
          <w:rFonts w:ascii="黑体" w:hAnsi="黑体" w:eastAsia="黑体" w:cs="黑体"/>
          <w:sz w:val="32"/>
          <w:szCs w:val="32"/>
        </w:rPr>
      </w:pPr>
      <w:r>
        <w:rPr>
          <w:rFonts w:hint="eastAsia" w:ascii="黑体" w:hAnsi="黑体" w:eastAsia="黑体" w:cs="黑体"/>
          <w:sz w:val="32"/>
          <w:szCs w:val="32"/>
        </w:rPr>
        <w:t>三、收到和处理政府信息公开申请情况</w:t>
      </w:r>
    </w:p>
    <w:p>
      <w:pPr>
        <w:pStyle w:val="5"/>
        <w:shd w:val="clear" w:color="auto" w:fill="FFFFFF"/>
        <w:spacing w:before="0" w:beforeAutospacing="0" w:after="0" w:afterAutospacing="0" w:line="560" w:lineRule="exact"/>
        <w:ind w:firstLine="420"/>
        <w:jc w:val="both"/>
        <w:rPr>
          <w:rFonts w:hint="default"/>
          <w:color w:val="333333"/>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6"/>
        <w:gridCol w:w="943"/>
        <w:gridCol w:w="3217"/>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spacing w:line="560" w:lineRule="exact"/>
              <w:jc w:val="left"/>
            </w:pPr>
            <w:r>
              <w:rPr>
                <w:rFonts w:ascii="楷体" w:hAnsi="楷体" w:eastAsia="楷体" w:cs="楷体"/>
                <w:kern w:val="0"/>
                <w:sz w:val="20"/>
                <w:szCs w:val="20"/>
                <w:lang w:bidi="ar"/>
              </w:rPr>
              <w:t>（本列数据的勾稽关系为：第一项加第二项之和，等于第三项加第四项之和）</w:t>
            </w:r>
          </w:p>
        </w:tc>
        <w:tc>
          <w:tcPr>
            <w:tcW w:w="4822"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spacing w:line="560" w:lineRule="exact"/>
              <w:rPr>
                <w:rFonts w:ascii="宋体"/>
                <w:sz w:val="24"/>
              </w:rPr>
            </w:pPr>
          </w:p>
        </w:tc>
        <w:tc>
          <w:tcPr>
            <w:tcW w:w="691"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spacing w:line="560" w:lineRule="exact"/>
              <w:rPr>
                <w:rFonts w:ascii="宋体"/>
                <w:sz w:val="24"/>
              </w:rPr>
            </w:pPr>
          </w:p>
        </w:tc>
        <w:tc>
          <w:tcPr>
            <w:tcW w:w="691"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spacing w:line="560" w:lineRule="exact"/>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商业</w:t>
            </w:r>
          </w:p>
          <w:p>
            <w:pPr>
              <w:widowControl/>
              <w:spacing w:line="560" w:lineRule="exact"/>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科研</w:t>
            </w:r>
          </w:p>
          <w:p>
            <w:pPr>
              <w:widowControl/>
              <w:spacing w:line="560" w:lineRule="exact"/>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其他</w:t>
            </w:r>
          </w:p>
        </w:tc>
        <w:tc>
          <w:tcPr>
            <w:tcW w:w="691"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spacing w:line="560" w:lineRule="exact"/>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kern w:val="0"/>
                <w:sz w:val="20"/>
                <w:szCs w:val="20"/>
                <w:lang w:bidi="ar"/>
              </w:rPr>
              <w:t>一、本年新收政府信息公开申请数量</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30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12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kern w:val="0"/>
                <w:sz w:val="20"/>
                <w:szCs w:val="20"/>
                <w:lang w:bidi="ar"/>
              </w:rPr>
              <w:t>二、上年结转政府信息公开申请数量</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kern w:val="0"/>
                <w:sz w:val="20"/>
                <w:szCs w:val="20"/>
                <w:lang w:bidi="ar"/>
              </w:rPr>
              <w:t>三、本年度办理结果</w:t>
            </w:r>
          </w:p>
        </w:tc>
        <w:tc>
          <w:tcPr>
            <w:tcW w:w="4160"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（一）予以公开</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14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single" w:color="auto" w:sz="8" w:space="0"/>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4160"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5</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pStyle w:val="2"/>
              <w:spacing w:line="560" w:lineRule="exact"/>
              <w:jc w:val="center"/>
            </w:pPr>
            <w:r>
              <w:rPr>
                <w:rFonts w:hint="eastAsia"/>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（三）不予公开</w:t>
            </w: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1.属于国家秘密</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single" w:color="auto" w:sz="8" w:space="0"/>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2.其他法律行政法规禁止公开</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3.危及“三安全一稳定”</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4.保护第三方合法权益</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5.属于三类内部事务信息</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6.属于四类过程性信息</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7.属于行政执法案卷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8.属于行政查询事项</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（四）无法提供</w:t>
            </w: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1.本机关不掌握相关政府信息</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10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2.没有现成信息需要另行制作</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3.补正后申请内容仍不明确</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（五）不予处理</w:t>
            </w: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1.信访举报投诉类申请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2.重复申请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3.要求提供公开出版物</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4.无正当理由大量反复申请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pPr>
            <w:r>
              <w:rPr>
                <w:rFonts w:hint="eastAsia" w:ascii="宋体" w:hAnsi="宋体" w:cs="宋体"/>
                <w:kern w:val="0"/>
                <w:sz w:val="20"/>
                <w:szCs w:val="20"/>
                <w:lang w:bidi="ar"/>
              </w:rPr>
              <w:t>5.要求行政机关确认或重新出具已获取信息</w:t>
            </w:r>
          </w:p>
        </w:tc>
        <w:tc>
          <w:tcPr>
            <w:tcW w:w="691" w:type="dxa"/>
            <w:tcBorders>
              <w:top w:val="nil"/>
              <w:left w:val="nil"/>
              <w:bottom w:val="outset"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outset"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1"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（六）其他处理</w:t>
            </w:r>
          </w:p>
        </w:tc>
        <w:tc>
          <w:tcPr>
            <w:tcW w:w="3217"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pPr>
            <w:r>
              <w:rPr>
                <w:rFonts w:hint="eastAsia" w:ascii="宋体" w:hAnsi="宋体" w:cs="宋体"/>
                <w:kern w:val="0"/>
                <w:sz w:val="20"/>
                <w:szCs w:val="20"/>
                <w:lang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pPr>
            <w:r>
              <w:rPr>
                <w:rFonts w:hint="eastAsia" w:ascii="宋体" w:hAnsi="宋体" w:cs="宋体"/>
                <w:kern w:val="0"/>
                <w:sz w:val="20"/>
                <w:szCs w:val="20"/>
                <w:lang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7"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3.其他</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7" w:hRule="atLeast"/>
          <w:jc w:val="center"/>
        </w:trPr>
        <w:tc>
          <w:tcPr>
            <w:tcW w:w="766"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4160"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（七）总计</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lang w:val="en-US" w:eastAsia="zh-CN"/>
              </w:rPr>
              <w:t>3</w:t>
            </w: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hint="default" w:eastAsia="宋体"/>
                <w:lang w:val="en-US" w:eastAsia="zh-CN"/>
              </w:rPr>
            </w:pPr>
            <w:r>
              <w:rPr>
                <w:rFonts w:hint="eastAsia"/>
                <w:lang w:val="en-US" w:eastAsia="zh-CN"/>
              </w:rPr>
              <w:t>10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cs="Calibri"/>
                <w:kern w:val="0"/>
                <w:sz w:val="20"/>
                <w:szCs w:val="20"/>
                <w:lang w:bidi="ar"/>
              </w:rPr>
              <w:t>0</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kern w:val="0"/>
                <w:sz w:val="20"/>
                <w:szCs w:val="20"/>
                <w:lang w:bidi="ar"/>
              </w:rPr>
              <w:t>四、结转下年度继续办理</w:t>
            </w:r>
          </w:p>
        </w:tc>
        <w:tc>
          <w:tcPr>
            <w:tcW w:w="0" w:type="auto"/>
            <w:tcBorders>
              <w:top w:val="outset" w:color="auto" w:sz="6" w:space="0"/>
              <w:left w:val="nil"/>
              <w:bottom w:val="outset" w:color="auto" w:sz="6" w:space="0"/>
              <w:right w:val="outset" w:color="auto" w:sz="6" w:space="0"/>
            </w:tcBorders>
            <w:vAlign w:val="center"/>
          </w:tcPr>
          <w:p>
            <w:pPr>
              <w:spacing w:line="560" w:lineRule="exact"/>
              <w:jc w:val="center"/>
              <w:rPr>
                <w:rFonts w:ascii="宋体"/>
                <w:sz w:val="24"/>
              </w:rPr>
            </w:pPr>
            <w:r>
              <w:rPr>
                <w:rFonts w:hint="eastAsia" w:ascii="宋体"/>
                <w:sz w:val="24"/>
              </w:rPr>
              <w:t>2</w:t>
            </w:r>
          </w:p>
        </w:tc>
        <w:tc>
          <w:tcPr>
            <w:tcW w:w="688" w:type="dxa"/>
            <w:tcBorders>
              <w:top w:val="outset" w:color="auto" w:sz="6" w:space="0"/>
              <w:left w:val="nil"/>
              <w:bottom w:val="outset" w:color="auto" w:sz="6" w:space="0"/>
              <w:right w:val="outset" w:color="auto" w:sz="6" w:space="0"/>
            </w:tcBorders>
            <w:vAlign w:val="center"/>
          </w:tcPr>
          <w:p>
            <w:pPr>
              <w:spacing w:line="560" w:lineRule="exact"/>
              <w:ind w:firstLine="240" w:firstLineChars="100"/>
              <w:jc w:val="both"/>
              <w:rPr>
                <w:rFonts w:ascii="宋体"/>
                <w:sz w:val="24"/>
              </w:rPr>
            </w:pPr>
            <w:r>
              <w:rPr>
                <w:rFonts w:hint="eastAsia" w:ascii="宋体"/>
                <w:sz w:val="24"/>
              </w:rPr>
              <w:t>2</w:t>
            </w:r>
          </w:p>
        </w:tc>
        <w:tc>
          <w:tcPr>
            <w:tcW w:w="688" w:type="dxa"/>
            <w:tcBorders>
              <w:top w:val="outset" w:color="auto" w:sz="6" w:space="0"/>
              <w:left w:val="nil"/>
              <w:bottom w:val="outset" w:color="auto" w:sz="6" w:space="0"/>
              <w:right w:val="outset" w:color="auto" w:sz="6" w:space="0"/>
            </w:tcBorders>
            <w:vAlign w:val="center"/>
          </w:tcPr>
          <w:p>
            <w:pPr>
              <w:spacing w:line="560" w:lineRule="exact"/>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spacing w:line="560" w:lineRule="exact"/>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spacing w:line="560" w:lineRule="exact"/>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spacing w:line="560" w:lineRule="exact"/>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spacing w:line="560" w:lineRule="exact"/>
              <w:jc w:val="center"/>
              <w:rPr>
                <w:rFonts w:ascii="宋体"/>
                <w:sz w:val="24"/>
              </w:rPr>
            </w:pPr>
            <w:r>
              <w:rPr>
                <w:rFonts w:hint="eastAsia" w:ascii="宋体"/>
                <w:sz w:val="24"/>
              </w:rPr>
              <w:t>4</w:t>
            </w:r>
          </w:p>
        </w:tc>
      </w:tr>
    </w:tbl>
    <w:p>
      <w:pPr>
        <w:pStyle w:val="2"/>
        <w:spacing w:line="560" w:lineRule="exact"/>
        <w:ind w:left="420" w:leftChars="200"/>
      </w:pPr>
    </w:p>
    <w:p>
      <w:pPr>
        <w:pStyle w:val="2"/>
        <w:spacing w:line="560" w:lineRule="exact"/>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spacing w:line="560" w:lineRule="exact"/>
        <w:jc w:val="center"/>
      </w:pPr>
    </w:p>
    <w:tbl>
      <w:tblPr>
        <w:tblStyle w:val="7"/>
        <w:tblW w:w="931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20"/>
        <w:gridCol w:w="620"/>
        <w:gridCol w:w="620"/>
        <w:gridCol w:w="620"/>
        <w:gridCol w:w="622"/>
        <w:gridCol w:w="620"/>
        <w:gridCol w:w="620"/>
        <w:gridCol w:w="621"/>
        <w:gridCol w:w="621"/>
        <w:gridCol w:w="623"/>
        <w:gridCol w:w="622"/>
        <w:gridCol w:w="622"/>
        <w:gridCol w:w="622"/>
        <w:gridCol w:w="622"/>
        <w:gridCol w:w="6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3102"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行政复议</w:t>
            </w:r>
          </w:p>
        </w:tc>
        <w:tc>
          <w:tcPr>
            <w:tcW w:w="6217"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62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结果维持</w:t>
            </w:r>
          </w:p>
        </w:tc>
        <w:tc>
          <w:tcPr>
            <w:tcW w:w="62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spacing w:line="560" w:lineRule="exact"/>
              <w:jc w:val="center"/>
            </w:pPr>
            <w:r>
              <w:rPr>
                <w:rFonts w:hint="eastAsia" w:ascii="宋体" w:hAnsi="宋体" w:cs="宋体"/>
                <w:kern w:val="0"/>
                <w:sz w:val="20"/>
                <w:szCs w:val="20"/>
                <w:lang w:bidi="ar"/>
              </w:rPr>
              <w:t>纠正</w:t>
            </w:r>
          </w:p>
        </w:tc>
        <w:tc>
          <w:tcPr>
            <w:tcW w:w="62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其他</w:t>
            </w:r>
          </w:p>
          <w:p>
            <w:pPr>
              <w:widowControl/>
              <w:spacing w:line="560" w:lineRule="exact"/>
              <w:jc w:val="center"/>
            </w:pPr>
            <w:r>
              <w:rPr>
                <w:rFonts w:hint="eastAsia" w:ascii="宋体" w:hAnsi="宋体" w:cs="宋体"/>
                <w:kern w:val="0"/>
                <w:sz w:val="20"/>
                <w:szCs w:val="20"/>
                <w:lang w:bidi="ar"/>
              </w:rPr>
              <w:t>结果</w:t>
            </w:r>
          </w:p>
        </w:tc>
        <w:tc>
          <w:tcPr>
            <w:tcW w:w="62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尚未</w:t>
            </w:r>
          </w:p>
          <w:p>
            <w:pPr>
              <w:widowControl/>
              <w:spacing w:line="560" w:lineRule="exact"/>
              <w:jc w:val="center"/>
            </w:pPr>
            <w:r>
              <w:rPr>
                <w:rFonts w:hint="eastAsia" w:ascii="宋体" w:hAnsi="宋体" w:cs="宋体"/>
                <w:kern w:val="0"/>
                <w:sz w:val="20"/>
                <w:szCs w:val="20"/>
                <w:lang w:bidi="ar"/>
              </w:rPr>
              <w:t>审结</w:t>
            </w:r>
          </w:p>
        </w:tc>
        <w:tc>
          <w:tcPr>
            <w:tcW w:w="62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总计</w:t>
            </w:r>
          </w:p>
        </w:tc>
        <w:tc>
          <w:tcPr>
            <w:tcW w:w="310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未经复议直接起诉</w:t>
            </w:r>
          </w:p>
        </w:tc>
        <w:tc>
          <w:tcPr>
            <w:tcW w:w="3112"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79" w:hRule="atLeast"/>
          <w:jc w:val="center"/>
        </w:trPr>
        <w:tc>
          <w:tcPr>
            <w:tcW w:w="6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2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2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spacing w:line="560" w:lineRule="exact"/>
              <w:jc w:val="center"/>
            </w:pPr>
            <w:r>
              <w:rPr>
                <w:rFonts w:hint="eastAsia" w:ascii="宋体" w:hAnsi="宋体" w:cs="宋体"/>
                <w:kern w:val="0"/>
                <w:sz w:val="20"/>
                <w:szCs w:val="20"/>
                <w:lang w:bidi="ar"/>
              </w:rPr>
              <w:t>维持</w:t>
            </w:r>
          </w:p>
        </w:tc>
        <w:tc>
          <w:tcPr>
            <w:tcW w:w="6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spacing w:line="560" w:lineRule="exact"/>
              <w:jc w:val="center"/>
            </w:pPr>
            <w:r>
              <w:rPr>
                <w:rFonts w:hint="eastAsia" w:ascii="宋体" w:hAnsi="宋体" w:cs="宋体"/>
                <w:kern w:val="0"/>
                <w:sz w:val="20"/>
                <w:szCs w:val="20"/>
                <w:lang w:bidi="ar"/>
              </w:rPr>
              <w:t>纠正</w:t>
            </w:r>
          </w:p>
        </w:tc>
        <w:tc>
          <w:tcPr>
            <w:tcW w:w="62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其他</w:t>
            </w:r>
          </w:p>
          <w:p>
            <w:pPr>
              <w:widowControl/>
              <w:spacing w:line="560" w:lineRule="exact"/>
              <w:jc w:val="center"/>
            </w:pPr>
            <w:r>
              <w:rPr>
                <w:rFonts w:hint="eastAsia" w:ascii="宋体" w:hAnsi="宋体" w:cs="宋体"/>
                <w:kern w:val="0"/>
                <w:sz w:val="20"/>
                <w:szCs w:val="20"/>
                <w:lang w:bidi="ar"/>
              </w:rPr>
              <w:t>结果</w:t>
            </w:r>
          </w:p>
        </w:tc>
        <w:tc>
          <w:tcPr>
            <w:tcW w:w="62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尚未</w:t>
            </w:r>
          </w:p>
          <w:p>
            <w:pPr>
              <w:widowControl/>
              <w:spacing w:line="560" w:lineRule="exact"/>
              <w:jc w:val="center"/>
            </w:pPr>
            <w:r>
              <w:rPr>
                <w:rFonts w:hint="eastAsia" w:ascii="宋体" w:hAnsi="宋体" w:cs="宋体"/>
                <w:kern w:val="0"/>
                <w:sz w:val="20"/>
                <w:szCs w:val="20"/>
                <w:lang w:bidi="ar"/>
              </w:rPr>
              <w:t>审结</w:t>
            </w:r>
          </w:p>
        </w:tc>
        <w:tc>
          <w:tcPr>
            <w:tcW w:w="62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color w:val="000000"/>
                <w:kern w:val="0"/>
                <w:sz w:val="20"/>
                <w:szCs w:val="20"/>
                <w:lang w:bidi="ar"/>
              </w:rPr>
              <w:t>总计</w:t>
            </w:r>
          </w:p>
        </w:tc>
        <w:tc>
          <w:tcPr>
            <w:tcW w:w="62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spacing w:line="560" w:lineRule="exact"/>
              <w:jc w:val="center"/>
            </w:pPr>
            <w:r>
              <w:rPr>
                <w:rFonts w:hint="eastAsia" w:ascii="宋体" w:hAnsi="宋体" w:cs="宋体"/>
                <w:kern w:val="0"/>
                <w:sz w:val="20"/>
                <w:szCs w:val="20"/>
                <w:lang w:bidi="ar"/>
              </w:rPr>
              <w:t>维持</w:t>
            </w:r>
          </w:p>
        </w:tc>
        <w:tc>
          <w:tcPr>
            <w:tcW w:w="62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结果</w:t>
            </w:r>
          </w:p>
          <w:p>
            <w:pPr>
              <w:widowControl/>
              <w:spacing w:line="560" w:lineRule="exact"/>
              <w:jc w:val="center"/>
            </w:pPr>
            <w:r>
              <w:rPr>
                <w:rFonts w:hint="eastAsia" w:ascii="宋体" w:hAnsi="宋体" w:cs="宋体"/>
                <w:kern w:val="0"/>
                <w:sz w:val="20"/>
                <w:szCs w:val="20"/>
                <w:lang w:bidi="ar"/>
              </w:rPr>
              <w:t>纠正</w:t>
            </w:r>
          </w:p>
        </w:tc>
        <w:tc>
          <w:tcPr>
            <w:tcW w:w="62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其他</w:t>
            </w:r>
          </w:p>
          <w:p>
            <w:pPr>
              <w:widowControl/>
              <w:spacing w:line="560" w:lineRule="exact"/>
              <w:jc w:val="center"/>
            </w:pPr>
            <w:r>
              <w:rPr>
                <w:rFonts w:hint="eastAsia" w:ascii="宋体" w:hAnsi="宋体" w:cs="宋体"/>
                <w:color w:val="000000"/>
                <w:kern w:val="0"/>
                <w:sz w:val="20"/>
                <w:szCs w:val="20"/>
                <w:lang w:bidi="ar"/>
              </w:rPr>
              <w:t>结果</w:t>
            </w:r>
          </w:p>
        </w:tc>
        <w:tc>
          <w:tcPr>
            <w:tcW w:w="62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kern w:val="0"/>
                <w:sz w:val="20"/>
                <w:szCs w:val="20"/>
                <w:lang w:bidi="ar"/>
              </w:rPr>
            </w:pPr>
            <w:r>
              <w:rPr>
                <w:rFonts w:hint="eastAsia" w:ascii="宋体" w:hAnsi="宋体" w:cs="宋体"/>
                <w:kern w:val="0"/>
                <w:sz w:val="20"/>
                <w:szCs w:val="20"/>
                <w:lang w:bidi="ar"/>
              </w:rPr>
              <w:t>尚未</w:t>
            </w:r>
          </w:p>
          <w:p>
            <w:pPr>
              <w:widowControl/>
              <w:spacing w:line="560" w:lineRule="exact"/>
              <w:jc w:val="center"/>
            </w:pPr>
            <w:r>
              <w:rPr>
                <w:rFonts w:hint="eastAsia" w:ascii="宋体" w:hAnsi="宋体" w:cs="宋体"/>
                <w:kern w:val="0"/>
                <w:sz w:val="20"/>
                <w:szCs w:val="20"/>
                <w:lang w:bidi="ar"/>
              </w:rPr>
              <w:t>审结</w:t>
            </w:r>
          </w:p>
        </w:tc>
        <w:tc>
          <w:tcPr>
            <w:tcW w:w="62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atLeast"/>
          <w:jc w:val="center"/>
        </w:trPr>
        <w:tc>
          <w:tcPr>
            <w:tcW w:w="6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2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黑体" w:hAnsi="宋体" w:eastAsia="黑体" w:cs="黑体"/>
                <w:kern w:val="0"/>
                <w:sz w:val="20"/>
                <w:szCs w:val="20"/>
                <w:lang w:bidi="ar"/>
              </w:rPr>
              <w:t>0</w:t>
            </w:r>
            <w:r>
              <w:rPr>
                <w:rFonts w:ascii="黑体" w:hAnsi="宋体" w:eastAsia="黑体" w:cs="黑体"/>
                <w:kern w:val="0"/>
                <w:sz w:val="20"/>
                <w:szCs w:val="20"/>
                <w:lang w:bidi="ar"/>
              </w:rPr>
              <w:t> </w:t>
            </w:r>
          </w:p>
        </w:tc>
        <w:tc>
          <w:tcPr>
            <w:tcW w:w="62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eastAsia="黑体"/>
              </w:rP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rPr>
              <w:t>1</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eastAsia="黑体"/>
              </w:rP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rPr>
              <w:t>1</w:t>
            </w:r>
          </w:p>
        </w:tc>
        <w:tc>
          <w:tcPr>
            <w:tcW w:w="62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ascii="黑体" w:hAnsi="宋体" w:eastAsia="黑体" w:cs="黑体"/>
                <w:kern w:val="0"/>
                <w:sz w:val="20"/>
                <w:szCs w:val="20"/>
                <w:lang w:bidi="ar"/>
              </w:rPr>
              <w:t> </w:t>
            </w:r>
            <w:r>
              <w:rPr>
                <w:rFonts w:hint="eastAsia" w:ascii="黑体" w:hAnsi="宋体" w:eastAsia="黑体" w:cs="黑体"/>
                <w:kern w:val="0"/>
                <w:sz w:val="20"/>
                <w:szCs w:val="20"/>
                <w:lang w:bidi="ar"/>
              </w:rPr>
              <w:t>0</w:t>
            </w:r>
          </w:p>
        </w:tc>
        <w:tc>
          <w:tcPr>
            <w:tcW w:w="624"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r>
              <w:rPr>
                <w:rFonts w:hint="eastAsia" w:ascii="宋体"/>
                <w:sz w:val="24"/>
              </w:rPr>
              <w:t>0</w:t>
            </w:r>
          </w:p>
        </w:tc>
      </w:tr>
    </w:tbl>
    <w:p>
      <w:pPr>
        <w:widowControl/>
        <w:spacing w:line="560" w:lineRule="exact"/>
        <w:jc w:val="left"/>
      </w:pP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五、存在的主要问题及改进情况</w:t>
      </w:r>
    </w:p>
    <w:p>
      <w:pPr>
        <w:pStyle w:val="2"/>
        <w:spacing w:line="560" w:lineRule="exact"/>
        <w:ind w:firstLine="210" w:firstLineChars="100"/>
        <w:jc w:val="left"/>
        <w:rPr>
          <w:rFonts w:ascii="仿宋_GB2312" w:hAnsi="仿宋_GB2312" w:eastAsia="楷体" w:cs="仿宋_GB2312"/>
          <w:sz w:val="32"/>
          <w:szCs w:val="32"/>
        </w:rPr>
      </w:pPr>
      <w:r>
        <w:t xml:space="preserve"> </w:t>
      </w:r>
      <w:r>
        <w:rPr>
          <w:rFonts w:hint="eastAsia" w:ascii="楷体" w:hAnsi="楷体" w:eastAsia="楷体" w:cs="楷体"/>
          <w:sz w:val="32"/>
          <w:szCs w:val="32"/>
        </w:rPr>
        <w:t>（一）存在的主要问题</w:t>
      </w:r>
    </w:p>
    <w:p>
      <w:pPr>
        <w:pStyle w:val="5"/>
        <w:shd w:val="clear" w:color="auto" w:fill="FFFFFF"/>
        <w:spacing w:before="0" w:beforeAutospacing="0" w:after="0" w:afterAutospacing="0" w:line="560" w:lineRule="exact"/>
        <w:ind w:firstLine="640"/>
        <w:jc w:val="both"/>
        <w:rPr>
          <w:rFonts w:hint="default" w:ascii="仿宋_GB2312" w:hAnsi="微软雅黑" w:eastAsia="仿宋_GB2312" w:cs="仿宋_GB2312"/>
          <w:sz w:val="32"/>
          <w:szCs w:val="32"/>
          <w:shd w:val="clear" w:color="auto" w:fill="FFFFFF"/>
          <w:lang w:bidi="ar"/>
        </w:rPr>
      </w:pPr>
      <w:r>
        <w:rPr>
          <w:rFonts w:ascii="仿宋_GB2312" w:hAnsi="仿宋_GB2312" w:eastAsia="仿宋_GB2312" w:cs="仿宋_GB2312"/>
          <w:sz w:val="32"/>
          <w:szCs w:val="32"/>
        </w:rPr>
        <w:t>2022年政府信息公开申请呈现出数量多、内容繁杂、历史遗留问题多等特点，依申请公开的数量和特点一定程度上反映出镇政府作出行政行为的过程中对于相关信息的公开内容不够全面、及时。一是</w:t>
      </w:r>
      <w:r>
        <w:rPr>
          <w:rFonts w:ascii="仿宋_GB2312" w:hAnsi="微软雅黑" w:eastAsia="仿宋_GB2312" w:cs="仿宋_GB2312"/>
          <w:sz w:val="32"/>
          <w:szCs w:val="32"/>
          <w:shd w:val="clear" w:color="auto" w:fill="FFFFFF"/>
          <w:lang w:bidi="ar"/>
        </w:rPr>
        <w:t>对重点领域政府信息公开深度有待进一步加强。二是政府信息公开工作队伍能力建设有待进一步提升。</w:t>
      </w:r>
    </w:p>
    <w:p>
      <w:pPr>
        <w:pStyle w:val="2"/>
        <w:spacing w:line="560" w:lineRule="exact"/>
        <w:ind w:firstLine="640" w:firstLineChars="200"/>
        <w:jc w:val="left"/>
        <w:rPr>
          <w:rFonts w:ascii="仿宋_GB2312" w:hAnsi="仿宋_GB2312" w:eastAsia="楷体" w:cs="仿宋_GB2312"/>
          <w:sz w:val="32"/>
          <w:szCs w:val="32"/>
        </w:rPr>
      </w:pPr>
      <w:r>
        <w:rPr>
          <w:rFonts w:hint="eastAsia" w:ascii="楷体" w:hAnsi="楷体" w:eastAsia="楷体" w:cs="楷体"/>
          <w:sz w:val="32"/>
          <w:szCs w:val="32"/>
        </w:rPr>
        <w:t>（二）改进措施</w:t>
      </w:r>
    </w:p>
    <w:p>
      <w:pPr>
        <w:pStyle w:val="5"/>
        <w:shd w:val="clear" w:color="auto" w:fill="FFFFFF"/>
        <w:spacing w:before="0" w:beforeAutospacing="0" w:after="0" w:afterAutospacing="0" w:line="560" w:lineRule="exact"/>
        <w:ind w:firstLine="640" w:firstLineChars="20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2023年我镇将继续推进政府信息公开工作有序开展，从以下几个方面进行改进：</w:t>
      </w:r>
    </w:p>
    <w:p>
      <w:pPr>
        <w:pStyle w:val="5"/>
        <w:shd w:val="clear" w:color="auto" w:fill="FFFFFF"/>
        <w:spacing w:before="0" w:beforeAutospacing="0" w:after="0" w:afterAutospacing="0" w:line="560" w:lineRule="exact"/>
        <w:ind w:firstLine="64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一是加大推进权责清单、就业创业、社会救助等重点领域信息公开力度，通过政府网站、公众号平台等进行发布，切实提升公开质量和实效，更好地服务经济社会发展和民生改善。</w:t>
      </w:r>
    </w:p>
    <w:p>
      <w:pPr>
        <w:pStyle w:val="5"/>
        <w:shd w:val="clear" w:color="auto" w:fill="FFFFFF"/>
        <w:spacing w:before="0" w:beforeAutospacing="0" w:after="0" w:afterAutospacing="0" w:line="560" w:lineRule="exact"/>
        <w:ind w:firstLine="64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二是增加政府信息公开工作人员数量，加强队伍建设。通过法律顾问的专业指导，提高政府信息公开队伍的专业化、法治化水平。</w:t>
      </w:r>
    </w:p>
    <w:p>
      <w:pPr>
        <w:pStyle w:val="5"/>
        <w:shd w:val="clear" w:color="auto" w:fill="FFFFFF"/>
        <w:spacing w:before="0" w:beforeAutospacing="0" w:after="0" w:afterAutospacing="0" w:line="560" w:lineRule="exact"/>
        <w:ind w:firstLine="640"/>
        <w:jc w:val="both"/>
        <w:rPr>
          <w:rFonts w:hint="default" w:ascii="仿宋_GB2312" w:hAnsi="仿宋_GB2312" w:eastAsia="仿宋_GB2312" w:cs="仿宋_GB2312"/>
          <w:sz w:val="32"/>
          <w:szCs w:val="32"/>
        </w:rPr>
      </w:pPr>
      <w:r>
        <w:rPr>
          <w:rFonts w:ascii="仿宋_GB2312" w:hAnsi="仿宋_GB2312" w:eastAsia="仿宋_GB2312" w:cs="仿宋_GB2312"/>
          <w:sz w:val="32"/>
          <w:szCs w:val="32"/>
        </w:rPr>
        <w:t>三是强化政府信息公开理念，加强信息公开人员业务培训。政府信息的检索工作以完备的档案管理为基础，通过档案管理培训、政府信息公开工作流程培训等，提高政府信息公开工作的能力和水平。</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根据《政府信息公开信息处理费管理办法》（国办函〔2020〕109号），2022年度本单位收取信息处理费情况为：发出收费通知的件数为0件，总金额为0元，实际收取的总金额为0元。</w:t>
      </w:r>
    </w:p>
    <w:p>
      <w:pPr>
        <w:widowControl/>
        <w:spacing w:line="560" w:lineRule="exact"/>
        <w:ind w:firstLine="67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0"/>
          <w:sz w:val="32"/>
          <w:szCs w:val="32"/>
          <w:lang w:val="en-US" w:eastAsia="zh-CN"/>
        </w:rPr>
        <w:t>北京市通州区人民政府网站网址为</w:t>
      </w:r>
      <w:r>
        <w:rPr>
          <w:rFonts w:hint="eastAsia" w:ascii="仿宋_GB2312" w:hAnsi="仿宋_GB2312" w:eastAsia="仿宋_GB2312" w:cs="仿宋_GB2312"/>
          <w:spacing w:val="-23"/>
          <w:sz w:val="32"/>
          <w:szCs w:val="32"/>
          <w:lang w:val="en-US" w:eastAsia="zh-CN"/>
        </w:rPr>
        <w:t>http://www.bjtzh.gov.cn/</w:t>
      </w:r>
      <w:r>
        <w:rPr>
          <w:rFonts w:hint="eastAsia" w:ascii="仿宋_GB2312" w:hAnsi="仿宋_GB2312" w:eastAsia="仿宋_GB2312" w:cs="仿宋_GB2312"/>
          <w:sz w:val="32"/>
          <w:szCs w:val="32"/>
          <w:lang w:val="en-US" w:eastAsia="zh-CN"/>
        </w:rPr>
        <w:t>，如需了解更多政府信息，请登录查询。</w:t>
      </w:r>
      <w:bookmarkStart w:id="0" w:name="_GoBack"/>
      <w:bookmarkEnd w:id="0"/>
    </w:p>
    <w:p>
      <w:pPr>
        <w:pStyle w:val="2"/>
        <w:spacing w:line="560" w:lineRule="exact"/>
        <w:ind w:firstLine="672"/>
      </w:pPr>
    </w:p>
    <w:p>
      <w:pPr>
        <w:pStyle w:val="2"/>
        <w:spacing w:line="560" w:lineRule="exact"/>
        <w:ind w:firstLine="672"/>
      </w:pPr>
    </w:p>
    <w:p>
      <w:pPr>
        <w:pStyle w:val="2"/>
        <w:spacing w:line="560" w:lineRule="exact"/>
        <w:ind w:firstLine="672"/>
      </w:pPr>
      <w:r>
        <w:rPr>
          <w:rFonts w:hint="eastAsia"/>
        </w:rPr>
        <w:t xml:space="preserve">                                      </w:t>
      </w:r>
    </w:p>
    <w:p>
      <w:pPr>
        <w:pStyle w:val="2"/>
        <w:spacing w:line="560" w:lineRule="exact"/>
        <w:ind w:firstLine="672"/>
      </w:pPr>
    </w:p>
    <w:p>
      <w:pPr>
        <w:pStyle w:val="2"/>
        <w:spacing w:line="560" w:lineRule="exact"/>
        <w:ind w:firstLine="672"/>
      </w:pPr>
    </w:p>
    <w:p>
      <w:pPr>
        <w:pStyle w:val="2"/>
        <w:spacing w:line="560" w:lineRule="exact"/>
        <w:ind w:firstLine="672"/>
      </w:pPr>
    </w:p>
    <w:p>
      <w:pPr>
        <w:pStyle w:val="2"/>
        <w:spacing w:line="560" w:lineRule="exact"/>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820B"/>
    <w:multiLevelType w:val="singleLevel"/>
    <w:tmpl w:val="D93E82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 w:name="KSO_WPS_MARK_KEY" w:val="9ee568d3-c9b1-4bd0-a7e6-0f66a8f17020"/>
  </w:docVars>
  <w:rsids>
    <w:rsidRoot w:val="3883458E"/>
    <w:rsid w:val="00263458"/>
    <w:rsid w:val="003F417C"/>
    <w:rsid w:val="006936AD"/>
    <w:rsid w:val="006B1C2E"/>
    <w:rsid w:val="00A52B08"/>
    <w:rsid w:val="00EE5370"/>
    <w:rsid w:val="00EE598B"/>
    <w:rsid w:val="027F6AB2"/>
    <w:rsid w:val="03457CFC"/>
    <w:rsid w:val="038F71C9"/>
    <w:rsid w:val="042C2C6A"/>
    <w:rsid w:val="0486237A"/>
    <w:rsid w:val="049D2206"/>
    <w:rsid w:val="054F6C10"/>
    <w:rsid w:val="06767977"/>
    <w:rsid w:val="068E19BA"/>
    <w:rsid w:val="06915006"/>
    <w:rsid w:val="06A82D0D"/>
    <w:rsid w:val="071C0D73"/>
    <w:rsid w:val="074B78AB"/>
    <w:rsid w:val="07B23486"/>
    <w:rsid w:val="07D94EB6"/>
    <w:rsid w:val="07FB307F"/>
    <w:rsid w:val="08C07E24"/>
    <w:rsid w:val="09502CA9"/>
    <w:rsid w:val="09E638BB"/>
    <w:rsid w:val="0B6C7DF0"/>
    <w:rsid w:val="0CC80BC8"/>
    <w:rsid w:val="0CF734F8"/>
    <w:rsid w:val="0D2941EA"/>
    <w:rsid w:val="0DCB704F"/>
    <w:rsid w:val="0E0D7668"/>
    <w:rsid w:val="0ED32660"/>
    <w:rsid w:val="10AC3EE9"/>
    <w:rsid w:val="1283439D"/>
    <w:rsid w:val="12D9220E"/>
    <w:rsid w:val="13D749A0"/>
    <w:rsid w:val="14854EEF"/>
    <w:rsid w:val="154047C7"/>
    <w:rsid w:val="15875F52"/>
    <w:rsid w:val="16157A01"/>
    <w:rsid w:val="17795D6E"/>
    <w:rsid w:val="190D676E"/>
    <w:rsid w:val="192D5062"/>
    <w:rsid w:val="1A8E38DF"/>
    <w:rsid w:val="1ACE017F"/>
    <w:rsid w:val="1ACE4623"/>
    <w:rsid w:val="1B344993"/>
    <w:rsid w:val="1B860A5A"/>
    <w:rsid w:val="1DFB572F"/>
    <w:rsid w:val="1EB71856"/>
    <w:rsid w:val="1F6966C8"/>
    <w:rsid w:val="21374CD0"/>
    <w:rsid w:val="229E2B2D"/>
    <w:rsid w:val="262010F0"/>
    <w:rsid w:val="27257164"/>
    <w:rsid w:val="27D17500"/>
    <w:rsid w:val="27F60D15"/>
    <w:rsid w:val="294F4B81"/>
    <w:rsid w:val="296A19BB"/>
    <w:rsid w:val="29D532D8"/>
    <w:rsid w:val="2B255B99"/>
    <w:rsid w:val="2CA3146B"/>
    <w:rsid w:val="2DA07759"/>
    <w:rsid w:val="2ED50566"/>
    <w:rsid w:val="322A618B"/>
    <w:rsid w:val="32737144"/>
    <w:rsid w:val="32957AA8"/>
    <w:rsid w:val="34A915E9"/>
    <w:rsid w:val="367774C5"/>
    <w:rsid w:val="3693384A"/>
    <w:rsid w:val="37E961A0"/>
    <w:rsid w:val="385C4BC4"/>
    <w:rsid w:val="387D67DD"/>
    <w:rsid w:val="3883458E"/>
    <w:rsid w:val="38BD5663"/>
    <w:rsid w:val="393D67A4"/>
    <w:rsid w:val="396C0E37"/>
    <w:rsid w:val="3B1D063B"/>
    <w:rsid w:val="3B842468"/>
    <w:rsid w:val="3CDC62D4"/>
    <w:rsid w:val="3D2D6B2F"/>
    <w:rsid w:val="3E5C400E"/>
    <w:rsid w:val="3FDB0AC5"/>
    <w:rsid w:val="406960D0"/>
    <w:rsid w:val="41636FC4"/>
    <w:rsid w:val="42644DA1"/>
    <w:rsid w:val="42C35F6C"/>
    <w:rsid w:val="43664B49"/>
    <w:rsid w:val="44004F9E"/>
    <w:rsid w:val="448C05DF"/>
    <w:rsid w:val="46B4509D"/>
    <w:rsid w:val="483B47F6"/>
    <w:rsid w:val="498B2DA7"/>
    <w:rsid w:val="49D811EA"/>
    <w:rsid w:val="4A9D71DB"/>
    <w:rsid w:val="4AFF5FAF"/>
    <w:rsid w:val="4C2A0E0A"/>
    <w:rsid w:val="4C2C2DD4"/>
    <w:rsid w:val="4CE97906"/>
    <w:rsid w:val="4E21448E"/>
    <w:rsid w:val="4E9D7156"/>
    <w:rsid w:val="4FB31784"/>
    <w:rsid w:val="4FCE41A2"/>
    <w:rsid w:val="502913D8"/>
    <w:rsid w:val="503C110B"/>
    <w:rsid w:val="510734C7"/>
    <w:rsid w:val="525A7F6F"/>
    <w:rsid w:val="530D4FE1"/>
    <w:rsid w:val="539248CB"/>
    <w:rsid w:val="548A2DB9"/>
    <w:rsid w:val="54C6369A"/>
    <w:rsid w:val="55621614"/>
    <w:rsid w:val="564E3947"/>
    <w:rsid w:val="575A7E01"/>
    <w:rsid w:val="576F0018"/>
    <w:rsid w:val="59C02DAD"/>
    <w:rsid w:val="59CF2FF0"/>
    <w:rsid w:val="5ACD5782"/>
    <w:rsid w:val="5BA34735"/>
    <w:rsid w:val="5C1178F0"/>
    <w:rsid w:val="5C78796F"/>
    <w:rsid w:val="5C8A31FF"/>
    <w:rsid w:val="5CD5585F"/>
    <w:rsid w:val="5D211DB5"/>
    <w:rsid w:val="5D746599"/>
    <w:rsid w:val="5DCD7847"/>
    <w:rsid w:val="5EC338CC"/>
    <w:rsid w:val="5FCC29E1"/>
    <w:rsid w:val="60F670B5"/>
    <w:rsid w:val="62B611F1"/>
    <w:rsid w:val="63A96660"/>
    <w:rsid w:val="63EE6769"/>
    <w:rsid w:val="646A1549"/>
    <w:rsid w:val="64722EF6"/>
    <w:rsid w:val="652939D2"/>
    <w:rsid w:val="66124991"/>
    <w:rsid w:val="670E33AA"/>
    <w:rsid w:val="67A07D7A"/>
    <w:rsid w:val="67EC45A0"/>
    <w:rsid w:val="68AA4611"/>
    <w:rsid w:val="6A674B7F"/>
    <w:rsid w:val="6B4D0219"/>
    <w:rsid w:val="6B945E48"/>
    <w:rsid w:val="6C8E0AE9"/>
    <w:rsid w:val="6E2A65EF"/>
    <w:rsid w:val="6F9E7295"/>
    <w:rsid w:val="718304F0"/>
    <w:rsid w:val="71E33685"/>
    <w:rsid w:val="743135BD"/>
    <w:rsid w:val="746C7962"/>
    <w:rsid w:val="74E92D60"/>
    <w:rsid w:val="75E83018"/>
    <w:rsid w:val="76CA0970"/>
    <w:rsid w:val="76E00193"/>
    <w:rsid w:val="771147F0"/>
    <w:rsid w:val="773504DF"/>
    <w:rsid w:val="79004B1D"/>
    <w:rsid w:val="7A7237F8"/>
    <w:rsid w:val="7AB14320"/>
    <w:rsid w:val="7C330D65"/>
    <w:rsid w:val="7C352D2F"/>
    <w:rsid w:val="7D807F9D"/>
    <w:rsid w:val="7FF9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10"/>
    <w:qFormat/>
    <w:uiPriority w:val="0"/>
    <w:pPr>
      <w:jc w:val="left"/>
    </w:pPr>
  </w:style>
  <w:style w:type="paragraph" w:styleId="4">
    <w:name w:val="Balloon Text"/>
    <w:basedOn w:val="1"/>
    <w:link w:val="12"/>
    <w:uiPriority w:val="0"/>
    <w:rPr>
      <w:sz w:val="18"/>
      <w:szCs w:val="18"/>
    </w:rPr>
  </w:style>
  <w:style w:type="paragraph" w:styleId="5">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6">
    <w:name w:val="annotation subject"/>
    <w:basedOn w:val="3"/>
    <w:next w:val="3"/>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3"/>
    <w:qFormat/>
    <w:uiPriority w:val="0"/>
    <w:rPr>
      <w:rFonts w:ascii="Calibri" w:hAnsi="Calibri" w:eastAsia="宋体" w:cs="Times New Roman"/>
      <w:kern w:val="2"/>
      <w:sz w:val="21"/>
      <w:szCs w:val="24"/>
    </w:rPr>
  </w:style>
  <w:style w:type="character" w:customStyle="1" w:styleId="11">
    <w:name w:val="批注主题 Char"/>
    <w:basedOn w:val="10"/>
    <w:link w:val="6"/>
    <w:qFormat/>
    <w:uiPriority w:val="0"/>
    <w:rPr>
      <w:rFonts w:ascii="Calibri" w:hAnsi="Calibri" w:eastAsia="宋体" w:cs="Times New Roman"/>
      <w:b/>
      <w:bCs/>
      <w:kern w:val="2"/>
      <w:sz w:val="21"/>
      <w:szCs w:val="24"/>
    </w:rPr>
  </w:style>
  <w:style w:type="character" w:customStyle="1" w:styleId="12">
    <w:name w:val="批注框文本 Char"/>
    <w:basedOn w:val="8"/>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442</Words>
  <Characters>2522</Characters>
  <Lines>21</Lines>
  <Paragraphs>5</Paragraphs>
  <TotalTime>10</TotalTime>
  <ScaleCrop>false</ScaleCrop>
  <LinksUpToDate>false</LinksUpToDate>
  <CharactersWithSpaces>2959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2022-01-06T01:51:00Z</dcterms:created>
  <dc:creator>Administrator</dc:creator>
  <cp:lastModifiedBy>peng</cp:lastModifiedBy>
  <dcterms:modified xsi:type="dcterms:W3CDTF">2023-01-09T09:45:38Z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C1F1854A5244468092C0BA705305E894</vt:lpwstr>
  </property>
</Properties>
</file>