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ascii="方正小标宋简体" w:hAnsi="方正小标宋简体" w:eastAsia="方正小标宋简体" w:cs="方正小标宋简体"/>
          <w:sz w:val="44"/>
          <w:szCs w:val="44"/>
        </w:rPr>
      </w:pP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北京市通州区通运街道办事处</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2021年政府信息公开</w:t>
      </w:r>
    </w:p>
    <w:p>
      <w:pPr>
        <w:spacing w:line="5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工作年度报告</w:t>
      </w:r>
    </w:p>
    <w:p>
      <w:pPr>
        <w:spacing w:line="560" w:lineRule="exact"/>
        <w:jc w:val="center"/>
        <w:rPr>
          <w:sz w:val="44"/>
          <w:szCs w:val="44"/>
        </w:rPr>
      </w:pPr>
    </w:p>
    <w:p>
      <w:pPr>
        <w:widowControl/>
        <w:spacing w:line="560" w:lineRule="exact"/>
        <w:jc w:val="left"/>
        <w:rPr>
          <w:rFonts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widowControl/>
        <w:spacing w:line="560" w:lineRule="exact"/>
        <w:ind w:firstLine="675"/>
        <w:jc w:val="left"/>
        <w:rPr>
          <w:rFonts w:ascii="仿宋_GB2312" w:hAnsi="仿宋" w:eastAsia="仿宋_GB2312"/>
          <w:sz w:val="32"/>
          <w:szCs w:val="32"/>
        </w:rPr>
      </w:pPr>
      <w:r>
        <w:rPr>
          <w:rFonts w:hint="eastAsia" w:ascii="仿宋_GB2312" w:hAnsi="仿宋" w:eastAsia="仿宋_GB2312"/>
          <w:sz w:val="32"/>
          <w:szCs w:val="32"/>
        </w:rPr>
        <w:t>在区委、区政府及街道办事处领导的正确领导下，按照区政府专题会议精神，结合通运街道实际，2</w:t>
      </w:r>
      <w:r>
        <w:rPr>
          <w:rFonts w:ascii="仿宋_GB2312" w:hAnsi="仿宋" w:eastAsia="仿宋_GB2312"/>
          <w:sz w:val="32"/>
          <w:szCs w:val="32"/>
        </w:rPr>
        <w:t>021</w:t>
      </w:r>
      <w:r>
        <w:rPr>
          <w:rFonts w:hint="eastAsia" w:ascii="仿宋_GB2312" w:hAnsi="仿宋" w:eastAsia="仿宋_GB2312"/>
          <w:sz w:val="32"/>
          <w:szCs w:val="32"/>
        </w:rPr>
        <w:t>年我街道在与永顺镇、潞城镇、中仓街道逐步推进属地交接基础上，全力推进，积极安排部署，准确、有效、及时的开展信息公开工作。</w:t>
      </w:r>
    </w:p>
    <w:p>
      <w:pPr>
        <w:widowControl/>
        <w:spacing w:line="560" w:lineRule="exact"/>
        <w:ind w:firstLine="675"/>
        <w:jc w:val="left"/>
        <w:rPr>
          <w:rFonts w:ascii="仿宋_GB2312" w:hAnsi="仿宋" w:eastAsia="仿宋_GB2312"/>
          <w:sz w:val="32"/>
          <w:szCs w:val="32"/>
        </w:rPr>
      </w:pPr>
      <w:r>
        <w:rPr>
          <w:rFonts w:hint="eastAsia" w:ascii="仿宋_GB2312" w:hAnsi="仿宋" w:eastAsia="仿宋_GB2312"/>
          <w:sz w:val="32"/>
          <w:szCs w:val="32"/>
        </w:rPr>
        <w:t>截止</w:t>
      </w:r>
      <w:r>
        <w:rPr>
          <w:rFonts w:ascii="仿宋_GB2312" w:hAnsi="仿宋" w:eastAsia="仿宋_GB2312"/>
          <w:sz w:val="32"/>
          <w:szCs w:val="32"/>
        </w:rPr>
        <w:t>2021</w:t>
      </w:r>
      <w:r>
        <w:rPr>
          <w:rFonts w:hint="eastAsia" w:ascii="仿宋_GB2312" w:hAnsi="仿宋" w:eastAsia="仿宋_GB2312"/>
          <w:sz w:val="32"/>
          <w:szCs w:val="32"/>
        </w:rPr>
        <w:t>年12月</w:t>
      </w:r>
      <w:r>
        <w:rPr>
          <w:rFonts w:ascii="仿宋_GB2312" w:hAnsi="仿宋" w:eastAsia="仿宋_GB2312"/>
          <w:sz w:val="32"/>
          <w:szCs w:val="32"/>
        </w:rPr>
        <w:t>22</w:t>
      </w:r>
      <w:r>
        <w:rPr>
          <w:rFonts w:hint="eastAsia" w:ascii="仿宋_GB2312" w:hAnsi="仿宋" w:eastAsia="仿宋_GB2312"/>
          <w:sz w:val="32"/>
          <w:szCs w:val="32"/>
        </w:rPr>
        <w:t>日，我街道信息公开情况如下：</w:t>
      </w:r>
    </w:p>
    <w:p>
      <w:pPr>
        <w:widowControl/>
        <w:spacing w:line="560" w:lineRule="exact"/>
        <w:ind w:firstLine="960" w:firstLineChars="300"/>
        <w:jc w:val="left"/>
        <w:rPr>
          <w:rFonts w:ascii="仿宋_GB2312" w:hAnsi="仿宋" w:eastAsia="仿宋_GB2312"/>
          <w:sz w:val="32"/>
          <w:szCs w:val="32"/>
        </w:rPr>
      </w:pPr>
      <w:r>
        <w:rPr>
          <w:rFonts w:hint="eastAsia" w:ascii="仿宋_GB2312" w:hAnsi="仿宋" w:eastAsia="仿宋_GB2312"/>
          <w:sz w:val="32"/>
          <w:szCs w:val="32"/>
        </w:rPr>
        <w:t>1、主动公开情况。</w:t>
      </w:r>
    </w:p>
    <w:p>
      <w:pPr>
        <w:widowControl/>
        <w:spacing w:line="560" w:lineRule="exact"/>
        <w:ind w:firstLine="1280" w:firstLineChars="400"/>
        <w:jc w:val="left"/>
        <w:rPr>
          <w:rFonts w:ascii="仿宋_GB2312" w:hAnsi="仿宋" w:eastAsia="仿宋_GB2312"/>
          <w:sz w:val="32"/>
          <w:szCs w:val="32"/>
        </w:rPr>
      </w:pPr>
      <w:r>
        <w:rPr>
          <w:rFonts w:hint="eastAsia" w:ascii="仿宋_GB2312" w:hAnsi="仿宋" w:eastAsia="仿宋_GB2312"/>
          <w:sz w:val="32"/>
          <w:szCs w:val="32"/>
        </w:rPr>
        <w:t>202</w:t>
      </w:r>
      <w:r>
        <w:rPr>
          <w:rFonts w:hint="eastAsia" w:ascii="仿宋_GB2312" w:hAnsi="仿宋" w:eastAsia="仿宋_GB2312"/>
          <w:sz w:val="32"/>
          <w:szCs w:val="32"/>
          <w:lang w:val="en-US" w:eastAsia="zh-CN"/>
        </w:rPr>
        <w:t>1</w:t>
      </w:r>
      <w:r>
        <w:rPr>
          <w:rFonts w:hint="eastAsia" w:ascii="仿宋_GB2312" w:hAnsi="仿宋" w:eastAsia="仿宋_GB2312"/>
          <w:sz w:val="32"/>
          <w:szCs w:val="32"/>
        </w:rPr>
        <w:t>年通运街道主动公开政府信息数</w:t>
      </w:r>
      <w:r>
        <w:rPr>
          <w:rFonts w:ascii="仿宋_GB2312" w:hAnsi="仿宋" w:eastAsia="仿宋_GB2312"/>
          <w:sz w:val="32"/>
          <w:szCs w:val="32"/>
        </w:rPr>
        <w:t>128</w:t>
      </w:r>
      <w:r>
        <w:rPr>
          <w:rFonts w:hint="eastAsia" w:ascii="仿宋_GB2312" w:hAnsi="仿宋" w:eastAsia="仿宋_GB2312"/>
          <w:sz w:val="32"/>
          <w:szCs w:val="32"/>
        </w:rPr>
        <w:t>条，执法信息双公示</w:t>
      </w:r>
      <w:r>
        <w:rPr>
          <w:rFonts w:ascii="仿宋_GB2312" w:hAnsi="仿宋" w:eastAsia="仿宋_GB2312"/>
          <w:sz w:val="32"/>
          <w:szCs w:val="32"/>
        </w:rPr>
        <w:t>237</w:t>
      </w:r>
      <w:r>
        <w:rPr>
          <w:rFonts w:hint="eastAsia" w:ascii="仿宋_GB2312" w:hAnsi="仿宋" w:eastAsia="仿宋_GB2312"/>
          <w:sz w:val="32"/>
          <w:szCs w:val="32"/>
        </w:rPr>
        <w:t>条。</w:t>
      </w:r>
    </w:p>
    <w:p>
      <w:pPr>
        <w:widowControl/>
        <w:spacing w:line="560" w:lineRule="exact"/>
        <w:ind w:firstLine="960" w:firstLineChars="300"/>
        <w:jc w:val="left"/>
        <w:rPr>
          <w:rFonts w:ascii="仿宋_GB2312" w:hAnsi="仿宋" w:eastAsia="仿宋_GB2312"/>
          <w:sz w:val="32"/>
          <w:szCs w:val="32"/>
        </w:rPr>
      </w:pPr>
      <w:r>
        <w:rPr>
          <w:rFonts w:hint="eastAsia" w:ascii="仿宋_GB2312" w:hAnsi="仿宋" w:eastAsia="仿宋_GB2312"/>
          <w:sz w:val="32"/>
          <w:szCs w:val="32"/>
        </w:rPr>
        <w:t>2、依申请公开情况。</w:t>
      </w:r>
    </w:p>
    <w:p>
      <w:pPr>
        <w:pStyle w:val="2"/>
        <w:ind w:firstLine="1280" w:firstLineChars="400"/>
        <w:rPr>
          <w:rFonts w:ascii="仿宋_GB2312" w:eastAsia="仿宋_GB2312"/>
          <w:sz w:val="32"/>
          <w:szCs w:val="32"/>
        </w:rPr>
      </w:pPr>
      <w:r>
        <w:rPr>
          <w:rFonts w:hint="eastAsia" w:ascii="仿宋_GB2312" w:eastAsia="仿宋_GB2312"/>
          <w:sz w:val="32"/>
          <w:szCs w:val="32"/>
        </w:rPr>
        <w:t>2</w:t>
      </w:r>
      <w:r>
        <w:rPr>
          <w:rFonts w:ascii="仿宋_GB2312" w:eastAsia="仿宋_GB2312"/>
          <w:sz w:val="32"/>
          <w:szCs w:val="32"/>
        </w:rPr>
        <w:t>02</w:t>
      </w:r>
      <w:r>
        <w:rPr>
          <w:rFonts w:hint="eastAsia" w:ascii="仿宋_GB2312" w:eastAsia="仿宋_GB2312"/>
          <w:sz w:val="32"/>
          <w:szCs w:val="32"/>
          <w:lang w:val="en-US" w:eastAsia="zh-CN"/>
        </w:rPr>
        <w:t>1</w:t>
      </w:r>
      <w:bookmarkStart w:id="0" w:name="_GoBack"/>
      <w:bookmarkEnd w:id="0"/>
      <w:r>
        <w:rPr>
          <w:rFonts w:hint="eastAsia" w:ascii="仿宋_GB2312" w:eastAsia="仿宋_GB2312"/>
          <w:sz w:val="32"/>
          <w:szCs w:val="32"/>
        </w:rPr>
        <w:t>年通运街道依申请公开受理1件，为邮寄信件类依申请公开，于1</w:t>
      </w:r>
      <w:r>
        <w:rPr>
          <w:rFonts w:ascii="仿宋_GB2312" w:eastAsia="仿宋_GB2312"/>
          <w:sz w:val="32"/>
          <w:szCs w:val="32"/>
        </w:rPr>
        <w:t>5</w:t>
      </w:r>
      <w:r>
        <w:rPr>
          <w:rFonts w:hint="eastAsia" w:ascii="仿宋_GB2312" w:eastAsia="仿宋_GB2312"/>
          <w:sz w:val="32"/>
          <w:szCs w:val="32"/>
        </w:rPr>
        <w:t>个工作日内，通过邮寄信件方式对当事人给予答复，按时办结。</w:t>
      </w:r>
    </w:p>
    <w:p>
      <w:pPr>
        <w:pStyle w:val="2"/>
        <w:ind w:firstLine="960" w:firstLineChars="300"/>
        <w:rPr>
          <w:rFonts w:ascii="仿宋_GB2312" w:eastAsia="仿宋_GB2312"/>
          <w:sz w:val="32"/>
          <w:szCs w:val="32"/>
        </w:rPr>
      </w:pPr>
      <w:r>
        <w:rPr>
          <w:rFonts w:hint="eastAsia" w:ascii="仿宋_GB2312" w:eastAsia="仿宋_GB2312"/>
          <w:sz w:val="32"/>
          <w:szCs w:val="32"/>
        </w:rPr>
        <w:t>3、新媒体宣传更新。</w:t>
      </w:r>
    </w:p>
    <w:p>
      <w:pPr>
        <w:pStyle w:val="2"/>
        <w:ind w:firstLine="1280" w:firstLineChars="400"/>
        <w:rPr>
          <w:rFonts w:ascii="仿宋_GB2312" w:eastAsia="仿宋_GB2312"/>
          <w:sz w:val="32"/>
          <w:szCs w:val="32"/>
        </w:rPr>
      </w:pPr>
      <w:r>
        <w:rPr>
          <w:rFonts w:ascii="仿宋_GB2312" w:eastAsia="仿宋_GB2312"/>
          <w:sz w:val="32"/>
          <w:szCs w:val="32"/>
        </w:rPr>
        <w:t>2021</w:t>
      </w:r>
      <w:r>
        <w:rPr>
          <w:rFonts w:hint="eastAsia" w:ascii="仿宋_GB2312" w:eastAsia="仿宋_GB2312"/>
          <w:sz w:val="32"/>
          <w:szCs w:val="32"/>
        </w:rPr>
        <w:t>年通运街道大力开展微信公众号新媒体宣传，年度更新量</w:t>
      </w:r>
      <w:r>
        <w:rPr>
          <w:rFonts w:ascii="仿宋_GB2312" w:eastAsia="仿宋_GB2312"/>
          <w:sz w:val="32"/>
          <w:szCs w:val="32"/>
        </w:rPr>
        <w:t>1228</w:t>
      </w:r>
      <w:r>
        <w:rPr>
          <w:rFonts w:hint="eastAsia" w:ascii="仿宋_GB2312" w:eastAsia="仿宋_GB2312"/>
          <w:sz w:val="32"/>
          <w:szCs w:val="32"/>
        </w:rPr>
        <w:t>篇，其中原创</w:t>
      </w:r>
      <w:r>
        <w:rPr>
          <w:rFonts w:ascii="仿宋_GB2312" w:eastAsia="仿宋_GB2312"/>
          <w:sz w:val="32"/>
          <w:szCs w:val="32"/>
        </w:rPr>
        <w:t>519</w:t>
      </w:r>
      <w:r>
        <w:rPr>
          <w:rFonts w:hint="eastAsia" w:ascii="仿宋_GB2312" w:eastAsia="仿宋_GB2312"/>
          <w:sz w:val="32"/>
          <w:szCs w:val="32"/>
        </w:rPr>
        <w:t>篇。</w:t>
      </w:r>
    </w:p>
    <w:p>
      <w:pPr>
        <w:pStyle w:val="2"/>
        <w:ind w:firstLine="960" w:firstLineChars="300"/>
        <w:rPr>
          <w:rFonts w:ascii="仿宋_GB2312" w:eastAsia="仿宋_GB2312"/>
          <w:sz w:val="32"/>
          <w:szCs w:val="32"/>
        </w:rPr>
      </w:pPr>
      <w:r>
        <w:rPr>
          <w:rFonts w:hint="eastAsia" w:ascii="仿宋_GB2312" w:eastAsia="仿宋_GB2312"/>
          <w:sz w:val="32"/>
          <w:szCs w:val="32"/>
        </w:rPr>
        <w:t>4、政府信息公开监督保障及教育培训情况。</w:t>
      </w:r>
    </w:p>
    <w:p>
      <w:pPr>
        <w:pStyle w:val="2"/>
        <w:ind w:firstLine="640" w:firstLineChars="200"/>
      </w:pPr>
      <w:r>
        <w:rPr>
          <w:rFonts w:ascii="仿宋_GB2312" w:eastAsia="仿宋_GB2312"/>
          <w:sz w:val="32"/>
          <w:szCs w:val="32"/>
        </w:rPr>
        <w:t>2021</w:t>
      </w:r>
      <w:r>
        <w:rPr>
          <w:rFonts w:hint="eastAsia" w:ascii="仿宋_GB2312" w:eastAsia="仿宋_GB2312"/>
          <w:sz w:val="32"/>
          <w:szCs w:val="32"/>
        </w:rPr>
        <w:t>年通运街道办事处严格按照</w:t>
      </w:r>
      <w:r>
        <w:rPr>
          <w:rFonts w:hint="eastAsia" w:ascii="仿宋_GB2312" w:hAnsi="宋体" w:eastAsia="仿宋_GB2312" w:cs="宋体"/>
          <w:spacing w:val="8"/>
          <w:kern w:val="0"/>
          <w:sz w:val="32"/>
          <w:szCs w:val="32"/>
        </w:rPr>
        <w:t>《政府信息公开条例》</w:t>
      </w:r>
      <w:r>
        <w:rPr>
          <w:rFonts w:hint="eastAsia" w:ascii="仿宋_GB2312" w:eastAsia="仿宋_GB2312"/>
          <w:sz w:val="32"/>
          <w:szCs w:val="32"/>
        </w:rPr>
        <w:t>的规定和上级有关部门的部署和要求，不断创新工作思路，完善工作机制，主动接受有关部门和社会各界的监督，努力做到政府信息公开内容真实全面以及公开的及时性；同时，通过微信微信公众号等现代媒体及时上传有关政务公开的政策文件以及工作部署，针对各部门、各社区信息员开展信息公开培训，切实提高政务公开队伍的业务素养和工作能力，不断提高工作人员的业务能力基础，扎实推进街道政府信息公开工作。</w:t>
      </w:r>
    </w:p>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主动公开政府信息情况</w:t>
      </w:r>
    </w:p>
    <w:p>
      <w:pPr>
        <w:pStyle w:val="2"/>
      </w:pPr>
    </w:p>
    <w:p>
      <w:pPr>
        <w:pStyle w:val="2"/>
      </w:pPr>
    </w:p>
    <w:tbl>
      <w:tblPr>
        <w:tblStyle w:val="9"/>
        <w:tblW w:w="9740" w:type="dxa"/>
        <w:jc w:val="center"/>
        <w:tblLayout w:type="autofit"/>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现行有效件</w:t>
            </w:r>
            <w:r>
              <w:rPr>
                <w:rFonts w:hint="eastAsia" w:ascii="宋体" w:hAnsi="宋体" w:cs="宋体"/>
                <w:kern w:val="0"/>
                <w:sz w:val="20"/>
                <w:szCs w:val="20"/>
                <w:lang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color w:val="000000"/>
                <w:kern w:val="0"/>
                <w:sz w:val="20"/>
                <w:szCs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ascii="宋体" w:hAnsi="宋体" w:cs="宋体"/>
                <w:color w:val="000000"/>
                <w:kern w:val="0"/>
                <w:sz w:val="20"/>
                <w:szCs w:val="20"/>
                <w:lang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cs="Calibri"/>
                <w:kern w:val="0"/>
                <w:szCs w:val="21"/>
                <w:lang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color w:val="000000"/>
                <w:kern w:val="0"/>
                <w:sz w:val="20"/>
                <w:szCs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ascii="宋体" w:hAnsi="宋体" w:cs="宋体"/>
                <w:color w:val="000000"/>
                <w:kern w:val="0"/>
                <w:sz w:val="20"/>
                <w:szCs w:val="20"/>
                <w:lang w:bidi="ar"/>
              </w:rPr>
              <w:t>0</w:t>
            </w:r>
            <w:r>
              <w:rPr>
                <w:rFonts w:hint="eastAsia" w:ascii="宋体" w:hAnsi="宋体" w:cs="宋体"/>
                <w:color w:val="000000"/>
                <w:kern w:val="0"/>
                <w:sz w:val="20"/>
                <w:szCs w:val="20"/>
                <w:lang w:bidi="ar"/>
              </w:rPr>
              <w:t> 　</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cs="Calibri"/>
                <w:kern w:val="0"/>
                <w:szCs w:val="21"/>
                <w:lang w:bidi="ar"/>
              </w:rPr>
              <w:t> 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Cs w:val="21"/>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2</w:t>
            </w:r>
            <w:r>
              <w:rPr>
                <w:rFonts w:ascii="宋体" w:hAnsi="宋体" w:cs="宋体"/>
                <w:color w:val="000000"/>
                <w:kern w:val="0"/>
                <w:sz w:val="20"/>
                <w:szCs w:val="20"/>
                <w:lang w:bidi="ar"/>
              </w:rPr>
              <w:t>37</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宋体" w:hAnsi="宋体" w:cs="宋体"/>
                <w:color w:val="000000"/>
                <w:kern w:val="0"/>
                <w:sz w:val="20"/>
                <w:szCs w:val="20"/>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jc w:val="center"/>
              <w:rPr>
                <w:rFonts w:ascii="宋体"/>
                <w:sz w:val="20"/>
                <w:szCs w:val="20"/>
              </w:rPr>
            </w:pPr>
            <w:r>
              <w:rPr>
                <w:rFonts w:hint="eastAsia" w:ascii="宋体"/>
                <w:sz w:val="20"/>
                <w:szCs w:val="20"/>
              </w:rPr>
              <w:t>0</w:t>
            </w:r>
          </w:p>
        </w:tc>
      </w:tr>
    </w:tbl>
    <w:p>
      <w:pPr>
        <w:numPr>
          <w:ilvl w:val="0"/>
          <w:numId w:val="1"/>
        </w:num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收到和处理政府信息公开申请情况</w:t>
      </w:r>
    </w:p>
    <w:tbl>
      <w:tblPr>
        <w:tblStyle w:val="9"/>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widowControl/>
              <w:jc w:val="left"/>
            </w:pPr>
            <w:r>
              <w:rPr>
                <w:rFonts w:ascii="楷体" w:hAnsi="楷体" w:eastAsia="楷体" w:cs="楷体"/>
                <w:kern w:val="0"/>
                <w:sz w:val="20"/>
                <w:szCs w:val="20"/>
                <w:lang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9" w:type="dxa"/>
            <w:vMerge w:val="restart"/>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shd w:val="clear" w:color="auto" w:fill="9BC2E6"/>
            <w:tcMar>
              <w:left w:w="108" w:type="dxa"/>
              <w:right w:w="108" w:type="dxa"/>
            </w:tcMar>
            <w:vAlign w:val="center"/>
          </w:tcPr>
          <w:p>
            <w:pPr>
              <w:rPr>
                <w:rFonts w:ascii="宋体"/>
                <w:sz w:val="24"/>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rPr>
                <w:rFonts w:ascii="宋体"/>
                <w:sz w:val="24"/>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9" w:type="dxa"/>
            <w:vMerge w:val="continue"/>
            <w:tcBorders>
              <w:top w:val="single" w:color="auto" w:sz="8" w:space="0"/>
              <w:left w:val="nil"/>
              <w:bottom w:val="outset" w:color="auto" w:sz="8" w:space="0"/>
              <w:right w:val="single" w:color="auto" w:sz="8" w:space="0"/>
            </w:tcBorders>
            <w:shd w:val="clear" w:color="auto" w:fill="9BC2E6"/>
            <w:tcMar>
              <w:left w:w="57" w:type="dxa"/>
              <w:right w:w="57" w:type="dxa"/>
            </w:tcMar>
            <w:vAlign w:val="center"/>
          </w:tcPr>
          <w:p>
            <w:pPr>
              <w:rPr>
                <w:rFonts w:ascii="宋体"/>
                <w:sz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1 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689" w:type="dxa"/>
            <w:tcBorders>
              <w:top w:val="single" w:color="auto" w:sz="8" w:space="0"/>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1 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0</w:t>
            </w:r>
          </w:p>
        </w:tc>
        <w:tc>
          <w:tcPr>
            <w:tcW w:w="689" w:type="dxa"/>
            <w:tcBorders>
              <w:top w:val="single" w:color="auto" w:sz="8" w:space="0"/>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0 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0 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0 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0 </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0 </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nil"/>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nil"/>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outset"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outset"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outset"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outset"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outset"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8" w:type="dxa"/>
            <w:tcBorders>
              <w:top w:val="nil"/>
              <w:left w:val="nil"/>
              <w:bottom w:val="outset"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c>
          <w:tcPr>
            <w:tcW w:w="689" w:type="dxa"/>
            <w:tcBorders>
              <w:top w:val="nil"/>
              <w:left w:val="nil"/>
              <w:bottom w:val="outset" w:color="auto" w:sz="8" w:space="0"/>
              <w:right w:val="single" w:color="auto" w:sz="8" w:space="0"/>
            </w:tcBorders>
            <w:tcMar>
              <w:left w:w="57" w:type="dxa"/>
              <w:right w:w="57" w:type="dxa"/>
            </w:tcMar>
          </w:tcPr>
          <w:p>
            <w:pPr>
              <w:widowControl/>
              <w:jc w:val="center"/>
            </w:pPr>
            <w:r>
              <w:rPr>
                <w:rFonts w:cs="Calibri"/>
                <w:kern w:val="0"/>
                <w:sz w:val="20"/>
                <w:szCs w:val="20"/>
                <w:lang w:bidi="ar"/>
              </w:rPr>
              <w:t> 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restart"/>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kern w:val="0"/>
                <w:sz w:val="20"/>
                <w:szCs w:val="20"/>
                <w:lang w:bidi="ar"/>
              </w:rP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kern w:val="0"/>
                <w:sz w:val="20"/>
                <w:szCs w:val="20"/>
                <w:lang w:bidi="ar"/>
              </w:rPr>
            </w:pPr>
            <w:r>
              <w:rPr>
                <w:rFonts w:cs="Calibri"/>
                <w:kern w:val="0"/>
                <w:sz w:val="20"/>
                <w:szCs w:val="20"/>
                <w:lang w:bidi="ar"/>
              </w:rPr>
              <w:t>0 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kern w:val="0"/>
                <w:sz w:val="20"/>
                <w:szCs w:val="20"/>
                <w:lang w:bidi="ar"/>
              </w:rP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kern w:val="0"/>
                <w:sz w:val="20"/>
                <w:szCs w:val="20"/>
                <w:lang w:bidi="ar"/>
              </w:rPr>
            </w:pPr>
            <w:r>
              <w:rPr>
                <w:rFonts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kern w:val="0"/>
                <w:sz w:val="20"/>
                <w:szCs w:val="20"/>
                <w:lang w:bidi="ar"/>
              </w:rPr>
            </w:pPr>
            <w:r>
              <w:rPr>
                <w:rFonts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pPr>
            <w:r>
              <w:rPr>
                <w:rFonts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kern w:val="0"/>
                <w:sz w:val="20"/>
                <w:szCs w:val="20"/>
                <w:lang w:bidi="ar"/>
              </w:rP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kern w:val="0"/>
                <w:sz w:val="20"/>
                <w:szCs w:val="20"/>
                <w:lang w:bidi="ar"/>
              </w:rP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kern w:val="0"/>
                <w:sz w:val="20"/>
                <w:szCs w:val="20"/>
                <w:lang w:bidi="ar"/>
              </w:rPr>
            </w:pPr>
            <w:r>
              <w:rPr>
                <w:rFonts w:cs="Calibri"/>
                <w:kern w:val="0"/>
                <w:sz w:val="20"/>
                <w:szCs w:val="20"/>
                <w:lang w:bidi="ar"/>
              </w:rPr>
              <w:t>0 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kern w:val="0"/>
                <w:sz w:val="20"/>
                <w:szCs w:val="20"/>
                <w:lang w:bidi="ar"/>
              </w:rPr>
            </w:pPr>
            <w:r>
              <w:rPr>
                <w:rFonts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kern w:val="0"/>
                <w:sz w:val="20"/>
                <w:szCs w:val="20"/>
                <w:lang w:bidi="ar"/>
              </w:rPr>
            </w:pPr>
            <w:r>
              <w:rPr>
                <w:rFonts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kern w:val="0"/>
                <w:sz w:val="20"/>
                <w:szCs w:val="20"/>
                <w:lang w:bidi="ar"/>
              </w:rPr>
            </w:pPr>
            <w:r>
              <w:rPr>
                <w:rFonts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cs="Calibri"/>
                <w:kern w:val="0"/>
                <w:sz w:val="20"/>
                <w:szCs w:val="20"/>
                <w:lang w:bidi="ar"/>
              </w:rPr>
            </w:pPr>
            <w:r>
              <w:rPr>
                <w:rFonts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943" w:type="dxa"/>
            <w:vMerge w:val="continue"/>
            <w:tcBorders>
              <w:top w:val="outset" w:color="auto" w:sz="8" w:space="0"/>
              <w:left w:val="nil"/>
              <w:bottom w:val="outset" w:color="auto" w:sz="8" w:space="0"/>
              <w:right w:val="single" w:color="auto" w:sz="8" w:space="0"/>
            </w:tcBorders>
            <w:shd w:val="clear" w:color="auto" w:fill="DDEBF7"/>
            <w:tcMar>
              <w:left w:w="57" w:type="dxa"/>
              <w:right w:w="57" w:type="dxa"/>
            </w:tcMar>
            <w:vAlign w:val="center"/>
          </w:tcPr>
          <w:p>
            <w:pPr>
              <w:rPr>
                <w:rFonts w:ascii="宋体"/>
                <w:sz w:val="24"/>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kern w:val="0"/>
                <w:sz w:val="20"/>
                <w:szCs w:val="20"/>
                <w:lang w:bidi="ar"/>
              </w:rP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kern w:val="0"/>
                <w:sz w:val="20"/>
                <w:szCs w:val="20"/>
                <w:lang w:bidi="ar"/>
              </w:rP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kern w:val="0"/>
                <w:sz w:val="20"/>
                <w:szCs w:val="20"/>
                <w:lang w:bidi="ar"/>
              </w:rP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kern w:val="0"/>
                <w:sz w:val="20"/>
                <w:szCs w:val="20"/>
                <w:lang w:bidi="ar"/>
              </w:rPr>
            </w:pPr>
            <w:r>
              <w:rPr>
                <w:rFonts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kern w:val="0"/>
                <w:sz w:val="20"/>
                <w:szCs w:val="20"/>
                <w:lang w:bidi="ar"/>
              </w:rPr>
            </w:pPr>
            <w:r>
              <w:rPr>
                <w:rFonts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kern w:val="0"/>
                <w:sz w:val="20"/>
                <w:szCs w:val="20"/>
                <w:lang w:bidi="ar"/>
              </w:rPr>
            </w:pPr>
            <w:r>
              <w:rPr>
                <w:rFonts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cs="Calibri"/>
                <w:kern w:val="0"/>
                <w:sz w:val="20"/>
                <w:szCs w:val="20"/>
                <w:lang w:bidi="ar"/>
              </w:rPr>
            </w:pPr>
            <w:r>
              <w:rPr>
                <w:rFonts w:cs="Calibri"/>
                <w:kern w:val="0"/>
                <w:sz w:val="20"/>
                <w:szCs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shd w:val="clear" w:color="auto" w:fill="BDD7EE"/>
            <w:tcMar>
              <w:left w:w="57" w:type="dxa"/>
              <w:right w:w="57" w:type="dxa"/>
            </w:tcMar>
            <w:vAlign w:val="center"/>
          </w:tcPr>
          <w:p>
            <w:pPr>
              <w:rPr>
                <w:rFonts w:ascii="宋体"/>
                <w:sz w:val="24"/>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kern w:val="0"/>
                <w:sz w:val="20"/>
                <w:szCs w:val="20"/>
                <w:lang w:bidi="ar"/>
              </w:rPr>
            </w:pPr>
            <w:r>
              <w:rPr>
                <w:rFonts w:cs="Calibri"/>
                <w:kern w:val="0"/>
                <w:sz w:val="20"/>
                <w:szCs w:val="20"/>
                <w:lang w:bidi="ar"/>
              </w:rPr>
              <w:t> 1</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kern w:val="0"/>
                <w:sz w:val="20"/>
                <w:szCs w:val="20"/>
                <w:lang w:bidi="ar"/>
              </w:rPr>
            </w:pPr>
            <w:r>
              <w:rPr>
                <w:rFonts w:cs="Calibri"/>
                <w:kern w:val="0"/>
                <w:sz w:val="20"/>
                <w:szCs w:val="20"/>
                <w:lang w:bidi="ar"/>
              </w:rPr>
              <w:t> 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kern w:val="0"/>
                <w:sz w:val="20"/>
                <w:szCs w:val="20"/>
                <w:lang w:bidi="ar"/>
              </w:rPr>
            </w:pPr>
            <w:r>
              <w:rPr>
                <w:rFonts w:cs="Calibri"/>
                <w:kern w:val="0"/>
                <w:sz w:val="20"/>
                <w:szCs w:val="20"/>
                <w:lang w:bidi="ar"/>
              </w:rPr>
              <w:t>0 </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kern w:val="0"/>
                <w:sz w:val="20"/>
                <w:szCs w:val="20"/>
                <w:lang w:bidi="ar"/>
              </w:rPr>
            </w:pPr>
            <w:r>
              <w:rPr>
                <w:rFonts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kern w:val="0"/>
                <w:sz w:val="20"/>
                <w:szCs w:val="20"/>
                <w:lang w:bidi="ar"/>
              </w:rPr>
            </w:pPr>
            <w:r>
              <w:rPr>
                <w:rFonts w:cs="Calibri"/>
                <w:kern w:val="0"/>
                <w:sz w:val="20"/>
                <w:szCs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rPr>
                <w:rFonts w:cs="Calibri"/>
                <w:kern w:val="0"/>
                <w:sz w:val="20"/>
                <w:szCs w:val="20"/>
                <w:lang w:bidi="ar"/>
              </w:rPr>
            </w:pPr>
            <w:r>
              <w:rPr>
                <w:rFonts w:cs="Calibri"/>
                <w:kern w:val="0"/>
                <w:sz w:val="20"/>
                <w:szCs w:val="20"/>
                <w:lang w:bidi="ar"/>
              </w:rPr>
              <w:t>0</w:t>
            </w:r>
          </w:p>
        </w:tc>
        <w:tc>
          <w:tcPr>
            <w:tcW w:w="689" w:type="dxa"/>
            <w:tcBorders>
              <w:top w:val="nil"/>
              <w:left w:val="nil"/>
              <w:bottom w:val="single" w:color="auto" w:sz="8" w:space="0"/>
              <w:right w:val="single" w:color="auto" w:sz="8" w:space="0"/>
            </w:tcBorders>
            <w:tcMar>
              <w:left w:w="57" w:type="dxa"/>
              <w:right w:w="57" w:type="dxa"/>
            </w:tcMar>
          </w:tcPr>
          <w:p>
            <w:pPr>
              <w:widowControl/>
              <w:jc w:val="center"/>
              <w:rPr>
                <w:rFonts w:cs="Calibri"/>
                <w:kern w:val="0"/>
                <w:sz w:val="20"/>
                <w:szCs w:val="20"/>
                <w:lang w:bidi="ar"/>
              </w:rPr>
            </w:pPr>
            <w:r>
              <w:rPr>
                <w:rFonts w:cs="Calibri"/>
                <w:kern w:val="0"/>
                <w:sz w:val="20"/>
                <w:szCs w:val="20"/>
                <w:lang w:bidi="ar"/>
              </w:rPr>
              <w:t> 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0" w:type="auto"/>
            <w:tcBorders>
              <w:top w:val="outset" w:color="auto" w:sz="6" w:space="0"/>
              <w:left w:val="nil"/>
              <w:bottom w:val="outset" w:color="auto" w:sz="6" w:space="0"/>
              <w:right w:val="outset" w:color="auto" w:sz="6" w:space="0"/>
            </w:tcBorders>
            <w:vAlign w:val="center"/>
          </w:tcPr>
          <w:p>
            <w:pPr>
              <w:widowControl/>
              <w:jc w:val="center"/>
              <w:rPr>
                <w:rFonts w:cs="Calibri"/>
                <w:kern w:val="0"/>
                <w:sz w:val="20"/>
                <w:szCs w:val="20"/>
                <w:lang w:bidi="ar"/>
              </w:rPr>
            </w:pPr>
            <w:r>
              <w:rPr>
                <w:rFonts w:hint="eastAsia" w:cs="Calibri"/>
                <w:kern w:val="0"/>
                <w:sz w:val="20"/>
                <w:szCs w:val="20"/>
                <w:lang w:bidi="ar"/>
              </w:rPr>
              <w:t>0</w:t>
            </w:r>
          </w:p>
        </w:tc>
        <w:tc>
          <w:tcPr>
            <w:tcW w:w="688" w:type="dxa"/>
            <w:tcBorders>
              <w:top w:val="outset" w:color="auto" w:sz="6" w:space="0"/>
              <w:left w:val="nil"/>
              <w:bottom w:val="outset" w:color="auto" w:sz="6" w:space="0"/>
              <w:right w:val="outset" w:color="auto" w:sz="6" w:space="0"/>
            </w:tcBorders>
            <w:vAlign w:val="center"/>
          </w:tcPr>
          <w:p>
            <w:pPr>
              <w:widowControl/>
              <w:jc w:val="center"/>
              <w:rPr>
                <w:rFonts w:cs="Calibri"/>
                <w:kern w:val="0"/>
                <w:sz w:val="20"/>
                <w:szCs w:val="20"/>
                <w:lang w:bidi="ar"/>
              </w:rPr>
            </w:pPr>
            <w:r>
              <w:rPr>
                <w:rFonts w:hint="eastAsia" w:cs="Calibri"/>
                <w:kern w:val="0"/>
                <w:sz w:val="20"/>
                <w:szCs w:val="20"/>
                <w:lang w:bidi="ar"/>
              </w:rPr>
              <w:t>0</w:t>
            </w:r>
          </w:p>
        </w:tc>
        <w:tc>
          <w:tcPr>
            <w:tcW w:w="688" w:type="dxa"/>
            <w:tcBorders>
              <w:top w:val="outset" w:color="auto" w:sz="6" w:space="0"/>
              <w:left w:val="nil"/>
              <w:bottom w:val="outset" w:color="auto" w:sz="6" w:space="0"/>
              <w:right w:val="outset" w:color="auto" w:sz="6" w:space="0"/>
            </w:tcBorders>
            <w:vAlign w:val="center"/>
          </w:tcPr>
          <w:p>
            <w:pPr>
              <w:widowControl/>
              <w:jc w:val="center"/>
              <w:rPr>
                <w:rFonts w:cs="Calibri"/>
                <w:kern w:val="0"/>
                <w:sz w:val="20"/>
                <w:szCs w:val="20"/>
                <w:lang w:bidi="ar"/>
              </w:rPr>
            </w:pPr>
            <w:r>
              <w:rPr>
                <w:rFonts w:hint="eastAsia" w:cs="Calibri"/>
                <w:kern w:val="0"/>
                <w:sz w:val="20"/>
                <w:szCs w:val="20"/>
                <w:lang w:bidi="ar"/>
              </w:rPr>
              <w:t>0</w:t>
            </w:r>
          </w:p>
        </w:tc>
        <w:tc>
          <w:tcPr>
            <w:tcW w:w="0" w:type="auto"/>
            <w:tcBorders>
              <w:top w:val="outset" w:color="auto" w:sz="6" w:space="0"/>
              <w:left w:val="nil"/>
              <w:bottom w:val="outset" w:color="auto" w:sz="6" w:space="0"/>
              <w:right w:val="outset" w:color="auto" w:sz="6" w:space="0"/>
            </w:tcBorders>
            <w:vAlign w:val="center"/>
          </w:tcPr>
          <w:p>
            <w:pPr>
              <w:widowControl/>
              <w:jc w:val="center"/>
              <w:rPr>
                <w:rFonts w:cs="Calibri"/>
                <w:kern w:val="0"/>
                <w:sz w:val="20"/>
                <w:szCs w:val="20"/>
                <w:lang w:bidi="ar"/>
              </w:rPr>
            </w:pPr>
            <w:r>
              <w:rPr>
                <w:rFonts w:hint="eastAsia" w:cs="Calibri"/>
                <w:kern w:val="0"/>
                <w:sz w:val="20"/>
                <w:szCs w:val="20"/>
                <w:lang w:bidi="ar"/>
              </w:rPr>
              <w:t>0</w:t>
            </w:r>
          </w:p>
        </w:tc>
        <w:tc>
          <w:tcPr>
            <w:tcW w:w="0" w:type="auto"/>
            <w:tcBorders>
              <w:top w:val="outset" w:color="auto" w:sz="6" w:space="0"/>
              <w:left w:val="nil"/>
              <w:bottom w:val="outset" w:color="auto" w:sz="6" w:space="0"/>
              <w:right w:val="outset" w:color="auto" w:sz="6" w:space="0"/>
            </w:tcBorders>
            <w:vAlign w:val="center"/>
          </w:tcPr>
          <w:p>
            <w:pPr>
              <w:widowControl/>
              <w:jc w:val="center"/>
              <w:rPr>
                <w:rFonts w:cs="Calibri"/>
                <w:kern w:val="0"/>
                <w:sz w:val="20"/>
                <w:szCs w:val="20"/>
                <w:lang w:bidi="ar"/>
              </w:rPr>
            </w:pPr>
            <w:r>
              <w:rPr>
                <w:rFonts w:hint="eastAsia" w:cs="Calibri"/>
                <w:kern w:val="0"/>
                <w:sz w:val="20"/>
                <w:szCs w:val="20"/>
                <w:lang w:bidi="ar"/>
              </w:rPr>
              <w:t>0</w:t>
            </w:r>
          </w:p>
        </w:tc>
        <w:tc>
          <w:tcPr>
            <w:tcW w:w="0" w:type="auto"/>
            <w:tcBorders>
              <w:top w:val="outset" w:color="auto" w:sz="6" w:space="0"/>
              <w:left w:val="nil"/>
              <w:bottom w:val="outset" w:color="auto" w:sz="6" w:space="0"/>
              <w:right w:val="outset" w:color="auto" w:sz="6" w:space="0"/>
            </w:tcBorders>
            <w:vAlign w:val="center"/>
          </w:tcPr>
          <w:p>
            <w:pPr>
              <w:widowControl/>
              <w:jc w:val="center"/>
              <w:rPr>
                <w:rFonts w:cs="Calibri"/>
                <w:kern w:val="0"/>
                <w:sz w:val="20"/>
                <w:szCs w:val="20"/>
                <w:lang w:bidi="ar"/>
              </w:rPr>
            </w:pPr>
            <w:r>
              <w:rPr>
                <w:rFonts w:hint="eastAsia" w:cs="Calibri"/>
                <w:kern w:val="0"/>
                <w:sz w:val="20"/>
                <w:szCs w:val="20"/>
                <w:lang w:bidi="ar"/>
              </w:rPr>
              <w:t>0</w:t>
            </w:r>
          </w:p>
        </w:tc>
        <w:tc>
          <w:tcPr>
            <w:tcW w:w="0" w:type="auto"/>
            <w:tcBorders>
              <w:top w:val="outset" w:color="auto" w:sz="6" w:space="0"/>
              <w:left w:val="nil"/>
              <w:bottom w:val="outset" w:color="auto" w:sz="6" w:space="0"/>
              <w:right w:val="outset" w:color="auto" w:sz="6" w:space="0"/>
            </w:tcBorders>
            <w:vAlign w:val="center"/>
          </w:tcPr>
          <w:p>
            <w:pPr>
              <w:widowControl/>
              <w:jc w:val="center"/>
              <w:rPr>
                <w:rFonts w:cs="Calibri"/>
                <w:kern w:val="0"/>
                <w:sz w:val="20"/>
                <w:szCs w:val="20"/>
                <w:lang w:bidi="ar"/>
              </w:rPr>
            </w:pPr>
            <w:r>
              <w:rPr>
                <w:rFonts w:hint="eastAsia" w:cs="Calibri"/>
                <w:kern w:val="0"/>
                <w:sz w:val="20"/>
                <w:szCs w:val="20"/>
                <w:lang w:bidi="ar"/>
              </w:rPr>
              <w:t>0</w:t>
            </w:r>
          </w:p>
        </w:tc>
      </w:tr>
    </w:tbl>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四、政府信息公开行政复议、行政诉讼情况</w:t>
      </w:r>
    </w:p>
    <w:p>
      <w:pPr>
        <w:widowControl/>
        <w:jc w:val="center"/>
      </w:pPr>
    </w:p>
    <w:tbl>
      <w:tblPr>
        <w:tblStyle w:val="9"/>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47" w:hRule="atLeast"/>
          <w:jc w:val="center"/>
        </w:trPr>
        <w:tc>
          <w:tcPr>
            <w:tcW w:w="3210"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28"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2" w:hRule="atLeast"/>
          <w:jc w:val="center"/>
        </w:trPr>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42"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2"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13"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1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atLeast"/>
          <w:jc w:val="center"/>
        </w:trPr>
        <w:tc>
          <w:tcPr>
            <w:tcW w:w="642"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2"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2"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rPr>
            </w:pP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43"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 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0</w:t>
            </w:r>
          </w:p>
        </w:tc>
        <w:tc>
          <w:tcPr>
            <w:tcW w:w="642"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ascii="黑体" w:hAnsi="宋体" w:eastAsia="黑体" w:cs="黑体"/>
                <w:kern w:val="0"/>
                <w:sz w:val="20"/>
                <w:szCs w:val="20"/>
                <w:lang w:bidi="ar"/>
              </w:rPr>
              <w:t>0</w:t>
            </w:r>
          </w:p>
        </w:tc>
        <w:tc>
          <w:tcPr>
            <w:tcW w:w="643" w:type="dxa"/>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rPr>
            </w:pPr>
            <w:r>
              <w:rPr>
                <w:rFonts w:hint="eastAsia" w:ascii="宋体"/>
                <w:sz w:val="24"/>
              </w:rPr>
              <w:t>0</w:t>
            </w:r>
          </w:p>
        </w:tc>
      </w:tr>
    </w:tbl>
    <w:p>
      <w:pPr>
        <w:widowControl/>
        <w:jc w:val="left"/>
      </w:pPr>
    </w:p>
    <w:p>
      <w:pPr>
        <w:widowControl/>
        <w:spacing w:line="560" w:lineRule="exact"/>
        <w:ind w:firstLine="672" w:firstLineChars="200"/>
        <w:jc w:val="left"/>
        <w:rPr>
          <w:rFonts w:ascii="宋体" w:hAnsi="宋体" w:cs="宋体"/>
          <w:spacing w:val="8"/>
          <w:kern w:val="0"/>
          <w:sz w:val="24"/>
        </w:rPr>
      </w:pPr>
      <w:r>
        <w:rPr>
          <w:rFonts w:ascii="黑体" w:hAnsi="黑体" w:eastAsia="黑体" w:cs="宋体"/>
          <w:spacing w:val="8"/>
          <w:kern w:val="0"/>
          <w:sz w:val="32"/>
          <w:szCs w:val="32"/>
        </w:rPr>
        <w:t>五、存在的主要问题及改进情况</w:t>
      </w:r>
    </w:p>
    <w:p>
      <w:pPr>
        <w:widowControl/>
        <w:spacing w:line="560" w:lineRule="exact"/>
        <w:ind w:firstLine="675"/>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存在问题：202</w:t>
      </w:r>
      <w:r>
        <w:rPr>
          <w:rFonts w:ascii="仿宋_GB2312" w:hAnsi="宋体" w:eastAsia="仿宋_GB2312" w:cs="宋体"/>
          <w:spacing w:val="8"/>
          <w:kern w:val="0"/>
          <w:sz w:val="32"/>
          <w:szCs w:val="32"/>
        </w:rPr>
        <w:t>1</w:t>
      </w:r>
      <w:r>
        <w:rPr>
          <w:rFonts w:hint="eastAsia" w:ascii="仿宋_GB2312" w:hAnsi="宋体" w:eastAsia="仿宋_GB2312" w:cs="宋体"/>
          <w:spacing w:val="8"/>
          <w:kern w:val="0"/>
          <w:sz w:val="32"/>
          <w:szCs w:val="32"/>
        </w:rPr>
        <w:t>年是通运街道政府信息公开工作步入正轨第二年，经过两年的学习，信息公开工作稳步开展，但还存在一定的差距。</w:t>
      </w:r>
    </w:p>
    <w:p>
      <w:pPr>
        <w:widowControl/>
        <w:spacing w:line="560" w:lineRule="exact"/>
        <w:ind w:firstLine="675"/>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同时政务服务大厅目前还没有正式建立，政务服务相关业务尚不能更方便、更完善的运行，其中便涉及信息公开相关工作，此方面在下一年需要配合服务大厅建设合力推进。</w:t>
      </w:r>
    </w:p>
    <w:p>
      <w:pPr>
        <w:widowControl/>
        <w:spacing w:line="560" w:lineRule="exact"/>
        <w:ind w:firstLine="675"/>
        <w:jc w:val="left"/>
        <w:rPr>
          <w:rFonts w:ascii="仿宋_GB2312" w:hAnsi="宋体" w:eastAsia="仿宋_GB2312" w:cs="宋体"/>
          <w:spacing w:val="8"/>
          <w:kern w:val="0"/>
          <w:sz w:val="32"/>
          <w:szCs w:val="32"/>
        </w:rPr>
      </w:pPr>
      <w:r>
        <w:rPr>
          <w:rFonts w:hint="eastAsia" w:ascii="仿宋_GB2312" w:hAnsi="宋体" w:eastAsia="仿宋_GB2312" w:cs="宋体"/>
          <w:spacing w:val="8"/>
          <w:kern w:val="0"/>
          <w:sz w:val="32"/>
          <w:szCs w:val="32"/>
        </w:rPr>
        <w:t>改进情况：加强信息公开工作学习，引起多方重视此项工作；积极跟进政务服务大厅建设工作，争取建成后第一时间开展信息公开相关工作。</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ind w:firstLine="672" w:firstLineChars="200"/>
        <w:jc w:val="left"/>
        <w:rPr>
          <w:rFonts w:ascii="仿宋_GB2312" w:hAnsi="宋体" w:eastAsia="仿宋_GB2312" w:cs="宋体"/>
          <w:color w:val="9BC2E6"/>
          <w:spacing w:val="8"/>
          <w:kern w:val="0"/>
          <w:sz w:val="32"/>
          <w:szCs w:val="32"/>
        </w:rPr>
      </w:pPr>
      <w:r>
        <w:rPr>
          <w:rFonts w:hint="eastAsia" w:ascii="仿宋_GB2312" w:hAnsi="宋体" w:eastAsia="仿宋_GB2312" w:cs="宋体"/>
          <w:spacing w:val="8"/>
          <w:kern w:val="0"/>
          <w:sz w:val="32"/>
          <w:szCs w:val="32"/>
        </w:rPr>
        <w:t>本单位依据《政府信息公开信息处理费管理办法》收取信息处理费，2021年发出收费通知的件数</w:t>
      </w:r>
      <w:r>
        <w:rPr>
          <w:rFonts w:ascii="仿宋_GB2312" w:hAnsi="宋体" w:eastAsia="仿宋_GB2312" w:cs="宋体"/>
          <w:spacing w:val="8"/>
          <w:kern w:val="0"/>
          <w:sz w:val="32"/>
          <w:szCs w:val="32"/>
        </w:rPr>
        <w:t>0</w:t>
      </w:r>
      <w:r>
        <w:rPr>
          <w:rFonts w:hint="eastAsia" w:ascii="仿宋_GB2312" w:hAnsi="宋体" w:eastAsia="仿宋_GB2312" w:cs="宋体"/>
          <w:spacing w:val="8"/>
          <w:kern w:val="0"/>
          <w:sz w:val="32"/>
          <w:szCs w:val="32"/>
        </w:rPr>
        <w:t>件，总金额</w:t>
      </w:r>
      <w:r>
        <w:rPr>
          <w:rFonts w:ascii="仿宋_GB2312" w:hAnsi="宋体" w:eastAsia="仿宋_GB2312" w:cs="宋体"/>
          <w:spacing w:val="8"/>
          <w:kern w:val="0"/>
          <w:sz w:val="32"/>
          <w:szCs w:val="32"/>
        </w:rPr>
        <w:t>0</w:t>
      </w:r>
      <w:r>
        <w:rPr>
          <w:rFonts w:hint="eastAsia" w:ascii="仿宋_GB2312" w:hAnsi="宋体" w:eastAsia="仿宋_GB2312" w:cs="宋体"/>
          <w:spacing w:val="8"/>
          <w:kern w:val="0"/>
          <w:sz w:val="32"/>
          <w:szCs w:val="32"/>
        </w:rPr>
        <w:t>元。实际收取的总金额</w:t>
      </w:r>
      <w:r>
        <w:rPr>
          <w:rFonts w:ascii="仿宋_GB2312" w:hAnsi="宋体" w:eastAsia="仿宋_GB2312" w:cs="宋体"/>
          <w:spacing w:val="8"/>
          <w:kern w:val="0"/>
          <w:sz w:val="32"/>
          <w:szCs w:val="32"/>
        </w:rPr>
        <w:t>0</w:t>
      </w:r>
      <w:r>
        <w:rPr>
          <w:rFonts w:hint="eastAsia" w:ascii="仿宋_GB2312" w:hAnsi="宋体" w:eastAsia="仿宋_GB2312" w:cs="宋体"/>
          <w:spacing w:val="8"/>
          <w:kern w:val="0"/>
          <w:sz w:val="32"/>
          <w:szCs w:val="32"/>
        </w:rPr>
        <w:t>元。</w:t>
      </w:r>
    </w:p>
    <w:sectPr>
      <w:footerReference r:id="rId3" w:type="default"/>
      <w:pgSz w:w="11906" w:h="16838"/>
      <w:pgMar w:top="2098" w:right="1474" w:bottom="1984" w:left="1587"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8FBF937"/>
    <w:multiLevelType w:val="singleLevel"/>
    <w:tmpl w:val="F8FBF9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255B57"/>
    <w:rsid w:val="00053CDB"/>
    <w:rsid w:val="000E0E62"/>
    <w:rsid w:val="00111A00"/>
    <w:rsid w:val="0017594F"/>
    <w:rsid w:val="00210321"/>
    <w:rsid w:val="004C6D6B"/>
    <w:rsid w:val="006454DE"/>
    <w:rsid w:val="007F5434"/>
    <w:rsid w:val="00845008"/>
    <w:rsid w:val="00851F16"/>
    <w:rsid w:val="00855794"/>
    <w:rsid w:val="009A2346"/>
    <w:rsid w:val="00A40828"/>
    <w:rsid w:val="00A63CAD"/>
    <w:rsid w:val="00B120B8"/>
    <w:rsid w:val="00B41ABA"/>
    <w:rsid w:val="00C6169A"/>
    <w:rsid w:val="00C70ED7"/>
    <w:rsid w:val="00C761C9"/>
    <w:rsid w:val="00CB6D5F"/>
    <w:rsid w:val="00D3608F"/>
    <w:rsid w:val="00DD5AB2"/>
    <w:rsid w:val="00DE21D0"/>
    <w:rsid w:val="00E804B7"/>
    <w:rsid w:val="00F729AE"/>
    <w:rsid w:val="010F5CB0"/>
    <w:rsid w:val="020E7372"/>
    <w:rsid w:val="037D5E10"/>
    <w:rsid w:val="04D1276B"/>
    <w:rsid w:val="07F813C7"/>
    <w:rsid w:val="0A826F96"/>
    <w:rsid w:val="0CBB1A54"/>
    <w:rsid w:val="0E7E0858"/>
    <w:rsid w:val="14470F9D"/>
    <w:rsid w:val="14A17984"/>
    <w:rsid w:val="157214B0"/>
    <w:rsid w:val="17217E52"/>
    <w:rsid w:val="19D73DAC"/>
    <w:rsid w:val="1E3F1448"/>
    <w:rsid w:val="247B746E"/>
    <w:rsid w:val="27470A1C"/>
    <w:rsid w:val="29AE54B9"/>
    <w:rsid w:val="2CA6446F"/>
    <w:rsid w:val="2CEB6771"/>
    <w:rsid w:val="2EF6189F"/>
    <w:rsid w:val="30FB3D2A"/>
    <w:rsid w:val="32F87D28"/>
    <w:rsid w:val="38780662"/>
    <w:rsid w:val="3D255B57"/>
    <w:rsid w:val="425B2749"/>
    <w:rsid w:val="461D7D66"/>
    <w:rsid w:val="4C074CEF"/>
    <w:rsid w:val="532D35BF"/>
    <w:rsid w:val="55CC51C1"/>
    <w:rsid w:val="575437DF"/>
    <w:rsid w:val="5AFA3E4F"/>
    <w:rsid w:val="5DA9301B"/>
    <w:rsid w:val="5DED1905"/>
    <w:rsid w:val="5E282F0F"/>
    <w:rsid w:val="5E7231FE"/>
    <w:rsid w:val="62AD78B3"/>
    <w:rsid w:val="65A63F93"/>
    <w:rsid w:val="666138CB"/>
    <w:rsid w:val="6CEB6ECC"/>
    <w:rsid w:val="74064D96"/>
    <w:rsid w:val="780218A6"/>
    <w:rsid w:val="78620CDA"/>
    <w:rsid w:val="7C640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3"/>
    <w:qFormat/>
    <w:uiPriority w:val="0"/>
    <w:rPr>
      <w:rFonts w:ascii="宋体" w:hAnsi="Courier New"/>
    </w:rPr>
  </w:style>
  <w:style w:type="paragraph" w:styleId="3">
    <w:name w:val="annotation text"/>
    <w:basedOn w:val="1"/>
    <w:link w:val="14"/>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rPr>
  </w:style>
  <w:style w:type="paragraph" w:styleId="6">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7">
    <w:name w:val="Normal (Web)"/>
    <w:basedOn w:val="1"/>
    <w:unhideWhenUsed/>
    <w:qFormat/>
    <w:uiPriority w:val="99"/>
    <w:pPr>
      <w:widowControl/>
      <w:spacing w:before="100" w:beforeAutospacing="1" w:after="100" w:afterAutospacing="1"/>
      <w:jc w:val="left"/>
    </w:pPr>
    <w:rPr>
      <w:rFonts w:hint="eastAsia" w:ascii="宋体" w:hAnsi="宋体" w:cs="宋体"/>
      <w:color w:val="000000"/>
      <w:kern w:val="0"/>
      <w:sz w:val="24"/>
    </w:rPr>
  </w:style>
  <w:style w:type="paragraph" w:styleId="8">
    <w:name w:val="annotation subject"/>
    <w:basedOn w:val="3"/>
    <w:next w:val="3"/>
    <w:link w:val="15"/>
    <w:qFormat/>
    <w:uiPriority w:val="0"/>
    <w:rPr>
      <w:b/>
      <w:bCs/>
    </w:rPr>
  </w:style>
  <w:style w:type="character" w:styleId="11">
    <w:name w:val="Hyperlink"/>
    <w:basedOn w:val="10"/>
    <w:qFormat/>
    <w:uiPriority w:val="0"/>
    <w:rPr>
      <w:color w:val="000000"/>
      <w:u w:val="none"/>
    </w:rPr>
  </w:style>
  <w:style w:type="character" w:styleId="12">
    <w:name w:val="annotation reference"/>
    <w:basedOn w:val="10"/>
    <w:uiPriority w:val="0"/>
    <w:rPr>
      <w:sz w:val="21"/>
      <w:szCs w:val="21"/>
    </w:rPr>
  </w:style>
  <w:style w:type="character" w:customStyle="1" w:styleId="13">
    <w:name w:val="纯文本 字符"/>
    <w:basedOn w:val="10"/>
    <w:link w:val="2"/>
    <w:qFormat/>
    <w:uiPriority w:val="0"/>
    <w:rPr>
      <w:rFonts w:ascii="宋体" w:hAnsi="Courier New"/>
      <w:kern w:val="2"/>
      <w:sz w:val="21"/>
      <w:szCs w:val="24"/>
    </w:rPr>
  </w:style>
  <w:style w:type="character" w:customStyle="1" w:styleId="14">
    <w:name w:val="批注文字 字符"/>
    <w:basedOn w:val="10"/>
    <w:link w:val="3"/>
    <w:qFormat/>
    <w:uiPriority w:val="0"/>
    <w:rPr>
      <w:rFonts w:ascii="Calibri" w:hAnsi="Calibri"/>
      <w:kern w:val="2"/>
      <w:sz w:val="21"/>
      <w:szCs w:val="24"/>
    </w:rPr>
  </w:style>
  <w:style w:type="character" w:customStyle="1" w:styleId="15">
    <w:name w:val="批注主题 字符"/>
    <w:basedOn w:val="14"/>
    <w:link w:val="8"/>
    <w:qFormat/>
    <w:uiPriority w:val="0"/>
    <w:rPr>
      <w:rFonts w:ascii="Calibri" w:hAnsi="Calibr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351</Words>
  <Characters>2005</Characters>
  <Lines>16</Lines>
  <Paragraphs>4</Paragraphs>
  <TotalTime>7</TotalTime>
  <ScaleCrop>false</ScaleCrop>
  <LinksUpToDate>false</LinksUpToDate>
  <CharactersWithSpaces>2352</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2021-12-22T08:05:00Z</dcterms:created>
  <dc:creator>一米阳光66</dc:creator>
  <cp:lastModifiedBy>77152</cp:lastModifiedBy>
  <cp:lastPrinted>2019-12-12T01:52:00Z</cp:lastPrinted>
  <dcterms:modified xsi:type="dcterms:W3CDTF">2022-01-20T02:17:21Z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C042122DCD4A412AAE7DFBC2A0848131</vt:lpwstr>
  </property>
</Properties>
</file>