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北京市通州区张家湾镇人民政府2021年</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spacing w:line="560" w:lineRule="exact"/>
        <w:jc w:val="center"/>
        <w:rPr>
          <w:sz w:val="44"/>
          <w:szCs w:val="44"/>
        </w:rPr>
      </w:pPr>
    </w:p>
    <w:p>
      <w:pPr>
        <w:widowControl/>
        <w:spacing w:line="560" w:lineRule="exact"/>
        <w:jc w:val="left"/>
        <w:rPr>
          <w:rFonts w:ascii="仿宋_GB2312" w:hAnsi="仿宋_GB2312" w:eastAsia="仿宋_GB2312" w:cs="仿宋_GB2312"/>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仿宋_GB2312" w:eastAsia="仿宋_GB2312" w:cs="仿宋_GB2312"/>
          <w:spacing w:val="8"/>
          <w:kern w:val="0"/>
          <w:sz w:val="32"/>
          <w:szCs w:val="32"/>
        </w:rPr>
        <w:t>依据《中华人民共和国政府信息公开条例》(以下简称《政府信息公开条例》)第五十条规定，编制本报告。</w:t>
      </w:r>
    </w:p>
    <w:p>
      <w:pPr>
        <w:widowControl/>
        <w:numPr>
          <w:ilvl w:val="0"/>
          <w:numId w:val="1"/>
        </w:numPr>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总体情况</w:t>
      </w:r>
    </w:p>
    <w:p>
      <w:pPr>
        <w:pStyle w:val="2"/>
        <w:spacing w:line="560" w:lineRule="exact"/>
        <w:rPr>
          <w:rFonts w:ascii="仿宋_GB2312" w:hAnsi="仿宋_GB2312" w:eastAsia="仿宋_GB2312" w:cs="仿宋_GB2312"/>
          <w:sz w:val="32"/>
          <w:szCs w:val="32"/>
        </w:rPr>
      </w:pPr>
      <w:r>
        <w:rPr>
          <w:rFonts w:hint="eastAsia"/>
        </w:rPr>
        <w:t xml:space="preserve">      </w:t>
      </w:r>
      <w:r>
        <w:rPr>
          <w:rFonts w:hint="eastAsia" w:ascii="仿宋_GB2312" w:hAnsi="仿宋_GB2312" w:eastAsia="仿宋_GB2312" w:cs="仿宋_GB2312"/>
          <w:sz w:val="32"/>
          <w:szCs w:val="32"/>
        </w:rPr>
        <w:t>2021年，我镇结合《通州区2021年政务公开工作要点》，认真贯彻落实区政府文件要求，从组织领导、机制构建、人员分工等方面扎实推进主动公开和依申请公开等相关工作，充分保证依法公开政务活动及其信息，扩大公众参与。现向社会公布潞城镇2020年度政府信息公开工作年度报告。</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1.强化组织领导，健全信息公开工作机制。为进一步</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做好政府信息公开工作，镇政府不断建立健全信息公开工作机制。通过“公开前审查+公开后监督”的闭环管理机制，充分保证政府信息的准确性。业务科室对重点领域信息的公开内容要层层把关，严格审查；法律顾问发挥好参谋助手作用，不断优化工作机制和流程。</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明确分工，分渠道规范政府信息管理。宣传部负责新媒体领域的政府信息公开，统筹做好包括政府信息公开、网站建设、微博微信运作维护、舆情观测与应对在内的各项工作。综合办公室结合政府信息主动公开全清单及年度工作要点，及时更新政策文件、工作动态、人事任免等公开目录的内容。充分发挥法律顾问在依申请公开工作的规范化指导作用，妥善处理各类依申请公开内容，切实保障人民群众的知情权。</w:t>
      </w:r>
    </w:p>
    <w:p>
      <w:pPr>
        <w:numPr>
          <w:ilvl w:val="0"/>
          <w:numId w:val="2"/>
        </w:numPr>
        <w:spacing w:line="560" w:lineRule="exact"/>
        <w:ind w:firstLine="640" w:firstLineChars="200"/>
        <w:rPr>
          <w:rFonts w:hint="eastAsia" w:ascii="黑体" w:hAnsi="黑体" w:eastAsia="黑体" w:cs="黑体"/>
          <w:sz w:val="32"/>
          <w:szCs w:val="32"/>
        </w:rPr>
      </w:pPr>
      <w:bookmarkStart w:id="0" w:name="_GoBack"/>
      <w:r>
        <w:rPr>
          <w:rFonts w:hint="eastAsia" w:ascii="黑体" w:hAnsi="黑体" w:eastAsia="黑体" w:cs="黑体"/>
          <w:sz w:val="32"/>
          <w:szCs w:val="32"/>
        </w:rPr>
        <w:t>主动公开政府信息情况</w:t>
      </w:r>
    </w:p>
    <w:bookmarkEnd w:id="0"/>
    <w:p>
      <w:pPr>
        <w:pStyle w:val="2"/>
      </w:pP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1</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lang w:bidi="ar"/>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323</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sz w:val="24"/>
              </w:rPr>
            </w:pPr>
            <w:r>
              <w:rPr>
                <w:rFonts w:hint="eastAsia" w:ascii="宋体"/>
                <w:sz w:val="24"/>
              </w:rPr>
              <w:t>0</w:t>
            </w:r>
          </w:p>
        </w:tc>
      </w:tr>
    </w:tbl>
    <w:p>
      <w:pPr>
        <w:pStyle w:val="2"/>
      </w:pPr>
    </w:p>
    <w:p>
      <w:pPr>
        <w:numPr>
          <w:ilvl w:val="0"/>
          <w:numId w:val="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收到和处理政府信息公开申请情况</w:t>
      </w:r>
    </w:p>
    <w:p>
      <w:pPr>
        <w:pStyle w:val="4"/>
        <w:shd w:val="clear" w:color="auto" w:fill="FFFFFF"/>
        <w:spacing w:before="0" w:beforeAutospacing="0" w:after="0" w:afterAutospacing="0"/>
        <w:ind w:firstLine="420"/>
        <w:jc w:val="both"/>
        <w:rPr>
          <w:rFonts w:hint="default"/>
          <w:color w:val="333333"/>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6"/>
        <w:gridCol w:w="943"/>
        <w:gridCol w:w="3217"/>
        <w:gridCol w:w="691"/>
        <w:gridCol w:w="688"/>
        <w:gridCol w:w="688"/>
        <w:gridCol w:w="688"/>
        <w:gridCol w:w="688"/>
        <w:gridCol w:w="688"/>
        <w:gridCol w:w="6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822"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91"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91"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91"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91"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38</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7</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45</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8</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8</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0"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22</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4</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1"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val="en-US" w:eastAsia="zh-CN" w:bidi="ar"/>
              </w:rPr>
              <w:t>26</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0"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ascii="楷体" w:hAnsi="楷体" w:eastAsia="楷体" w:cs="楷体"/>
                <w:kern w:val="0"/>
                <w:sz w:val="20"/>
                <w:szCs w:val="20"/>
                <w:lang w:bidi="ar"/>
              </w:rPr>
              <w:t>（区分处理的，只计这一情形，不计其他情形）</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rPr>
                <w:rFonts w:hint="eastAsia" w:eastAsia="宋体"/>
                <w:lang w:eastAsia="zh-CN"/>
              </w:rPr>
            </w:pPr>
            <w:r>
              <w:rPr>
                <w:rFonts w:hint="eastAsia" w:cs="Calibri"/>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1.属于国家秘密</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2.其他法律行政法规禁止公开</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3.危及“三安全一稳定”</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4.保护第三方合法权益</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5.属于三类内部事务信息</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6.属于四类过程性信息</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7.属于行政执法案卷</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8.属于行政查询事项</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1.本机关不掌握相关政府信息</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18</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3</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rPr>
                <w:rFonts w:hint="default" w:eastAsia="宋体"/>
                <w:lang w:val="en-US" w:eastAsia="zh-CN"/>
              </w:rPr>
            </w:pPr>
            <w:r>
              <w:rPr>
                <w:rFonts w:cs="Calibri"/>
                <w:kern w:val="0"/>
                <w:sz w:val="20"/>
                <w:szCs w:val="20"/>
                <w:lang w:bidi="ar"/>
              </w:rPr>
              <w:t> </w:t>
            </w:r>
            <w:r>
              <w:rPr>
                <w:rFonts w:hint="eastAsia" w:cs="Calibri"/>
                <w:kern w:val="0"/>
                <w:sz w:val="20"/>
                <w:szCs w:val="20"/>
                <w:lang w:val="en-US" w:eastAsia="zh-CN" w:bidi="ar"/>
              </w:rPr>
              <w:t>21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2.没有现成信息需要另行制作</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3.补正后申请内容仍不明确</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1.信访举报投诉类申请</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2.重复申请</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3.要求提供公开出版物</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4.无正当理由大量反复申请</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17" w:type="dxa"/>
            <w:tcBorders>
              <w:top w:val="nil"/>
              <w:left w:val="nil"/>
              <w:bottom w:val="out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91" w:type="dxa"/>
            <w:tcBorders>
              <w:top w:val="nil"/>
              <w:left w:val="nil"/>
              <w:bottom w:val="outset"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outset"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outset"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1" w:hRule="atLeast"/>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17"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rPr>
                <w:rFonts w:cs="Calibri"/>
                <w:kern w:val="0"/>
                <w:sz w:val="20"/>
                <w:szCs w:val="20"/>
                <w:lang w:bidi="ar"/>
              </w:rPr>
            </w:pPr>
          </w:p>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6" w:hRule="atLeast"/>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rPr>
                <w:rFonts w:cs="Calibri"/>
                <w:kern w:val="0"/>
                <w:sz w:val="20"/>
                <w:szCs w:val="20"/>
                <w:lang w:bidi="ar"/>
              </w:rPr>
            </w:pPr>
          </w:p>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7" w:hRule="atLeast"/>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0"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44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7</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51</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0" w:type="auto"/>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2</w:t>
            </w:r>
          </w:p>
        </w:tc>
        <w:tc>
          <w:tcPr>
            <w:tcW w:w="688" w:type="dxa"/>
            <w:tcBorders>
              <w:top w:val="outset" w:color="auto" w:sz="6" w:space="0"/>
              <w:left w:val="nil"/>
              <w:bottom w:val="outset" w:color="auto" w:sz="6" w:space="0"/>
              <w:right w:val="outset" w:color="auto" w:sz="6" w:space="0"/>
            </w:tcBorders>
            <w:vAlign w:val="center"/>
          </w:tcPr>
          <w:p>
            <w:pPr>
              <w:ind w:firstLine="240" w:firstLineChars="100"/>
              <w:rPr>
                <w:rFonts w:ascii="宋体"/>
                <w:sz w:val="24"/>
              </w:rPr>
            </w:pPr>
            <w:r>
              <w:rPr>
                <w:rFonts w:hint="eastAsia" w:ascii="宋体"/>
                <w:sz w:val="24"/>
              </w:rPr>
              <w:t>0</w:t>
            </w:r>
          </w:p>
        </w:tc>
        <w:tc>
          <w:tcPr>
            <w:tcW w:w="688" w:type="dxa"/>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2</w:t>
            </w:r>
          </w:p>
        </w:tc>
      </w:tr>
    </w:tbl>
    <w:p>
      <w:pPr>
        <w:pStyle w:val="2"/>
        <w:ind w:left="420" w:leftChars="200"/>
      </w:pPr>
    </w:p>
    <w:p>
      <w:pPr>
        <w:pStyle w:val="2"/>
        <w:ind w:left="420" w:left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cs="宋体"/>
                <w:kern w:val="0"/>
                <w:sz w:val="20"/>
                <w:szCs w:val="20"/>
                <w:lang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cs="宋体"/>
                <w:kern w:val="0"/>
                <w:sz w:val="20"/>
                <w:szCs w:val="20"/>
                <w:lang w:bidi="ar"/>
              </w:rPr>
            </w:pPr>
            <w:r>
              <w:rPr>
                <w:rFonts w:hint="eastAsia" w:ascii="宋体" w:hAnsi="宋体" w:cs="宋体"/>
                <w:kern w:val="0"/>
                <w:sz w:val="20"/>
                <w:szCs w:val="20"/>
                <w:lang w:bidi="ar"/>
              </w:rPr>
              <w:t>其他</w:t>
            </w:r>
          </w:p>
          <w:p>
            <w:pPr>
              <w:widowControl/>
              <w:jc w:val="center"/>
            </w:pPr>
            <w:r>
              <w:rPr>
                <w:rFonts w:hint="eastAsia" w:ascii="宋体" w:hAnsi="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cs="宋体"/>
                <w:kern w:val="0"/>
                <w:sz w:val="20"/>
                <w:szCs w:val="20"/>
                <w:lang w:bidi="ar"/>
              </w:rPr>
            </w:pPr>
            <w:r>
              <w:rPr>
                <w:rFonts w:hint="eastAsia" w:ascii="宋体" w:hAnsi="宋体" w:cs="宋体"/>
                <w:kern w:val="0"/>
                <w:sz w:val="20"/>
                <w:szCs w:val="20"/>
                <w:lang w:bidi="ar"/>
              </w:rPr>
              <w:t>尚未</w:t>
            </w:r>
          </w:p>
          <w:p>
            <w:pPr>
              <w:widowControl/>
              <w:jc w:val="center"/>
            </w:pPr>
            <w:r>
              <w:rPr>
                <w:rFonts w:hint="eastAsia" w:ascii="宋体" w:hAnsi="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kern w:val="0"/>
                <w:sz w:val="20"/>
                <w:szCs w:val="20"/>
                <w:lang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kern w:val="0"/>
                <w:sz w:val="20"/>
                <w:szCs w:val="20"/>
                <w:lang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kern w:val="0"/>
                <w:sz w:val="20"/>
                <w:szCs w:val="20"/>
                <w:lang w:bidi="ar"/>
              </w:rPr>
            </w:pPr>
            <w:r>
              <w:rPr>
                <w:rFonts w:hint="eastAsia" w:ascii="宋体" w:hAnsi="宋体" w:cs="宋体"/>
                <w:kern w:val="0"/>
                <w:sz w:val="20"/>
                <w:szCs w:val="20"/>
                <w:lang w:bidi="ar"/>
              </w:rPr>
              <w:t>其他</w:t>
            </w:r>
          </w:p>
          <w:p>
            <w:pPr>
              <w:widowControl/>
              <w:jc w:val="center"/>
            </w:pPr>
            <w:r>
              <w:rPr>
                <w:rFonts w:hint="eastAsia" w:ascii="宋体" w:hAnsi="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kern w:val="0"/>
                <w:sz w:val="20"/>
                <w:szCs w:val="20"/>
                <w:lang w:bidi="ar"/>
              </w:rPr>
            </w:pPr>
            <w:r>
              <w:rPr>
                <w:rFonts w:hint="eastAsia" w:ascii="宋体" w:hAnsi="宋体" w:cs="宋体"/>
                <w:kern w:val="0"/>
                <w:sz w:val="20"/>
                <w:szCs w:val="20"/>
                <w:lang w:bidi="ar"/>
              </w:rPr>
              <w:t>尚未</w:t>
            </w:r>
          </w:p>
          <w:p>
            <w:pPr>
              <w:widowControl/>
              <w:jc w:val="center"/>
            </w:pP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kern w:val="0"/>
                <w:sz w:val="20"/>
                <w:szCs w:val="20"/>
                <w:lang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kern w:val="0"/>
                <w:sz w:val="20"/>
                <w:szCs w:val="20"/>
                <w:lang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其他</w:t>
            </w:r>
          </w:p>
          <w:p>
            <w:pPr>
              <w:widowControl/>
              <w:jc w:val="center"/>
            </w:pPr>
            <w:r>
              <w:rPr>
                <w:rFonts w:hint="eastAsia" w:ascii="宋体" w:hAnsi="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kern w:val="0"/>
                <w:sz w:val="20"/>
                <w:szCs w:val="20"/>
                <w:lang w:bidi="ar"/>
              </w:rPr>
            </w:pPr>
            <w:r>
              <w:rPr>
                <w:rFonts w:hint="eastAsia" w:ascii="宋体" w:hAnsi="宋体" w:cs="宋体"/>
                <w:kern w:val="0"/>
                <w:sz w:val="20"/>
                <w:szCs w:val="20"/>
                <w:lang w:bidi="ar"/>
              </w:rPr>
              <w:t>尚未</w:t>
            </w:r>
          </w:p>
          <w:p>
            <w:pPr>
              <w:widowControl/>
              <w:jc w:val="center"/>
            </w:pP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1</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1</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2</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r>
              <w:rPr>
                <w:rFonts w:hint="eastAsia" w:ascii="宋体"/>
                <w:sz w:val="24"/>
              </w:rPr>
              <w:t>0</w:t>
            </w:r>
          </w:p>
        </w:tc>
      </w:tr>
    </w:tbl>
    <w:p>
      <w:pPr>
        <w:widowControl/>
        <w:jc w:val="left"/>
      </w:pP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五、存在的主要问题及改进情况</w:t>
      </w:r>
    </w:p>
    <w:p>
      <w:pPr>
        <w:pStyle w:val="4"/>
        <w:shd w:val="clear" w:color="auto" w:fill="FFFFFF"/>
        <w:spacing w:before="0" w:beforeAutospacing="0" w:after="0" w:afterAutospacing="0" w:line="560" w:lineRule="exact"/>
        <w:ind w:firstLine="640"/>
        <w:jc w:val="both"/>
        <w:rPr>
          <w:rFonts w:hint="default" w:ascii="仿宋_GB2312" w:hAnsi="仿宋_GB2312" w:eastAsia="仿宋_GB2312" w:cs="仿宋_GB2312"/>
          <w:sz w:val="32"/>
          <w:szCs w:val="32"/>
        </w:rPr>
      </w:pPr>
      <w:r>
        <w:t xml:space="preserve"> </w:t>
      </w:r>
      <w:r>
        <w:rPr>
          <w:rFonts w:ascii="仿宋_GB2312" w:hAnsi="仿宋_GB2312" w:eastAsia="仿宋_GB2312" w:cs="仿宋_GB2312"/>
          <w:sz w:val="32"/>
          <w:szCs w:val="32"/>
        </w:rPr>
        <w:t>2021年政府信息公开申请呈现出了数量多、内容繁杂、历史遗留问题多等特点，依申请公开的数量和特点一定程度上反映出镇政府作出行政行为的过程中对于相关信息的公开度不够，内容不够全面等问题，下一年度我镇将从以下几个方面继续完善政府信息公开工作。</w:t>
      </w:r>
    </w:p>
    <w:p>
      <w:pPr>
        <w:pStyle w:val="4"/>
        <w:shd w:val="clear" w:color="auto" w:fill="FFFFFF"/>
        <w:spacing w:before="0" w:beforeAutospacing="0" w:after="0" w:afterAutospacing="0" w:line="560" w:lineRule="exact"/>
        <w:ind w:firstLine="64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1.增加政府信息公开工作人员数量，加强队伍建设。北京城市副中心建设不断深化、细化，对通州区各乡镇政府信息公开工作提出了更高更新的要求。通过法律顾问的专业指导，提高政府信息公开队伍的专业化、法治化水平，在充分保障公众参与的基础上，减少因工作不严谨、缺乏法律依据等引发的信息公开诉讼或复议。</w:t>
      </w:r>
    </w:p>
    <w:p>
      <w:pPr>
        <w:pStyle w:val="4"/>
        <w:shd w:val="clear" w:color="auto" w:fill="FFFFFF"/>
        <w:spacing w:before="0" w:beforeAutospacing="0" w:after="0" w:afterAutospacing="0" w:line="560" w:lineRule="exact"/>
        <w:ind w:firstLine="64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2.开展各科室综合培训，把档案管理和信息公开工作紧密结合。政府信息的检索工作以完备的档案管理为基础，以公开为原则，以不公开为例外。通过档案管理培训、政府信息公开工作流程培训等，各业务科室充分做好牵头制定的方案、细则等文件的归档管理，同时，约束腾退项目服务管理公司做好被腾退人资料的整理、归档。</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jc w:val="left"/>
        <w:rPr>
          <w:rFonts w:ascii="仿宋_GB2312" w:hAnsi="宋体" w:cs="宋体"/>
          <w:color w:val="9BC2E6"/>
          <w:spacing w:val="8"/>
          <w:kern w:val="0"/>
          <w:sz w:val="32"/>
          <w:szCs w:val="32"/>
        </w:rPr>
      </w:pPr>
      <w:r>
        <w:rPr>
          <w:rFonts w:ascii="宋体" w:hAnsi="宋体" w:cs="宋体"/>
          <w:spacing w:val="8"/>
          <w:kern w:val="0"/>
          <w:sz w:val="32"/>
          <w:szCs w:val="32"/>
        </w:rPr>
        <w:t>　　</w:t>
      </w:r>
      <w:r>
        <w:rPr>
          <w:rFonts w:hint="eastAsia" w:ascii="仿宋_GB2312" w:hAnsi="仿宋_GB2312" w:eastAsia="仿宋_GB2312" w:cs="仿宋_GB2312"/>
          <w:sz w:val="32"/>
          <w:szCs w:val="32"/>
        </w:rPr>
        <w:t>本单位依据《政府信息公开信息处理费管理办法》收取信息处理费，2021年发出收费通知的件数</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件，总金额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元。实际收取的总金额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w:t>
      </w:r>
    </w:p>
    <w:p>
      <w:pPr>
        <w:spacing w:line="560" w:lineRule="exact"/>
      </w:pPr>
    </w:p>
    <w:p>
      <w:pPr>
        <w:spacing w:line="560" w:lineRule="exact"/>
      </w:pPr>
    </w:p>
    <w:p>
      <w:pPr>
        <w:spacing w:line="560" w:lineRule="exact"/>
      </w:pPr>
    </w:p>
    <w:p>
      <w:pPr>
        <w:pStyle w:val="2"/>
        <w:spacing w:line="560" w:lineRule="exact"/>
      </w:pPr>
    </w:p>
    <w:p>
      <w:pPr>
        <w:pStyle w:val="2"/>
      </w:pPr>
    </w:p>
    <w:p>
      <w:pPr>
        <w:pStyle w:val="2"/>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3E820B"/>
    <w:multiLevelType w:val="singleLevel"/>
    <w:tmpl w:val="D93E820B"/>
    <w:lvl w:ilvl="0" w:tentative="0">
      <w:start w:val="1"/>
      <w:numFmt w:val="chineseCounting"/>
      <w:suff w:val="nothing"/>
      <w:lvlText w:val="%1、"/>
      <w:lvlJc w:val="left"/>
      <w:rPr>
        <w:rFonts w:hint="eastAsia"/>
      </w:rPr>
    </w:lvl>
  </w:abstractNum>
  <w:abstractNum w:abstractNumId="1">
    <w:nsid w:val="F8FBF937"/>
    <w:multiLevelType w:val="singleLevel"/>
    <w:tmpl w:val="F8FBF93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3458E"/>
    <w:rsid w:val="006936AD"/>
    <w:rsid w:val="00A52B08"/>
    <w:rsid w:val="00EE5370"/>
    <w:rsid w:val="06767977"/>
    <w:rsid w:val="09502CA9"/>
    <w:rsid w:val="14854EEF"/>
    <w:rsid w:val="1EB71856"/>
    <w:rsid w:val="262010F0"/>
    <w:rsid w:val="2ED50566"/>
    <w:rsid w:val="32737144"/>
    <w:rsid w:val="387D67DD"/>
    <w:rsid w:val="3883458E"/>
    <w:rsid w:val="3E5C400E"/>
    <w:rsid w:val="548A2DB9"/>
    <w:rsid w:val="575A7E01"/>
    <w:rsid w:val="5D746599"/>
    <w:rsid w:val="652939D2"/>
    <w:rsid w:val="67EC45A0"/>
    <w:rsid w:val="72113EAF"/>
    <w:rsid w:val="7D807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text"/>
    <w:basedOn w:val="1"/>
    <w:link w:val="9"/>
    <w:qFormat/>
    <w:uiPriority w:val="0"/>
    <w:pPr>
      <w:jc w:val="left"/>
    </w:pPr>
  </w:style>
  <w:style w:type="paragraph" w:styleId="4">
    <w:name w:val="Normal (Web)"/>
    <w:basedOn w:val="1"/>
    <w:unhideWhenUsed/>
    <w:qFormat/>
    <w:uiPriority w:val="99"/>
    <w:pPr>
      <w:widowControl/>
      <w:spacing w:before="100" w:beforeAutospacing="1" w:after="100" w:afterAutospacing="1"/>
      <w:jc w:val="left"/>
    </w:pPr>
    <w:rPr>
      <w:rFonts w:hint="eastAsia" w:ascii="宋体" w:hAnsi="宋体" w:cs="宋体"/>
      <w:color w:val="000000"/>
      <w:kern w:val="0"/>
      <w:sz w:val="24"/>
    </w:rPr>
  </w:style>
  <w:style w:type="paragraph" w:styleId="5">
    <w:name w:val="annotation subject"/>
    <w:basedOn w:val="3"/>
    <w:next w:val="3"/>
    <w:link w:val="10"/>
    <w:qFormat/>
    <w:uiPriority w:val="0"/>
    <w:rPr>
      <w:b/>
      <w:bCs/>
    </w:rPr>
  </w:style>
  <w:style w:type="character" w:styleId="8">
    <w:name w:val="annotation reference"/>
    <w:basedOn w:val="7"/>
    <w:qFormat/>
    <w:uiPriority w:val="0"/>
    <w:rPr>
      <w:sz w:val="21"/>
      <w:szCs w:val="21"/>
    </w:rPr>
  </w:style>
  <w:style w:type="character" w:customStyle="1" w:styleId="9">
    <w:name w:val="批注文字 字符"/>
    <w:basedOn w:val="7"/>
    <w:link w:val="3"/>
    <w:qFormat/>
    <w:uiPriority w:val="0"/>
    <w:rPr>
      <w:rFonts w:ascii="Calibri" w:hAnsi="Calibri" w:eastAsia="宋体" w:cs="Times New Roman"/>
      <w:kern w:val="2"/>
      <w:sz w:val="21"/>
      <w:szCs w:val="24"/>
    </w:rPr>
  </w:style>
  <w:style w:type="character" w:customStyle="1" w:styleId="10">
    <w:name w:val="批注主题 字符"/>
    <w:basedOn w:val="9"/>
    <w:link w:val="5"/>
    <w:qFormat/>
    <w:uiPriority w:val="0"/>
    <w:rPr>
      <w:rFonts w:ascii="Calibri" w:hAnsi="Calibri" w:eastAsia="宋体" w:cs="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372</Words>
  <Characters>2127</Characters>
  <Lines>17</Lines>
  <Paragraphs>4</Paragraphs>
  <TotalTime>5</TotalTime>
  <ScaleCrop>false</ScaleCrop>
  <LinksUpToDate>false</LinksUpToDate>
  <CharactersWithSpaces>2495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2022-01-06T01:51:00Z</dcterms:created>
  <dc:creator>Administrator</dc:creator>
  <cp:lastModifiedBy>评测</cp:lastModifiedBy>
  <dcterms:modified xsi:type="dcterms:W3CDTF">2022-01-17T08:44:43Z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4E75631661A54E758AADF136F52DF551</vt:lpwstr>
  </property>
</Properties>
</file>