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在区委区政府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领导下，区商务局履职尽责，落实各项工作部署要求，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准确把握新时代政务公开新形势新要求，进一步巩固政务公开成果，不断提升政务公开水平，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积极开展政府信息公开工作。</w:t>
      </w:r>
    </w:p>
    <w:p>
      <w:pPr>
        <w:spacing w:line="560" w:lineRule="exact"/>
        <w:ind w:firstLine="64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组织领导。</w:t>
      </w:r>
      <w:r>
        <w:rPr>
          <w:rFonts w:hint="eastAsia" w:ascii="仿宋_GB2312" w:eastAsia="仿宋_GB2312"/>
          <w:sz w:val="32"/>
          <w:szCs w:val="32"/>
        </w:rPr>
        <w:t>为全面做好我单位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区商务局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高度重视信息公开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管理工作，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持续做好动态更新，推动依法规范履职。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  <w:lang w:eastAsia="zh-CN"/>
        </w:rPr>
        <w:t>成立了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信息公开工作开展小组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和小组领导办公室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，细化任务分工，压实工作责任，负责全局政府信息汇总、管理、发布，确保信息发布及时准确。</w:t>
      </w:r>
    </w:p>
    <w:p>
      <w:pPr>
        <w:widowControl/>
        <w:spacing w:line="560" w:lineRule="exact"/>
        <w:ind w:firstLine="64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二是严格执行主动公开规定。</w:t>
      </w:r>
      <w:r>
        <w:rPr>
          <w:rFonts w:hint="eastAsia" w:ascii="仿宋_GB2312" w:eastAsia="仿宋_GB2312"/>
          <w:sz w:val="32"/>
          <w:szCs w:val="32"/>
          <w:highlight w:val="none"/>
        </w:rPr>
        <w:t>我单位全年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主动公开重要信息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条。其中，部门动态信息发布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涉及粮食价格监测、汽车消费券发放平台企业和参与活动企业的公告等重要事项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预决算公开发布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条，为我单位年度部门预算、结算情况说明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其他公开信息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涉及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通知公告、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政策性文件意见征集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依法做好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依申请公开。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我单位全年办理依申请公开事项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为自然人申请。依照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中华人民共和国政府信息公开条例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》和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《政府信息依申请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公开工作手册》，严格落实公开办理流程，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已全部进行登记并完成回复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政府信息管理。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积极配合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开展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加强政务公开审查清理，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严格落实区政府网站信息发布三级审核制度。主动对接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区政府服务管理局，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确保政务公开网站高质量运行。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 xml:space="preserve">    </w:t>
      </w:r>
    </w:p>
    <w:p>
      <w:pPr>
        <w:widowControl/>
        <w:spacing w:line="560" w:lineRule="exact"/>
        <w:ind w:firstLine="64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政府信息公开平台建设。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根据商务工作实际，我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局积极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参与政务公开平台建设工作，持续提升信息管理效能，强化平台安全防护工作，防范各类网络安全事故发生。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定期遵照相关制度发布商务领域重要公开信息。</w:t>
      </w:r>
    </w:p>
    <w:p>
      <w:pPr>
        <w:widowControl/>
        <w:spacing w:line="560" w:lineRule="exact"/>
        <w:ind w:firstLine="64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六是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深化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教育培训、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监督保障。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严格按照相关要求指定专人负责跟进落实。加强业务培训，确保信息公开准确、及时、规范。严格落实把政务公开纳入年度绩效考核体系的要求，明确责任内容和完成时限。促进信息公开工作水平全面提升。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 w:bidi="ar"/>
        </w:rPr>
        <w:t>2024年我局政府信息公开工作稳步向好，但仍存在部分问题：一是依申请公开服务质量需加强，响应速度和服务水平需进一步提高；二是工作人员专业水平有待提高。针对以上情况，商务局将提升机制体制建设，及时向申请人通报处理进度，并在答复中最大限度提供详细、准确的信息。同时积极参与组织各类专业培训，不断深化工作人员对相关政策和业务知识的学习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  <w:shd w:val="clear" w:color="050000" w:fill="auto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eastAsia="zh-CN"/>
        </w:rPr>
        <w:t xml:space="preserve">依据《政府信息公开信息处理费管理办法》(国办函〔2020〕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050000" w:fill="auto"/>
          <w:lang w:eastAsia="zh-CN"/>
        </w:rPr>
        <w:t>109号)，202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050000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050000" w:fill="auto"/>
          <w:lang w:eastAsia="zh-CN"/>
        </w:rPr>
        <w:t>年度北京市通州区商务局收取信息处理费情况为:发出收费通知的件数为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050000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050000" w:fill="auto"/>
          <w:lang w:eastAsia="zh-CN"/>
        </w:rPr>
        <w:t>件，总金额为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050000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050000" w:fill="auto"/>
          <w:lang w:eastAsia="zh-CN"/>
        </w:rPr>
        <w:t>元，实际收取的总金额为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050000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050000" w:fill="auto"/>
          <w:lang w:eastAsia="zh-CN"/>
        </w:rPr>
        <w:t>元。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  <w:highlight w:val="yellow"/>
        </w:rPr>
      </w:pPr>
    </w:p>
    <w:p/>
    <w:sectPr>
      <w:pgSz w:w="11906" w:h="16838"/>
      <w:pgMar w:top="1701" w:right="1474" w:bottom="1417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B8214"/>
    <w:rsid w:val="76570312"/>
    <w:rsid w:val="FFFBA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List"/>
    <w:basedOn w:val="4"/>
    <w:uiPriority w:val="0"/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abc</dc:creator>
  <cp:lastModifiedBy>user</cp:lastModifiedBy>
  <dcterms:modified xsi:type="dcterms:W3CDTF">2025-01-16T14:18:37Z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19DD198C4894EDE3A99F88671987810F</vt:lpwstr>
  </property>
</Properties>
</file>