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bookmarkStart w:id="0" w:name="_GoBack"/>
      <w:r>
        <w:rPr>
          <w:rFonts w:hint="eastAsia" w:ascii="方正小标宋简体" w:hAnsi="方正小标宋简体" w:eastAsia="方正小标宋简体" w:cs="方正小标宋简体"/>
          <w:sz w:val="44"/>
          <w:szCs w:val="44"/>
          <w:highlight w:val="none"/>
          <w:lang w:eastAsia="zh-CN"/>
        </w:rPr>
        <w:t>北京市通州区人力资源和社会保障局</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年政府信息公开工作年度报告</w:t>
      </w:r>
      <w:bookmarkEnd w:id="0"/>
    </w:p>
    <w:p>
      <w:pPr>
        <w:pStyle w:val="2"/>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r>
        <w:rPr>
          <w:rFonts w:hint="eastAsia" w:ascii="仿宋_GB2312" w:hAnsi="宋体" w:eastAsia="仿宋_GB2312" w:cs="宋体"/>
          <w:spacing w:val="8"/>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总体情况</w:t>
      </w:r>
    </w:p>
    <w:p>
      <w:pPr>
        <w:widowControl/>
        <w:spacing w:line="560" w:lineRule="exact"/>
        <w:jc w:val="left"/>
        <w:rPr>
          <w:rFonts w:hint="eastAsia" w:ascii="仿宋_GB2312" w:hAnsi="宋体" w:eastAsia="仿宋_GB2312" w:cs="宋体"/>
          <w:spacing w:val="8"/>
          <w:kern w:val="0"/>
          <w:sz w:val="32"/>
          <w:szCs w:val="32"/>
          <w:lang w:val="en-US" w:eastAsia="zh-CN"/>
        </w:rPr>
      </w:pPr>
      <w:r>
        <w:rPr>
          <w:rFonts w:hint="eastAsia"/>
          <w:lang w:val="en-US" w:eastAsia="zh-CN"/>
        </w:rPr>
        <w:t xml:space="preserve">       </w:t>
      </w:r>
      <w:r>
        <w:rPr>
          <w:rFonts w:hint="eastAsia" w:ascii="仿宋_GB2312" w:hAnsi="宋体" w:eastAsia="仿宋_GB2312" w:cs="宋体"/>
          <w:spacing w:val="8"/>
          <w:kern w:val="0"/>
          <w:sz w:val="32"/>
          <w:szCs w:val="32"/>
          <w:lang w:val="en-US" w:eastAsia="zh-CN"/>
        </w:rPr>
        <w:t>2024年，我局政府信息公开工作始终以习近平新时代中国特色社会主义思想为指导，在区委区政府的坚强领导下,持续做好政府信息公开工作，不断提升政务公开质量和水平，以公开优服务、以公开提质效、以公开促规范，有力服务和保障副中心人力社保系统发展。</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一）组织领导情况。为确保各项信息公开工作落到实处，成立由主要领导为组长，主管领导为副组长，办公室主任牵头，相关科室负责人为成员的政府信息工作领导小组，安排专人负责信息公开的收集、审核和发布工作，分工明确，落实责任。</w:t>
      </w:r>
    </w:p>
    <w:p>
      <w:pPr>
        <w:widowControl/>
        <w:spacing w:line="560" w:lineRule="exact"/>
        <w:ind w:firstLine="672" w:firstLineChars="200"/>
        <w:jc w:val="left"/>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lang w:val="en-US" w:eastAsia="zh-CN"/>
        </w:rPr>
        <w:t>（二）主动公开及依申请公开情况。2024年1月1日至12月31日，主动公开政府信息466条，</w:t>
      </w:r>
      <w:r>
        <w:rPr>
          <w:rFonts w:hint="eastAsia" w:ascii="仿宋_GB2312" w:hAnsi="宋体" w:eastAsia="仿宋_GB2312" w:cs="宋体"/>
          <w:spacing w:val="8"/>
          <w:kern w:val="0"/>
          <w:sz w:val="32"/>
          <w:szCs w:val="32"/>
          <w:highlight w:val="none"/>
          <w:lang w:val="en-US" w:eastAsia="zh-CN"/>
        </w:rPr>
        <w:t>共受理公民提出的政府信息公开申请8件，均已按期答复。</w:t>
      </w:r>
    </w:p>
    <w:p>
      <w:pPr>
        <w:widowControl/>
        <w:spacing w:line="560" w:lineRule="exact"/>
        <w:ind w:firstLine="672" w:firstLineChars="200"/>
        <w:jc w:val="left"/>
        <w:rPr>
          <w:rFonts w:hint="eastAsia" w:ascii="仿宋_GB2312" w:hAnsi="仿宋_GB2312" w:eastAsia="仿宋_GB2312" w:cs="仿宋_GB2312"/>
          <w:color w:val="000000"/>
          <w:sz w:val="32"/>
          <w:szCs w:val="32"/>
          <w:lang w:eastAsia="zh-CN"/>
        </w:rPr>
      </w:pPr>
      <w:r>
        <w:rPr>
          <w:rFonts w:hint="eastAsia" w:ascii="仿宋_GB2312" w:hAnsi="宋体" w:eastAsia="仿宋_GB2312" w:cs="宋体"/>
          <w:spacing w:val="8"/>
          <w:kern w:val="0"/>
          <w:sz w:val="32"/>
          <w:szCs w:val="32"/>
          <w:lang w:val="en-US" w:eastAsia="zh-CN"/>
        </w:rPr>
        <w:t>（三）政府信息管理及</w:t>
      </w:r>
      <w:r>
        <w:rPr>
          <w:rFonts w:hint="eastAsia" w:ascii="仿宋_GB2312" w:hAnsi="仿宋_GB2312" w:eastAsia="仿宋_GB2312" w:cs="仿宋_GB2312"/>
          <w:color w:val="000000"/>
          <w:sz w:val="32"/>
          <w:szCs w:val="32"/>
        </w:rPr>
        <w:t>公开平台建设</w:t>
      </w:r>
      <w:r>
        <w:rPr>
          <w:rFonts w:hint="eastAsia" w:ascii="仿宋_GB2312" w:hAnsi="仿宋_GB2312" w:eastAsia="仿宋_GB2312" w:cs="仿宋_GB2312"/>
          <w:color w:val="000000"/>
          <w:sz w:val="32"/>
          <w:szCs w:val="32"/>
          <w:lang w:eastAsia="zh-CN"/>
        </w:rPr>
        <w:t>情况。严格</w:t>
      </w:r>
      <w:r>
        <w:rPr>
          <w:rFonts w:hint="eastAsia" w:ascii="仿宋_GB2312" w:hAnsi="仿宋_GB2312" w:eastAsia="仿宋_GB2312" w:cs="仿宋_GB2312"/>
          <w:color w:val="000000"/>
          <w:sz w:val="32"/>
          <w:szCs w:val="32"/>
        </w:rPr>
        <w:t>履行政府信息公开工作职责，贯彻落实《政府信息公开条例》以及区</w:t>
      </w:r>
      <w:r>
        <w:rPr>
          <w:rFonts w:hint="eastAsia" w:ascii="仿宋_GB2312" w:hAnsi="仿宋_GB2312" w:eastAsia="仿宋_GB2312" w:cs="仿宋_GB2312"/>
          <w:color w:val="000000"/>
          <w:sz w:val="32"/>
          <w:szCs w:val="32"/>
          <w:lang w:eastAsia="zh-CN"/>
        </w:rPr>
        <w:t>委、区政府</w:t>
      </w:r>
      <w:r>
        <w:rPr>
          <w:rFonts w:hint="eastAsia" w:ascii="仿宋_GB2312" w:hAnsi="仿宋_GB2312" w:eastAsia="仿宋_GB2312" w:cs="仿宋_GB2312"/>
          <w:color w:val="000000"/>
          <w:sz w:val="32"/>
          <w:szCs w:val="32"/>
        </w:rPr>
        <w:t>关于政府信息公开的各项工作要求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不断拓宽公开渠道，利用局官方微信公众号及报刊等媒体途径，共发布对外信息300</w:t>
      </w:r>
      <w:r>
        <w:rPr>
          <w:rFonts w:hint="eastAsia" w:ascii="仿宋_GB2312" w:hAnsi="宋体" w:eastAsia="仿宋_GB2312" w:cs="宋体"/>
          <w:spacing w:val="8"/>
          <w:kern w:val="0"/>
          <w:sz w:val="32"/>
          <w:szCs w:val="32"/>
          <w:lang w:val="en-US" w:eastAsia="zh-CN"/>
        </w:rPr>
        <w:t>余篇，其中报纸媒体采用刊登248篇，《城市副中心新闻》共采播新闻21期次。官方微信公众号共推送微信共1556条，总阅读量近310万人次。开设私信、文章留言、在线留言3种渠道，24小时内对私信进行有效回复，做好舆情回复和政策解答，共回复私信1400余条，发现舆情隐患5次。</w:t>
      </w:r>
    </w:p>
    <w:p>
      <w:pPr>
        <w:widowControl/>
        <w:spacing w:line="560" w:lineRule="exact"/>
        <w:ind w:firstLine="672" w:firstLineChars="200"/>
        <w:jc w:val="left"/>
        <w:rPr>
          <w:rFonts w:hint="default" w:eastAsiaTheme="minorEastAsia"/>
          <w:lang w:val="en-US" w:eastAsia="zh-CN"/>
        </w:rPr>
      </w:pP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四）</w:t>
      </w:r>
      <w:r>
        <w:rPr>
          <w:rFonts w:hint="eastAsia" w:ascii="仿宋_GB2312" w:hAnsi="仿宋_GB2312" w:eastAsia="仿宋_GB2312" w:cs="仿宋_GB2312"/>
          <w:color w:val="000000"/>
          <w:sz w:val="32"/>
          <w:szCs w:val="32"/>
        </w:rPr>
        <w:t>教育培训</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监督保障</w:t>
      </w:r>
      <w:r>
        <w:rPr>
          <w:rFonts w:hint="eastAsia" w:ascii="仿宋_GB2312" w:hAnsi="仿宋_GB2312" w:eastAsia="仿宋_GB2312" w:cs="仿宋_GB2312"/>
          <w:color w:val="000000"/>
          <w:sz w:val="32"/>
          <w:szCs w:val="32"/>
          <w:lang w:eastAsia="zh-CN"/>
        </w:rPr>
        <w:t>情况。</w:t>
      </w:r>
      <w:r>
        <w:rPr>
          <w:rFonts w:hint="eastAsia" w:ascii="仿宋_GB2312" w:hAnsi="宋体" w:eastAsia="仿宋_GB2312" w:cs="宋体"/>
          <w:spacing w:val="8"/>
          <w:kern w:val="0"/>
          <w:sz w:val="32"/>
          <w:szCs w:val="32"/>
          <w:lang w:val="en-US" w:eastAsia="zh-CN"/>
        </w:rPr>
        <w:t>积极组织各部门、科室骨干人员开展政府信息公开条例》及典型案例政府信息学习，</w:t>
      </w:r>
      <w:r>
        <w:rPr>
          <w:rFonts w:hint="eastAsia" w:ascii="仿宋_GB2312" w:hAnsi="宋体" w:eastAsia="仿宋_GB2312" w:cs="宋体"/>
          <w:spacing w:val="8"/>
          <w:kern w:val="0"/>
          <w:sz w:val="32"/>
          <w:szCs w:val="32"/>
        </w:rPr>
        <w:t>积极参加区信息公开业务培训，提高发布信息、解读政策、回应关切的能力，全面增强政务公开人员的政策理论</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业务水平和能力水平。</w:t>
      </w:r>
      <w:r>
        <w:rPr>
          <w:rFonts w:hint="eastAsia" w:ascii="仿宋_GB2312" w:hAnsi="宋体" w:eastAsia="仿宋_GB2312" w:cs="宋体"/>
          <w:spacing w:val="8"/>
          <w:kern w:val="0"/>
          <w:sz w:val="32"/>
          <w:szCs w:val="32"/>
          <w:lang w:eastAsia="zh-CN"/>
        </w:rPr>
        <w:t>坚决</w:t>
      </w:r>
      <w:r>
        <w:rPr>
          <w:rFonts w:hint="eastAsia" w:ascii="仿宋_GB2312" w:hAnsi="宋体" w:eastAsia="仿宋_GB2312" w:cs="宋体"/>
          <w:spacing w:val="8"/>
          <w:kern w:val="0"/>
          <w:sz w:val="32"/>
          <w:szCs w:val="32"/>
        </w:rPr>
        <w:t>落实政府网站信息内容发布“三审三校”制度，明确审核主体、审核流程，严把政治关、法律关、政策关、保密关、文字关。加大信息公开监督检查力度，对政府信息公开工作定期开展自查</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做到公开内容全面、信息发布准确。</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tbl>
      <w:tblPr>
        <w:tblStyle w:val="9"/>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default"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default" w:eastAsiaTheme="minorEastAsia"/>
                <w:lang w:val="en-US" w:eastAsia="zh-CN"/>
              </w:rPr>
            </w:pPr>
            <w:r>
              <w:rPr>
                <w:rFonts w:hint="eastAsia"/>
                <w:lang w:val="en-US" w:eastAsia="zh-CN"/>
              </w:rPr>
              <w:t>2</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Theme="minorEastAsia"/>
                <w:lang w:val="en-US" w:eastAsia="zh-CN"/>
              </w:rPr>
            </w:pPr>
            <w:r>
              <w:rPr>
                <w:rFonts w:hint="eastAsia" w:ascii="宋体" w:hAnsi="宋体" w:cs="宋体"/>
                <w:color w:val="000000"/>
                <w:kern w:val="0"/>
                <w:sz w:val="20"/>
                <w:szCs w:val="20"/>
                <w:lang w:val="en-US" w:eastAsia="zh-CN" w:bidi="ar"/>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default" w:eastAsiaTheme="minorEastAsia"/>
                <w:lang w:val="en-US" w:eastAsia="zh-CN"/>
              </w:rPr>
            </w:pPr>
            <w:r>
              <w:rPr>
                <w:rFonts w:hint="eastAsia"/>
                <w:lang w:val="en-US" w:eastAsia="zh-CN"/>
              </w:rPr>
              <w:t>4</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default" w:eastAsiaTheme="minorEastAsia"/>
                <w:lang w:val="en-US" w:eastAsia="zh-CN"/>
              </w:rPr>
            </w:pPr>
            <w:r>
              <w:rPr>
                <w:rFonts w:hint="eastAsia" w:ascii="Calibri" w:hAnsi="Calibri" w:cs="Calibri"/>
                <w:kern w:val="0"/>
                <w:szCs w:val="21"/>
                <w:lang w:val="en-US" w:eastAsia="zh-CN" w:bidi="ar"/>
              </w:rPr>
              <w:t>447</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Theme="minorEastAsia"/>
                <w:lang w:val="en-US" w:eastAsia="zh-CN"/>
              </w:rPr>
            </w:pPr>
            <w:r>
              <w:rPr>
                <w:rFonts w:hint="eastAsia" w:ascii="宋体" w:hAnsi="宋体" w:cs="宋体"/>
                <w:color w:val="000000"/>
                <w:kern w:val="0"/>
                <w:sz w:val="20"/>
                <w:szCs w:val="20"/>
                <w:lang w:val="en-US" w:eastAsia="zh-CN" w:bidi="ar"/>
              </w:rPr>
              <w:t>9</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Theme="minorEastAsia"/>
                <w:lang w:val="en-US" w:eastAsia="zh-CN"/>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spacing w:line="560" w:lineRule="exact"/>
              <w:rPr>
                <w:rFonts w:hint="default" w:ascii="宋体" w:eastAsiaTheme="minorEastAsia"/>
                <w:sz w:val="24"/>
                <w:lang w:val="en-US" w:eastAsia="zh-CN"/>
              </w:rPr>
            </w:pPr>
            <w:r>
              <w:rPr>
                <w:rFonts w:hint="eastAsia" w:ascii="宋体" w:hAnsi="宋体" w:cs="宋体"/>
                <w:color w:val="000000"/>
                <w:kern w:val="0"/>
                <w:sz w:val="20"/>
                <w:szCs w:val="20"/>
                <w:lang w:val="en-US" w:eastAsia="zh-CN" w:bidi="ar"/>
              </w:rPr>
              <w:t>9.1</w:t>
            </w:r>
          </w:p>
        </w:tc>
      </w:tr>
    </w:tbl>
    <w:p>
      <w:pPr>
        <w:pStyle w:val="2"/>
        <w:spacing w:line="560" w:lineRule="exact"/>
        <w:rPr>
          <w:rFonts w:hint="eastAsia"/>
        </w:rPr>
      </w:pPr>
    </w:p>
    <w:p>
      <w:pPr>
        <w:numPr>
          <w:ilvl w:val="0"/>
          <w:numId w:val="2"/>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8"/>
        <w:widowControl/>
        <w:shd w:val="clear" w:color="auto" w:fill="FFFFFF"/>
        <w:spacing w:before="0" w:beforeAutospacing="0" w:after="0" w:afterAutospacing="0" w:line="560" w:lineRule="exact"/>
        <w:ind w:firstLine="420"/>
        <w:jc w:val="both"/>
        <w:rPr>
          <w:rFonts w:hint="eastAsia" w:ascii="宋体" w:hAnsi="宋体" w:cs="宋体"/>
          <w:color w:val="333333"/>
        </w:rPr>
      </w:pP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widowControl/>
              <w:spacing w:line="560" w:lineRule="exact"/>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商业</w:t>
            </w:r>
          </w:p>
          <w:p>
            <w:pPr>
              <w:widowControl/>
              <w:spacing w:line="560" w:lineRule="exact"/>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科研</w:t>
            </w:r>
          </w:p>
          <w:p>
            <w:pPr>
              <w:widowControl/>
              <w:spacing w:line="560" w:lineRule="exact"/>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其他</w:t>
            </w:r>
          </w:p>
        </w:tc>
        <w:tc>
          <w:tcPr>
            <w:tcW w:w="689" w:type="dxa"/>
            <w:vMerge w:val="continue"/>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8</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eastAsiaTheme="minorEastAsia"/>
                <w:lang w:val="en-US" w:eastAsia="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pStyle w:val="2"/>
              <w:rPr>
                <w:rFonts w:hint="eastAsia"/>
                <w:lang w:val="en-US" w:eastAsia="zh-CN"/>
              </w:rPr>
            </w:pPr>
          </w:p>
          <w:p>
            <w:pPr>
              <w:pStyle w:val="2"/>
              <w:ind w:firstLine="210" w:firstLineChars="100"/>
            </w:pPr>
            <w:r>
              <w:rPr>
                <w:rFonts w:hint="eastAsia"/>
                <w:lang w:val="en-US" w:eastAsia="zh-CN"/>
              </w:rPr>
              <w:t xml:space="preserve">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lang w:val="en-US" w:eastAsia="zh-CN"/>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4"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single" w:color="auto" w:sz="4" w:space="0"/>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7.属于行政执法案卷</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8</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eastAsia="zh-CN"/>
              </w:rPr>
            </w:pPr>
            <w:r>
              <w:rPr>
                <w:rFonts w:hint="eastAsia" w:ascii="Calibri" w:hAnsi="Calibri" w:cs="Calibri"/>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四、结转下年度继续办理</w:t>
            </w:r>
          </w:p>
        </w:tc>
        <w:tc>
          <w:tcPr>
            <w:tcW w:w="688" w:type="dxa"/>
            <w:tcBorders>
              <w:top w:val="outset" w:color="auto" w:sz="6" w:space="0"/>
              <w:left w:val="single" w:color="auto" w:sz="0" w:space="0"/>
              <w:bottom w:val="outset" w:color="auto" w:sz="6" w:space="0"/>
              <w:right w:val="outset" w:color="auto" w:sz="6" w:space="0"/>
            </w:tcBorders>
            <w:noWrap w:val="0"/>
            <w:vAlign w:val="top"/>
          </w:tcPr>
          <w:p>
            <w:pPr>
              <w:widowControl/>
              <w:spacing w:line="560" w:lineRule="exact"/>
              <w:jc w:val="center"/>
              <w:rPr>
                <w:rFonts w:hint="eastAsia" w:ascii="宋体" w:eastAsiaTheme="minorEastAsia"/>
                <w:sz w:val="24"/>
                <w:lang w:val="en-US" w:eastAsia="zh-CN"/>
              </w:rPr>
            </w:pPr>
            <w:r>
              <w:rPr>
                <w:rFonts w:hint="eastAsia" w:ascii="Calibri" w:hAnsi="Calibri" w:cs="Calibri"/>
                <w:kern w:val="0"/>
                <w:sz w:val="20"/>
                <w:szCs w:val="20"/>
                <w:lang w:val="en-US" w:eastAsia="zh-CN" w:bidi="ar"/>
              </w:rPr>
              <w:t>0</w:t>
            </w:r>
          </w:p>
        </w:tc>
        <w:tc>
          <w:tcPr>
            <w:tcW w:w="688" w:type="dxa"/>
            <w:tcBorders>
              <w:top w:val="outset" w:color="auto" w:sz="6" w:space="0"/>
              <w:left w:val="single" w:color="auto" w:sz="0" w:space="0"/>
              <w:bottom w:val="outset" w:color="auto" w:sz="6" w:space="0"/>
              <w:right w:val="outset" w:color="auto" w:sz="6" w:space="0"/>
            </w:tcBorders>
            <w:noWrap w:val="0"/>
            <w:vAlign w:val="top"/>
          </w:tcPr>
          <w:p>
            <w:pPr>
              <w:widowControl/>
              <w:spacing w:line="560" w:lineRule="exact"/>
              <w:jc w:val="center"/>
              <w:rPr>
                <w:rFonts w:hint="eastAsia" w:ascii="宋体" w:eastAsiaTheme="minorEastAsia"/>
                <w:sz w:val="24"/>
                <w:lang w:val="en-US" w:eastAsia="zh-CN"/>
              </w:rPr>
            </w:pPr>
            <w:r>
              <w:rPr>
                <w:rFonts w:hint="eastAsia" w:ascii="Calibri" w:hAnsi="Calibri" w:cs="Calibri"/>
                <w:kern w:val="0"/>
                <w:sz w:val="20"/>
                <w:szCs w:val="20"/>
                <w:lang w:val="en-US" w:eastAsia="zh-CN" w:bidi="ar"/>
              </w:rPr>
              <w:t>0</w:t>
            </w:r>
          </w:p>
        </w:tc>
        <w:tc>
          <w:tcPr>
            <w:tcW w:w="688" w:type="dxa"/>
            <w:tcBorders>
              <w:top w:val="outset" w:color="auto" w:sz="6" w:space="0"/>
              <w:left w:val="single" w:color="auto" w:sz="0" w:space="0"/>
              <w:bottom w:val="outset" w:color="auto" w:sz="6" w:space="0"/>
              <w:right w:val="outset" w:color="auto" w:sz="6" w:space="0"/>
            </w:tcBorders>
            <w:noWrap w:val="0"/>
            <w:vAlign w:val="top"/>
          </w:tcPr>
          <w:p>
            <w:pPr>
              <w:widowControl/>
              <w:spacing w:line="560" w:lineRule="exact"/>
              <w:jc w:val="center"/>
              <w:rPr>
                <w:rFonts w:hint="eastAsia" w:ascii="宋体" w:eastAsiaTheme="minorEastAsia"/>
                <w:sz w:val="24"/>
                <w:lang w:val="en-US" w:eastAsia="zh-CN"/>
              </w:rPr>
            </w:pPr>
            <w:r>
              <w:rPr>
                <w:rFonts w:hint="eastAsia" w:ascii="Calibri" w:hAnsi="Calibri" w:cs="Calibri"/>
                <w:kern w:val="0"/>
                <w:sz w:val="20"/>
                <w:szCs w:val="20"/>
                <w:lang w:val="en-US" w:eastAsia="zh-CN" w:bidi="ar"/>
              </w:rPr>
              <w:t>0</w:t>
            </w:r>
          </w:p>
        </w:tc>
        <w:tc>
          <w:tcPr>
            <w:tcW w:w="688" w:type="dxa"/>
            <w:tcBorders>
              <w:top w:val="outset" w:color="auto" w:sz="6" w:space="0"/>
              <w:left w:val="single" w:color="auto" w:sz="0" w:space="0"/>
              <w:bottom w:val="outset" w:color="auto" w:sz="6" w:space="0"/>
              <w:right w:val="outset" w:color="auto" w:sz="6" w:space="0"/>
            </w:tcBorders>
            <w:noWrap w:val="0"/>
            <w:vAlign w:val="top"/>
          </w:tcPr>
          <w:p>
            <w:pPr>
              <w:widowControl/>
              <w:spacing w:line="560" w:lineRule="exact"/>
              <w:jc w:val="center"/>
              <w:rPr>
                <w:rFonts w:hint="eastAsia" w:ascii="宋体" w:eastAsiaTheme="minorEastAsia"/>
                <w:sz w:val="24"/>
                <w:lang w:val="en-US" w:eastAsia="zh-CN"/>
              </w:rPr>
            </w:pPr>
            <w:r>
              <w:rPr>
                <w:rFonts w:hint="eastAsia" w:ascii="Calibri" w:hAnsi="Calibri" w:cs="Calibri"/>
                <w:kern w:val="0"/>
                <w:sz w:val="20"/>
                <w:szCs w:val="20"/>
                <w:lang w:val="en-US" w:eastAsia="zh-CN" w:bidi="ar"/>
              </w:rPr>
              <w:t>0</w:t>
            </w:r>
          </w:p>
        </w:tc>
        <w:tc>
          <w:tcPr>
            <w:tcW w:w="688" w:type="dxa"/>
            <w:tcBorders>
              <w:top w:val="outset" w:color="auto" w:sz="6" w:space="0"/>
              <w:left w:val="single" w:color="auto" w:sz="0" w:space="0"/>
              <w:bottom w:val="outset" w:color="auto" w:sz="6" w:space="0"/>
              <w:right w:val="outset" w:color="auto" w:sz="6" w:space="0"/>
            </w:tcBorders>
            <w:noWrap w:val="0"/>
            <w:vAlign w:val="top"/>
          </w:tcPr>
          <w:p>
            <w:pPr>
              <w:widowControl/>
              <w:spacing w:line="560" w:lineRule="exact"/>
              <w:jc w:val="center"/>
              <w:rPr>
                <w:rFonts w:hint="eastAsia" w:ascii="宋体" w:eastAsiaTheme="minorEastAsia"/>
                <w:sz w:val="24"/>
                <w:lang w:val="en-US" w:eastAsia="zh-CN"/>
              </w:rPr>
            </w:pPr>
            <w:r>
              <w:rPr>
                <w:rFonts w:hint="eastAsia" w:ascii="Calibri" w:hAnsi="Calibri" w:cs="Calibri"/>
                <w:kern w:val="0"/>
                <w:sz w:val="20"/>
                <w:szCs w:val="20"/>
                <w:lang w:val="en-US" w:eastAsia="zh-CN" w:bidi="ar"/>
              </w:rPr>
              <w:t>0</w:t>
            </w:r>
          </w:p>
        </w:tc>
        <w:tc>
          <w:tcPr>
            <w:tcW w:w="688" w:type="dxa"/>
            <w:tcBorders>
              <w:top w:val="outset" w:color="auto" w:sz="6" w:space="0"/>
              <w:left w:val="single" w:color="auto" w:sz="0" w:space="0"/>
              <w:bottom w:val="outset" w:color="auto" w:sz="6" w:space="0"/>
              <w:right w:val="outset" w:color="auto" w:sz="6" w:space="0"/>
            </w:tcBorders>
            <w:noWrap w:val="0"/>
            <w:vAlign w:val="top"/>
          </w:tcPr>
          <w:p>
            <w:pPr>
              <w:widowControl/>
              <w:spacing w:line="560" w:lineRule="exact"/>
              <w:jc w:val="center"/>
              <w:rPr>
                <w:rFonts w:hint="eastAsia" w:ascii="宋体" w:eastAsiaTheme="minorEastAsia"/>
                <w:sz w:val="24"/>
                <w:lang w:val="en-US" w:eastAsia="zh-CN"/>
              </w:rPr>
            </w:pPr>
            <w:r>
              <w:rPr>
                <w:rFonts w:hint="eastAsia" w:ascii="Calibri" w:hAnsi="Calibri" w:cs="Calibri"/>
                <w:kern w:val="0"/>
                <w:sz w:val="20"/>
                <w:szCs w:val="20"/>
                <w:lang w:val="en-US" w:eastAsia="zh-CN" w:bidi="ar"/>
              </w:rPr>
              <w:t>0</w:t>
            </w:r>
          </w:p>
        </w:tc>
        <w:tc>
          <w:tcPr>
            <w:tcW w:w="689" w:type="dxa"/>
            <w:tcBorders>
              <w:top w:val="outset" w:color="auto" w:sz="6" w:space="0"/>
              <w:left w:val="single" w:color="auto" w:sz="0" w:space="0"/>
              <w:bottom w:val="outset" w:color="auto" w:sz="6" w:space="0"/>
              <w:right w:val="outset" w:color="auto" w:sz="6" w:space="0"/>
            </w:tcBorders>
            <w:noWrap w:val="0"/>
            <w:vAlign w:val="top"/>
          </w:tcPr>
          <w:p>
            <w:pPr>
              <w:widowControl/>
              <w:spacing w:line="560" w:lineRule="exact"/>
              <w:jc w:val="center"/>
              <w:rPr>
                <w:rFonts w:hint="eastAsia" w:ascii="宋体" w:eastAsiaTheme="minorEastAsia"/>
                <w:sz w:val="24"/>
                <w:lang w:val="en-US" w:eastAsia="zh-CN"/>
              </w:rPr>
            </w:pPr>
            <w:r>
              <w:rPr>
                <w:rFonts w:hint="eastAsia" w:ascii="Calibri" w:hAnsi="Calibri" w:cs="Calibri"/>
                <w:kern w:val="0"/>
                <w:sz w:val="20"/>
                <w:szCs w:val="20"/>
                <w:lang w:val="en-US" w:eastAsia="zh-CN" w:bidi="ar"/>
              </w:rPr>
              <w:t>0</w:t>
            </w:r>
          </w:p>
        </w:tc>
      </w:tr>
    </w:tbl>
    <w:p>
      <w:pPr>
        <w:pStyle w:val="2"/>
        <w:spacing w:line="560" w:lineRule="exact"/>
        <w:ind w:left="420" w:leftChars="200"/>
        <w:rPr>
          <w:rFonts w:hint="eastAsia"/>
        </w:rPr>
      </w:pPr>
    </w:p>
    <w:p>
      <w:pPr>
        <w:pStyle w:val="2"/>
        <w:spacing w:line="560" w:lineRule="exact"/>
        <w:ind w:left="420"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9"/>
        <w:tblpPr w:leftFromText="180" w:rightFromText="180" w:vertAnchor="text" w:horzAnchor="page" w:tblpX="1230" w:tblpY="559"/>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eastAsia="黑体"/>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eastAsia="黑体" w:cs="Times New Roman"/>
                <w:kern w:val="2"/>
                <w:sz w:val="21"/>
                <w:szCs w:val="24"/>
                <w:lang w:val="en-US" w:eastAsia="zh-CN" w:bidi="ar-SA"/>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rPr>
                <w:rFonts w:hint="eastAsia" w:ascii="宋体"/>
                <w:sz w:val="24"/>
              </w:rPr>
            </w:pPr>
            <w:r>
              <w:rPr>
                <w:rFonts w:hint="eastAsia" w:ascii="Calibri" w:hAnsi="Calibri" w:cs="Calibri"/>
                <w:kern w:val="0"/>
                <w:sz w:val="20"/>
                <w:szCs w:val="20"/>
                <w:lang w:val="en-US" w:eastAsia="zh-CN" w:bidi="ar"/>
              </w:rPr>
              <w:t>0</w:t>
            </w:r>
          </w:p>
        </w:tc>
      </w:tr>
    </w:tbl>
    <w:p>
      <w:pPr>
        <w:widowControl/>
        <w:spacing w:line="560" w:lineRule="exact"/>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5"/>
        <w:ind w:left="0" w:leftChars="0" w:firstLine="672" w:firstLineChars="200"/>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2024年，我局扎实推进政务公开各项工作要求，政府信息公开工作水平稳步提高，较好地完成了全年工作目标。但在实际工作中仍存在</w:t>
      </w:r>
      <w:r>
        <w:rPr>
          <w:rFonts w:hint="default" w:ascii="仿宋_GB2312" w:hAnsi="宋体" w:eastAsia="仿宋_GB2312" w:cs="宋体"/>
          <w:spacing w:val="8"/>
          <w:kern w:val="0"/>
          <w:sz w:val="32"/>
          <w:szCs w:val="32"/>
          <w:lang w:val="en-US" w:eastAsia="zh-CN" w:bidi="ar-SA"/>
        </w:rPr>
        <w:t>基础性工作</w:t>
      </w:r>
      <w:r>
        <w:rPr>
          <w:rFonts w:hint="eastAsia" w:ascii="仿宋_GB2312" w:hAnsi="宋体" w:eastAsia="仿宋_GB2312" w:cs="宋体"/>
          <w:spacing w:val="8"/>
          <w:kern w:val="0"/>
          <w:sz w:val="32"/>
          <w:szCs w:val="32"/>
          <w:lang w:val="en-US" w:eastAsia="zh-CN" w:bidi="ar-SA"/>
        </w:rPr>
        <w:t>有待加强、信息公开队伍有待完善等问题，下一步我局将从以下两方面进行改进：</w:t>
      </w:r>
    </w:p>
    <w:p>
      <w:pPr>
        <w:pStyle w:val="5"/>
        <w:ind w:left="0" w:leftChars="0" w:firstLine="672" w:firstLineChars="200"/>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一是持续增强公开意识。加强对《</w:t>
      </w:r>
      <w:r>
        <w:rPr>
          <w:rFonts w:hint="eastAsia" w:ascii="仿宋_GB2312" w:hAnsi="宋体" w:eastAsia="仿宋_GB2312" w:cs="宋体"/>
          <w:spacing w:val="8"/>
          <w:kern w:val="0"/>
          <w:sz w:val="32"/>
          <w:szCs w:val="32"/>
        </w:rPr>
        <w:t>政府信息公开条例</w:t>
      </w:r>
      <w:r>
        <w:rPr>
          <w:rFonts w:hint="eastAsia" w:ascii="仿宋_GB2312" w:hAnsi="宋体" w:eastAsia="仿宋_GB2312" w:cs="宋体"/>
          <w:spacing w:val="8"/>
          <w:kern w:val="0"/>
          <w:sz w:val="32"/>
          <w:szCs w:val="32"/>
          <w:lang w:val="en-US" w:eastAsia="zh-CN" w:bidi="ar-SA"/>
        </w:rPr>
        <w:t>》和有关政府信息公开文件的学习,准确理解政府信息公开的重要意义,进一步增强全局工作人员政府信息公开的意识。</w:t>
      </w:r>
    </w:p>
    <w:p>
      <w:pPr>
        <w:pStyle w:val="5"/>
        <w:ind w:left="0" w:leftChars="0" w:firstLine="672" w:firstLineChars="200"/>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二是持续完善公开内容。加强调研和分析,结合日常工作实际,及时梳理社会公众普遍关心,以及与群众生活密切相关信息,适时予以公开。加强政府信息公开阵地建设,按要求在区政府信息公开网站公开。</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numPr>
          <w:ilvl w:val="0"/>
          <w:numId w:val="0"/>
        </w:numPr>
        <w:spacing w:line="560" w:lineRule="exact"/>
        <w:ind w:firstLine="672" w:firstLineChars="200"/>
        <w:jc w:val="left"/>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本单位依据《政府信息公开信息处理费管理办法》收取信息处理费，2024年发出收费通知的件数0件，总金额0元，实际收取的总金额0元。</w:t>
      </w:r>
    </w:p>
    <w:p>
      <w:pPr>
        <w:widowControl/>
        <w:numPr>
          <w:ilvl w:val="0"/>
          <w:numId w:val="0"/>
        </w:numPr>
        <w:spacing w:line="560" w:lineRule="exact"/>
        <w:ind w:firstLine="672" w:firstLineChars="200"/>
        <w:jc w:val="left"/>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北京市通州区人民政府网站网址为http://www.bjtzh.gov.cn/，如需了解更多政府信息，请登录查询。</w:t>
      </w:r>
    </w:p>
    <w:p>
      <w:pPr>
        <w:widowControl/>
        <w:spacing w:line="560" w:lineRule="exact"/>
        <w:jc w:val="left"/>
        <w:rPr>
          <w:rFonts w:hint="eastAsia" w:ascii="仿宋_GB2312" w:hAnsi="宋体" w:eastAsia="仿宋_GB2312" w:cs="宋体"/>
          <w:color w:val="9BC2E6"/>
          <w:spacing w:val="8"/>
          <w:kern w:val="0"/>
          <w:sz w:val="32"/>
          <w:szCs w:val="32"/>
        </w:rPr>
      </w:pPr>
    </w:p>
    <w:p>
      <w:pPr>
        <w:pStyle w:val="2"/>
        <w:spacing w:line="560" w:lineRule="exact"/>
        <w:rPr>
          <w:rFonts w:hint="eastAsia"/>
        </w:rPr>
      </w:pPr>
    </w:p>
    <w:p>
      <w:pPr>
        <w:pStyle w:val="2"/>
        <w:spacing w:line="560" w:lineRule="exact"/>
        <w:rPr>
          <w:rFonts w:hint="eastAsia"/>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pStyle w:val="2"/>
        <w:jc w:val="center"/>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2440A5BC"/>
    <w:multiLevelType w:val="singleLevel"/>
    <w:tmpl w:val="2440A5B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ZTdjODNhNmU5MGMyNTg1ODJiZThhMzlkZWE3YmIifQ=="/>
  </w:docVars>
  <w:rsids>
    <w:rsidRoot w:val="30807B4B"/>
    <w:rsid w:val="00442DB0"/>
    <w:rsid w:val="00565790"/>
    <w:rsid w:val="02B45ED5"/>
    <w:rsid w:val="05D85E3B"/>
    <w:rsid w:val="05E4647C"/>
    <w:rsid w:val="0A1F78A7"/>
    <w:rsid w:val="0ABA6173"/>
    <w:rsid w:val="0AE80091"/>
    <w:rsid w:val="0B9064BE"/>
    <w:rsid w:val="0BFD356B"/>
    <w:rsid w:val="0C082AAD"/>
    <w:rsid w:val="0CC11C92"/>
    <w:rsid w:val="0DC34FBE"/>
    <w:rsid w:val="0E36675F"/>
    <w:rsid w:val="0F071AFE"/>
    <w:rsid w:val="11205883"/>
    <w:rsid w:val="13002EED"/>
    <w:rsid w:val="134E798B"/>
    <w:rsid w:val="14017457"/>
    <w:rsid w:val="14A80DA5"/>
    <w:rsid w:val="1647504A"/>
    <w:rsid w:val="1779185A"/>
    <w:rsid w:val="17D26A70"/>
    <w:rsid w:val="19554397"/>
    <w:rsid w:val="19DA7EBB"/>
    <w:rsid w:val="1A555B8D"/>
    <w:rsid w:val="1A7D285E"/>
    <w:rsid w:val="1B2C1A76"/>
    <w:rsid w:val="1B543C65"/>
    <w:rsid w:val="1DBF0083"/>
    <w:rsid w:val="1FFB0140"/>
    <w:rsid w:val="24010760"/>
    <w:rsid w:val="25315F52"/>
    <w:rsid w:val="26913541"/>
    <w:rsid w:val="28FD1FBB"/>
    <w:rsid w:val="299920BB"/>
    <w:rsid w:val="29A11DBE"/>
    <w:rsid w:val="2BEB3657"/>
    <w:rsid w:val="2CE40508"/>
    <w:rsid w:val="2D47153F"/>
    <w:rsid w:val="2D862FF9"/>
    <w:rsid w:val="2E6378A9"/>
    <w:rsid w:val="2ED871E9"/>
    <w:rsid w:val="2FDC1EC7"/>
    <w:rsid w:val="304F0317"/>
    <w:rsid w:val="30807B4B"/>
    <w:rsid w:val="31413674"/>
    <w:rsid w:val="318DF538"/>
    <w:rsid w:val="3221404A"/>
    <w:rsid w:val="327FC6D4"/>
    <w:rsid w:val="332871CB"/>
    <w:rsid w:val="33BD4470"/>
    <w:rsid w:val="34817233"/>
    <w:rsid w:val="34EC16D9"/>
    <w:rsid w:val="37664730"/>
    <w:rsid w:val="37EE1972"/>
    <w:rsid w:val="385E5017"/>
    <w:rsid w:val="3967423C"/>
    <w:rsid w:val="3A451848"/>
    <w:rsid w:val="3B546DFA"/>
    <w:rsid w:val="3BE8322F"/>
    <w:rsid w:val="3BF015BF"/>
    <w:rsid w:val="3C246C86"/>
    <w:rsid w:val="3F177636"/>
    <w:rsid w:val="3FD15EAF"/>
    <w:rsid w:val="3FD20953"/>
    <w:rsid w:val="40DD0B8E"/>
    <w:rsid w:val="433C6D8E"/>
    <w:rsid w:val="44F55CE1"/>
    <w:rsid w:val="45DC6090"/>
    <w:rsid w:val="488E7D6F"/>
    <w:rsid w:val="48E76E2E"/>
    <w:rsid w:val="496D4E27"/>
    <w:rsid w:val="49FE2531"/>
    <w:rsid w:val="4A751FBB"/>
    <w:rsid w:val="4B7A615D"/>
    <w:rsid w:val="4BCD51CA"/>
    <w:rsid w:val="4CF21E21"/>
    <w:rsid w:val="4CF54579"/>
    <w:rsid w:val="4DE21C94"/>
    <w:rsid w:val="4E767533"/>
    <w:rsid w:val="51035A8B"/>
    <w:rsid w:val="51137D7F"/>
    <w:rsid w:val="52305BB2"/>
    <w:rsid w:val="531F6C39"/>
    <w:rsid w:val="535D2A8E"/>
    <w:rsid w:val="537A699B"/>
    <w:rsid w:val="53A771E4"/>
    <w:rsid w:val="53D538D6"/>
    <w:rsid w:val="547C1C46"/>
    <w:rsid w:val="548A1A56"/>
    <w:rsid w:val="54FB6504"/>
    <w:rsid w:val="566E25A6"/>
    <w:rsid w:val="56980686"/>
    <w:rsid w:val="5793C13A"/>
    <w:rsid w:val="57F44CD4"/>
    <w:rsid w:val="584339B6"/>
    <w:rsid w:val="5ACA6479"/>
    <w:rsid w:val="5B45742E"/>
    <w:rsid w:val="5B885BB0"/>
    <w:rsid w:val="5F0C50B4"/>
    <w:rsid w:val="60983D44"/>
    <w:rsid w:val="628544F4"/>
    <w:rsid w:val="62DF15E1"/>
    <w:rsid w:val="630C1A27"/>
    <w:rsid w:val="632A2256"/>
    <w:rsid w:val="63941218"/>
    <w:rsid w:val="661750EF"/>
    <w:rsid w:val="66C30C75"/>
    <w:rsid w:val="67201D7D"/>
    <w:rsid w:val="67384093"/>
    <w:rsid w:val="691875C8"/>
    <w:rsid w:val="6C660F51"/>
    <w:rsid w:val="6C7926D4"/>
    <w:rsid w:val="6D5D5120"/>
    <w:rsid w:val="6D677B57"/>
    <w:rsid w:val="6D764CDA"/>
    <w:rsid w:val="6DA1286C"/>
    <w:rsid w:val="6DE128CD"/>
    <w:rsid w:val="6EAD309C"/>
    <w:rsid w:val="6F14743D"/>
    <w:rsid w:val="6FE850EB"/>
    <w:rsid w:val="71C97524"/>
    <w:rsid w:val="74550C88"/>
    <w:rsid w:val="75432B9D"/>
    <w:rsid w:val="782567A5"/>
    <w:rsid w:val="78A17ACE"/>
    <w:rsid w:val="78A813CD"/>
    <w:rsid w:val="78E70749"/>
    <w:rsid w:val="79333E39"/>
    <w:rsid w:val="7A011728"/>
    <w:rsid w:val="7A592502"/>
    <w:rsid w:val="7BDB1E9F"/>
    <w:rsid w:val="7C383A21"/>
    <w:rsid w:val="7C55591F"/>
    <w:rsid w:val="7ECB27F6"/>
    <w:rsid w:val="7FFA135B"/>
    <w:rsid w:val="B79B2EF7"/>
    <w:rsid w:val="EA7E8771"/>
    <w:rsid w:val="EB0BB7E6"/>
    <w:rsid w:val="FDEA7CF5"/>
    <w:rsid w:val="FFDE8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qFormat/>
    <w:uiPriority w:val="0"/>
    <w:pPr>
      <w:jc w:val="left"/>
    </w:pPr>
  </w:style>
  <w:style w:type="paragraph" w:styleId="4">
    <w:name w:val="Body Text"/>
    <w:basedOn w:val="1"/>
    <w:qFormat/>
    <w:uiPriority w:val="0"/>
    <w:rPr>
      <w:rFonts w:eastAsia="宋体"/>
      <w:bCs/>
      <w:color w:val="auto"/>
      <w:szCs w:val="24"/>
    </w:rPr>
  </w:style>
  <w:style w:type="paragraph" w:styleId="5">
    <w:name w:val="toc 3"/>
    <w:basedOn w:val="1"/>
    <w:next w:val="1"/>
    <w:semiHidden/>
    <w:unhideWhenUsed/>
    <w:qFormat/>
    <w:uiPriority w:val="39"/>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1">
    <w:name w:val="Hyperlink"/>
    <w:basedOn w:val="10"/>
    <w:qFormat/>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5743</Words>
  <Characters>6080</Characters>
  <Lines>0</Lines>
  <Paragraphs>0</Paragraphs>
  <TotalTime>22</TotalTime>
  <ScaleCrop>false</ScaleCrop>
  <LinksUpToDate>false</LinksUpToDate>
  <CharactersWithSpaces>6343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2020-12-16T15:14:00Z</dcterms:created>
  <dc:creator>HS</dc:creator>
  <cp:lastModifiedBy>user</cp:lastModifiedBy>
  <cp:lastPrinted>2025-01-14T09:43:00Z</cp:lastPrinted>
  <dcterms:modified xsi:type="dcterms:W3CDTF">2025-01-14T15:24:59Z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FE31FDA3AF9A44E7908C228B7DFF7827_13</vt:lpwstr>
  </property>
</Properties>
</file>