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北京市通州区生态环境局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微软雅黑" w:hAnsi="微软雅黑" w:eastAsia="微软雅黑" w:cs="宋体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组织领导情况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通州区生态环境局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坚持以习近平新时代中国特色社会主义思想为指导，高度重视政务公开工作，完善组织领导机制，对政务公开工作作出进一步规范，并对政务公开领导小组和工作机构进行了及时调整充实，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严格按照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市区两级要求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政府信息主动公开和依申请公开工作机制。明确政府信息主动公开工作的职责、程序、公开方式和时限要求等；依申请公开工作的受理、审查、处理、答复各个环节的流程、时限等具体要求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</w:rPr>
        <w:t>确保了政务公开工作有人抓、有人管、有人做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640" w:leftChars="0" w:right="0" w:rightChars="0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</w:rPr>
      </w:pP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val="en-US" w:eastAsia="zh-CN"/>
        </w:rPr>
        <w:t>二</w:t>
      </w: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）主动公开政府信息情况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8"/>
          <w:sz w:val="32"/>
          <w:szCs w:val="32"/>
          <w:lang w:val="en-US" w:eastAsia="zh-CN"/>
        </w:rPr>
        <w:t>通州区生态环境局按照《政府信息公开条例》要求，认真完成信息报送和信息公开工作。2023年，北京市通州区人民政府网站要闻动态中共发布信息302条；绿色城市专栏中共发布信息295条，及时全面公开政务信息、环境管理、监测数据报告、三大攻坚战等重点领域信息，提高政府工作透明度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1"/>
        <w:jc w:val="both"/>
        <w:textAlignment w:val="auto"/>
        <w:rPr>
          <w:rFonts w:hint="default" w:ascii="楷体_GB2312" w:hAnsi="楷体_GB2312" w:eastAsia="楷体_GB2312" w:cs="楷体_GB2312"/>
          <w:color w:val="auto"/>
          <w:spacing w:val="8"/>
          <w:sz w:val="32"/>
          <w:szCs w:val="32"/>
        </w:rPr>
      </w:pP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pacing w:val="8"/>
          <w:sz w:val="32"/>
          <w:szCs w:val="32"/>
          <w:lang w:val="en-US" w:eastAsia="zh-CN"/>
        </w:rPr>
        <w:t>三</w:t>
      </w:r>
      <w:r>
        <w:rPr>
          <w:rFonts w:ascii="楷体_GB2312" w:hAnsi="楷体_GB2312" w:eastAsia="楷体_GB2312" w:cs="楷体_GB2312"/>
          <w:color w:val="auto"/>
          <w:spacing w:val="8"/>
          <w:sz w:val="32"/>
          <w:szCs w:val="32"/>
        </w:rPr>
        <w:t>）依申请公开处理情况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2023年，受理2023年依申请公开30件，办结27件，结转下年度继续办理3件。其中个人申请18件，予以公开11件，本机关不掌握相关政府信息6件，结转下年度继续办理1件；商业企业申请12件，予以公开6件，本机关不掌握相关政府信息4件，结转下年度继续办理2件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72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8"/>
          <w:sz w:val="32"/>
          <w:szCs w:val="32"/>
          <w:lang w:val="en-US" w:eastAsia="zh-CN"/>
        </w:rPr>
        <w:t>（四）政府信息管理情况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sz w:val="32"/>
          <w:szCs w:val="32"/>
          <w:lang w:val="en-US" w:eastAsia="zh-CN"/>
        </w:rPr>
        <w:t>一是围绕中心工作，深入推进决策公开。认真落实《通州区深入打好污染防治攻坚战2023年行动计划》，对涉及群众切实利益、需要社会广泛知晓的重要改革方案、重大政策措施等，在决策前主动向社会公布决策草案、决策依据并广泛听取公众意见。二是围绕重点领域，着力推进执行公开。按照各级单位政府信息公开要求，公布通州区生态环境局2022年度部门决算、2023年度部门预算信息，及时主动公开通州区生态环境局2022年度政府信息公开工作年报、2022年度行政执法统计年报和2023年通州区生态环境综合执法工作方案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政府信息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教育培训、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平台建设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、监督保障情况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  <w:t>一是强化培训，完善队伍建设机制，召开全局政务公开工作培训会议1次，全局政务公开队伍整体素质得到提高。二是推进平台建设。常态做好局门户网站和微信公众号建设运营，充分利用局综合办公平台，审核把关，做到“内容准确、观点正确、程序规范、更新及时”。通过人民政府网站及“生态通州”公众号主动推送新闻资讯、热点关注、意见征集等方面信息。三是继续强化公开监督保障。严格落实“日巡查、月督导、季通报”制度，持续提升监管水平，同时针对政府信息公开工作进行了年度考核，强化各科室对政府信息公开工作的重视程度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501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6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2" w:firstLineChars="200"/>
        <w:jc w:val="left"/>
        <w:textAlignment w:val="auto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7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  <w:t>1.重要政策文件解读仍需提质增效。一要加强政策解读的前瞻性，政策出台前主动研判，精心准备，管理预期；二要提高政策解读的同步率，在政策发布和实施的第一时间答疑解惑，积极引导，避免误读；三要细化政策解读的颗粒度，面向不同主体，运用不同方式，提供定制解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72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lang w:val="en-US" w:eastAsia="zh-CN" w:bidi="ar-SA"/>
        </w:rPr>
        <w:t>2.政务公开业务水平仍需赋能提升。一是组织各科室负责人员进行培训，提高工作人员政务公开的能力。二是重点指导、监督涉及重点领域实施的科室提高信息报送精准度及频次，及时发布三大攻坚战的各项进展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75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3.政务新媒体信息发布规范性和及时性仍需提高。一是按照“谁开设、谁负责”“谁主管、谁负责”的原则，认真落实三级审核机制，对发布的稿件信息坚持先审后发，坚决杜绝出现错敏字和多字少字等情况。二是加强对“生态通州”公众号底部服务栏目的日常检查和服务维护，坚决避免出现栏目不可用问题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根据《政府信息公开信息处理费管理办法》(国办函〔2020〕109号)，2023年度北京市通州区生态环境局收取信息处理费情况为：发出收费通知的件数为0件，总金额为0元，实际收取的总金额为0元。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right="0" w:firstLine="672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北京市通州区人民政府网站网址为https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8"/>
          <w:kern w:val="0"/>
          <w:sz w:val="32"/>
          <w:szCs w:val="32"/>
          <w:highlight w:val="none"/>
          <w:lang w:val="en-US" w:eastAsia="zh-CN" w:bidi="ar-SA"/>
        </w:rPr>
        <w:t>://www.bjtzh.gov.cn/，如需了解更多政府信息，请登录查询。</w:t>
      </w:r>
    </w:p>
    <w:p>
      <w:pPr>
        <w:widowControl/>
        <w:spacing w:line="560" w:lineRule="exact"/>
        <w:jc w:val="left"/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D2501F-94AC-4D80-B12B-E13ABD776E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50F7A53-7255-4FC3-B01C-6BF09221AAE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6003539-987E-4121-B3F7-85E88D56016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8D0E997A-F5F1-4B3D-82E6-DC8688F1C23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C4543AC3-6062-4A72-B802-2119810CE639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575F4F60-2ACD-4F8E-AF50-3E75291844B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C512681C-F414-4E3D-B976-F7B9EBE0D47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D34DDB"/>
    <w:multiLevelType w:val="singleLevel"/>
    <w:tmpl w:val="37D34DDB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2B2D4B40"/>
    <w:rsid w:val="035236DE"/>
    <w:rsid w:val="05C038CF"/>
    <w:rsid w:val="0A541C9A"/>
    <w:rsid w:val="0C387468"/>
    <w:rsid w:val="0E5075A8"/>
    <w:rsid w:val="10841AEC"/>
    <w:rsid w:val="117D7B2B"/>
    <w:rsid w:val="134635B8"/>
    <w:rsid w:val="13C66CE2"/>
    <w:rsid w:val="1AF446C9"/>
    <w:rsid w:val="217313E6"/>
    <w:rsid w:val="26681310"/>
    <w:rsid w:val="286022E8"/>
    <w:rsid w:val="2B2D4B40"/>
    <w:rsid w:val="34CD4350"/>
    <w:rsid w:val="3ACA1A54"/>
    <w:rsid w:val="3F0F63C2"/>
    <w:rsid w:val="41A81D5B"/>
    <w:rsid w:val="47E53B75"/>
    <w:rsid w:val="4AB87FFA"/>
    <w:rsid w:val="52396DCB"/>
    <w:rsid w:val="5A470EC0"/>
    <w:rsid w:val="5D142037"/>
    <w:rsid w:val="5FF40580"/>
    <w:rsid w:val="60496393"/>
    <w:rsid w:val="6232186D"/>
    <w:rsid w:val="67557A99"/>
    <w:rsid w:val="69DB56CC"/>
    <w:rsid w:val="6BE43F69"/>
    <w:rsid w:val="6C765BAB"/>
    <w:rsid w:val="6FE81070"/>
    <w:rsid w:val="7D1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5">
    <w:name w:val="Normal (Web)"/>
    <w:basedOn w:val="1"/>
    <w:autoRedefine/>
    <w:unhideWhenUsed/>
    <w:qFormat/>
    <w:uiPriority w:val="99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styleId="8">
    <w:name w:val="FollowedHyperlink"/>
    <w:basedOn w:val="7"/>
    <w:autoRedefine/>
    <w:qFormat/>
    <w:uiPriority w:val="0"/>
    <w:rPr>
      <w:color w:val="000000"/>
      <w:u w:val="none"/>
    </w:rPr>
  </w:style>
  <w:style w:type="character" w:styleId="9">
    <w:name w:val="Emphasis"/>
    <w:basedOn w:val="7"/>
    <w:autoRedefine/>
    <w:qFormat/>
    <w:uiPriority w:val="0"/>
  </w:style>
  <w:style w:type="character" w:styleId="10">
    <w:name w:val="HTML Variable"/>
    <w:basedOn w:val="7"/>
    <w:autoRedefine/>
    <w:qFormat/>
    <w:uiPriority w:val="0"/>
  </w:style>
  <w:style w:type="character" w:styleId="11">
    <w:name w:val="Hyperlink"/>
    <w:basedOn w:val="7"/>
    <w:autoRedefine/>
    <w:qFormat/>
    <w:uiPriority w:val="0"/>
    <w:rPr>
      <w:color w:val="000000"/>
      <w:u w:val="none"/>
    </w:rPr>
  </w:style>
  <w:style w:type="character" w:customStyle="1" w:styleId="12">
    <w:name w:val="on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通州区生态环境局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2024-01-02T01:27:00Z</dcterms:created>
  <dc:creator>lenovo</dc:creator>
  <cp:lastModifiedBy>Miss不饱</cp:lastModifiedBy>
  <dcterms:modified xsi:type="dcterms:W3CDTF">2024-01-23T09:14:04Z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A5310F99C0B54266BFD30A64CC9856E2_13</vt:lpwstr>
  </property>
</Properties>
</file>