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北京市通州区园林绿化局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（一）组织领导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</w:pP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bidi="ar"/>
        </w:rPr>
        <w:t>根据《中华人民共和国政府信息公开条例》规定和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区政务服务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管理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局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bidi="ar"/>
        </w:rPr>
        <w:t>相关要求，我局认真开展了政府信息公开工作,成立了以主管领导为组长，办公室主任为副组长的信息公开工作领导小组，并明确由办公室作为信息公开工作机构，具体负责我局信息公开工作的组织、联络和协调工作。领导小组坚持统筹兼顾、突出重点，不断提升政府信息公开工作质量和效率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bidi="ar"/>
        </w:rPr>
        <w:t>（二）主动公开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bidi="ar"/>
        </w:rPr>
        <w:t>一是定期更新维护机构信息，包括职能介绍、机构设置、办公地址、办公时间、联系方式、负责人姓名等；二是按要求公示公开机关本级和所属基层事业单位年度财政预算、决算信息，包括预算情况说明和报表；三是重点加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通州区政府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bidi="ar"/>
        </w:rPr>
        <w:t>网站“森林城市”特色栏目更新管理工作，全年共主动公开工作动态59篇；四是继续加强政务新媒体平台建设，2022年是我局官方微信公众号“通州园林”开设的第5年，全年共推送248篇文章，较去年增加30%，其中最大阅读量为21350次，总阅读量约15.4万次，较去年全年提高50%。五是充分利用网络、报刊、电视等权威媒体主动公开园林绿化信息，全年共参与完成包括新华网、学习强国APP、人民日报、光明日报、北京城市副中心报、北京电视台等媒体报道159篇，其中中央媒体21篇、市级媒体78篇、区级媒体60篇，报道内容聚焦通州区成功创建“国家森林城市”、国家5A级大运河文化旅游景区建设、集体林场和国家林业碳汇试点等，全面展示了2022年通州区园林绿化工作成果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lang w:bidi="ar"/>
        </w:rPr>
        <w:t xml:space="preserve">（三）依申请公开办理情况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2022年共收到政府信息公开申请12件，其中已答复12件。其中予以公开8件；本机关不掌握相关政府信息，建议向其他单位咨询的3件；所申请内容不属于政府信息的1件。所有政府信息公开申请均已办结。</w:t>
      </w:r>
    </w:p>
    <w:p>
      <w:pPr>
        <w:widowControl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lang w:bidi="ar"/>
        </w:rPr>
        <w:t xml:space="preserve">（四）政府信息管理情况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政府信息公开主要是区政府网站信息公开栏目、微信公众号等渠道，按照区政府统一部署主动公开政府信息，编制主动公开信息目录、信息公开指南等供申请人查阅。信息发布流程严格遵守“三级审核”制度，明确审核主体、审核流程，严把政治关、法律关、政策关、保密关、文字关。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lang w:bidi="ar"/>
        </w:rPr>
        <w:t xml:space="preserve">（五）政府信息公开平台建设情况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在区政府网站信息公开栏目中除常规栏目如机构职能、法规文件、规划计划、行政职责、业务动态、重点领域等，对我局依法行政过程中产生的审批信息、处罚信息等均及时有效公开，遵守“应公开、尽公开”原则，确保政府信息透明化，亲民化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lang w:bidi="ar"/>
        </w:rPr>
        <w:t>（六）政府信息公开教育培训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2022年我局积极参与区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服务管理局组织召开的各类政府信息公开工作培训会3次，及时掌握政府信息公开工作最新动态。</w:t>
      </w:r>
    </w:p>
    <w:p>
      <w:pPr>
        <w:pStyle w:val="2"/>
        <w:ind w:firstLine="640"/>
      </w:pPr>
    </w:p>
    <w:p>
      <w:pPr>
        <w:numPr>
          <w:ilvl w:val="0"/>
          <w:numId w:val="1"/>
        </w:num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6"/>
      </w:pPr>
    </w:p>
    <w:tbl>
      <w:tblPr>
        <w:tblStyle w:val="1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1748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6"/>
      </w:pPr>
    </w:p>
    <w:p>
      <w:pPr>
        <w:pStyle w:val="6"/>
      </w:pP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11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1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6"/>
        <w:ind w:left="420" w:leftChars="200"/>
      </w:pPr>
    </w:p>
    <w:p>
      <w:pPr>
        <w:pStyle w:val="6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局政府信息公开能够做到准确、及时，但是缺乏全面性，目前信息公开内容主要围绕双公示、双随机和执法信息公示等日常工作，未能准确把握“群众关心什么、企业需要什么”，还需进一步畅通为企为民服务渠道，搭建政府与公众良好沟通互动平台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本单位依据《政府信息公开信息处理费管理办法》收取信息处理费，2022年发出收费通知的件数0件，总金额0元。实际收取的总金额0元。</w:t>
      </w:r>
    </w:p>
    <w:p>
      <w:pPr>
        <w:pStyle w:val="2"/>
        <w:ind w:left="0" w:leftChars="0" w:firstLine="640"/>
      </w:pPr>
      <w:r>
        <w:rPr>
          <w:rFonts w:hint="eastAsia" w:ascii="仿宋_GB2312" w:hAnsi="仿宋_GB2312" w:eastAsia="仿宋_GB2312" w:cs="仿宋_GB2312"/>
          <w:color w:val="000000"/>
        </w:rPr>
        <w:t>北京市通州区人民政府网站网址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http://www.bjtzh.gov.cn/，</w:t>
      </w:r>
      <w:r>
        <w:rPr>
          <w:rFonts w:hint="eastAsia" w:ascii="仿宋_GB2312" w:hAnsi="仿宋_GB2312" w:eastAsia="仿宋_GB2312" w:cs="仿宋_GB2312"/>
          <w:color w:val="000000"/>
        </w:rPr>
        <w:t>如需了解更多政府信息，请登录查询。</w:t>
      </w:r>
    </w:p>
    <w:p/>
    <w:p>
      <w:pPr>
        <w:pStyle w:val="6"/>
      </w:pPr>
    </w:p>
    <w:p>
      <w:pPr>
        <w:pStyle w:val="6"/>
      </w:pPr>
    </w:p>
    <w:p>
      <w:pPr>
        <w:pStyle w:val="6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jJiYTYzMjhmMGQxM2QwNzk5YjgwMzAzZjVjZjUifQ=="/>
  </w:docVars>
  <w:rsids>
    <w:rsidRoot w:val="3D255B57"/>
    <w:rsid w:val="00400C94"/>
    <w:rsid w:val="004251FE"/>
    <w:rsid w:val="004D2215"/>
    <w:rsid w:val="008E2365"/>
    <w:rsid w:val="009163E5"/>
    <w:rsid w:val="00B3320B"/>
    <w:rsid w:val="010F5CB0"/>
    <w:rsid w:val="017F1B17"/>
    <w:rsid w:val="020E7372"/>
    <w:rsid w:val="0288331C"/>
    <w:rsid w:val="037D5E10"/>
    <w:rsid w:val="039056C4"/>
    <w:rsid w:val="03EF297E"/>
    <w:rsid w:val="03F15689"/>
    <w:rsid w:val="04D1276B"/>
    <w:rsid w:val="05540610"/>
    <w:rsid w:val="07F813C7"/>
    <w:rsid w:val="093A139C"/>
    <w:rsid w:val="09A92381"/>
    <w:rsid w:val="0A826F96"/>
    <w:rsid w:val="0CB72257"/>
    <w:rsid w:val="0CBB1A54"/>
    <w:rsid w:val="0D7F0FF2"/>
    <w:rsid w:val="0DB07119"/>
    <w:rsid w:val="0E7E0858"/>
    <w:rsid w:val="10982843"/>
    <w:rsid w:val="10E27207"/>
    <w:rsid w:val="14470F9D"/>
    <w:rsid w:val="14A17984"/>
    <w:rsid w:val="14C549C3"/>
    <w:rsid w:val="157214B0"/>
    <w:rsid w:val="17217E52"/>
    <w:rsid w:val="18F41B50"/>
    <w:rsid w:val="19D73DAC"/>
    <w:rsid w:val="1A8A597A"/>
    <w:rsid w:val="1BA11F58"/>
    <w:rsid w:val="1C705B3F"/>
    <w:rsid w:val="1E3F1448"/>
    <w:rsid w:val="1EB51D82"/>
    <w:rsid w:val="1F28557B"/>
    <w:rsid w:val="21270B2A"/>
    <w:rsid w:val="230840BA"/>
    <w:rsid w:val="247B746E"/>
    <w:rsid w:val="27470A1C"/>
    <w:rsid w:val="29502B48"/>
    <w:rsid w:val="29AE54B9"/>
    <w:rsid w:val="2A0E0B36"/>
    <w:rsid w:val="2B9A264F"/>
    <w:rsid w:val="2BCA6741"/>
    <w:rsid w:val="2CA6446F"/>
    <w:rsid w:val="2CEB6771"/>
    <w:rsid w:val="2D563332"/>
    <w:rsid w:val="2D83129D"/>
    <w:rsid w:val="2EF6189F"/>
    <w:rsid w:val="2F5841ED"/>
    <w:rsid w:val="30FB3D2A"/>
    <w:rsid w:val="310224D9"/>
    <w:rsid w:val="32785994"/>
    <w:rsid w:val="32F87D28"/>
    <w:rsid w:val="340F19D1"/>
    <w:rsid w:val="3506548D"/>
    <w:rsid w:val="35376E3B"/>
    <w:rsid w:val="36DA408A"/>
    <w:rsid w:val="38780662"/>
    <w:rsid w:val="39DA652D"/>
    <w:rsid w:val="3C0A2833"/>
    <w:rsid w:val="3D255B57"/>
    <w:rsid w:val="3D853608"/>
    <w:rsid w:val="3FEF101C"/>
    <w:rsid w:val="41150A3E"/>
    <w:rsid w:val="424D3EFC"/>
    <w:rsid w:val="425B2749"/>
    <w:rsid w:val="42F11BFD"/>
    <w:rsid w:val="435A2842"/>
    <w:rsid w:val="451A5E8D"/>
    <w:rsid w:val="45307C01"/>
    <w:rsid w:val="45706D26"/>
    <w:rsid w:val="461C687A"/>
    <w:rsid w:val="46935114"/>
    <w:rsid w:val="4AEA7D65"/>
    <w:rsid w:val="4C074CEF"/>
    <w:rsid w:val="4C0E485A"/>
    <w:rsid w:val="501B6607"/>
    <w:rsid w:val="506D338D"/>
    <w:rsid w:val="53874076"/>
    <w:rsid w:val="54B27BEE"/>
    <w:rsid w:val="55BE0EDC"/>
    <w:rsid w:val="55CC51C1"/>
    <w:rsid w:val="575437DF"/>
    <w:rsid w:val="57D85BBE"/>
    <w:rsid w:val="59184A67"/>
    <w:rsid w:val="5A08462F"/>
    <w:rsid w:val="5A8C3C98"/>
    <w:rsid w:val="5AFA3E4F"/>
    <w:rsid w:val="5B8D6CBF"/>
    <w:rsid w:val="5B9462A0"/>
    <w:rsid w:val="5BD353FE"/>
    <w:rsid w:val="5BF1296B"/>
    <w:rsid w:val="5DA9301B"/>
    <w:rsid w:val="5DAB78D0"/>
    <w:rsid w:val="5DED1905"/>
    <w:rsid w:val="5E282F0F"/>
    <w:rsid w:val="5E7231FE"/>
    <w:rsid w:val="62501AED"/>
    <w:rsid w:val="62AD78B3"/>
    <w:rsid w:val="639A3A4D"/>
    <w:rsid w:val="64520AA6"/>
    <w:rsid w:val="65A63F93"/>
    <w:rsid w:val="666138CB"/>
    <w:rsid w:val="66D44D11"/>
    <w:rsid w:val="68456707"/>
    <w:rsid w:val="686A553D"/>
    <w:rsid w:val="687E0B9C"/>
    <w:rsid w:val="6CEB6ECC"/>
    <w:rsid w:val="6D6E4BDF"/>
    <w:rsid w:val="6F130DFD"/>
    <w:rsid w:val="6F5A4CB2"/>
    <w:rsid w:val="70161F87"/>
    <w:rsid w:val="70726AB6"/>
    <w:rsid w:val="70871E9F"/>
    <w:rsid w:val="709656FC"/>
    <w:rsid w:val="715173C6"/>
    <w:rsid w:val="72CF7CED"/>
    <w:rsid w:val="73030C4F"/>
    <w:rsid w:val="73224AB6"/>
    <w:rsid w:val="73DC07FC"/>
    <w:rsid w:val="74064D96"/>
    <w:rsid w:val="74C2044F"/>
    <w:rsid w:val="75E263BD"/>
    <w:rsid w:val="76053367"/>
    <w:rsid w:val="780218A6"/>
    <w:rsid w:val="7ACA4070"/>
    <w:rsid w:val="7B0A52E2"/>
    <w:rsid w:val="7B5514A5"/>
    <w:rsid w:val="7B791FBE"/>
    <w:rsid w:val="7C6402AC"/>
    <w:rsid w:val="7D9E28F9"/>
    <w:rsid w:val="7F0D0E5D"/>
    <w:rsid w:val="7F767690"/>
    <w:rsid w:val="7FD0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10"/>
    <w:pPr>
      <w:spacing w:before="240" w:after="60"/>
      <w:jc w:val="left"/>
      <w:outlineLvl w:val="0"/>
    </w:pPr>
    <w:rPr>
      <w:rFonts w:ascii="Cambria" w:hAnsi="Cambria"/>
      <w:bCs/>
      <w:sz w:val="32"/>
      <w:szCs w:val="32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12">
    <w:name w:val="annotation subject"/>
    <w:basedOn w:val="5"/>
    <w:next w:val="5"/>
    <w:link w:val="22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40404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Variable"/>
    <w:basedOn w:val="14"/>
    <w:qFormat/>
    <w:uiPriority w:val="0"/>
  </w:style>
  <w:style w:type="character" w:styleId="19">
    <w:name w:val="Hyperlink"/>
    <w:basedOn w:val="14"/>
    <w:qFormat/>
    <w:uiPriority w:val="0"/>
    <w:rPr>
      <w:color w:val="000000"/>
      <w:u w:val="none"/>
    </w:rPr>
  </w:style>
  <w:style w:type="character" w:styleId="20">
    <w:name w:val="annotation reference"/>
    <w:basedOn w:val="14"/>
    <w:qFormat/>
    <w:uiPriority w:val="0"/>
    <w:rPr>
      <w:sz w:val="21"/>
      <w:szCs w:val="21"/>
    </w:rPr>
  </w:style>
  <w:style w:type="character" w:customStyle="1" w:styleId="21">
    <w:name w:val="批注文字 Char"/>
    <w:basedOn w:val="14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2">
    <w:name w:val="批注主题 Char"/>
    <w:basedOn w:val="21"/>
    <w:link w:val="12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3">
    <w:name w:val="批注框文本 Char"/>
    <w:basedOn w:val="14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2201</Words>
  <Characters>2292</Characters>
  <Lines>20</Lines>
  <Paragraphs>5</Paragraphs>
  <TotalTime>3</TotalTime>
  <ScaleCrop>false</ScaleCrop>
  <LinksUpToDate>false</LinksUpToDate>
  <CharactersWithSpaces>2511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办公室编辑</cp:lastModifiedBy>
  <cp:lastPrinted>2022-01-05T10:39:00Z</cp:lastPrinted>
  <dcterms:modified xsi:type="dcterms:W3CDTF">2023-01-11T06:28:39Z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AEA7A031BE694E91A258D0318946316F</vt:lpwstr>
  </property>
</Properties>
</file>