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北京市</w:t>
      </w:r>
      <w:r>
        <w:rPr>
          <w:rFonts w:hint="eastAsia" w:ascii="方正小标宋简体" w:hAnsi="方正小标宋简体" w:eastAsia="方正小标宋简体" w:cs="方正小标宋简体"/>
          <w:sz w:val="44"/>
          <w:szCs w:val="44"/>
        </w:rPr>
        <w:t>通州区交通局2021年政府信息公开</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工作年度报告</w:t>
      </w:r>
    </w:p>
    <w:p>
      <w:pPr>
        <w:spacing w:line="560" w:lineRule="exact"/>
        <w:jc w:val="center"/>
        <w:rPr>
          <w:sz w:val="44"/>
          <w:szCs w:val="44"/>
        </w:rPr>
      </w:pPr>
    </w:p>
    <w:p>
      <w:pPr>
        <w:widowControl/>
        <w:spacing w:line="560" w:lineRule="exact"/>
        <w:ind w:firstLine="672" w:firstLineChars="200"/>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2021年，通州区交通局认真贯彻落实《中华人民共和国政府信息公开条例》和区政府工作部署，及区政务服务局关于信息公开工作具体要求，坚持“公开为常态，不公开为例外”要求，围绕“放管服”改革等重点领域政府信息公开、加强政策解读、扩大公众参与、积极回应关切、规范依申请公开等工作，务实创新，多措并举，政务公开标准化规范化水平进一步提升。</w:t>
      </w:r>
    </w:p>
    <w:p>
      <w:pPr>
        <w:widowControl/>
        <w:spacing w:line="560" w:lineRule="exact"/>
        <w:ind w:firstLine="675"/>
        <w:jc w:val="left"/>
        <w:rPr>
          <w:rFonts w:ascii="仿宋_GB2312" w:hAnsi="宋体" w:eastAsia="仿宋_GB2312" w:cs="宋体"/>
          <w:spacing w:val="8"/>
          <w:kern w:val="0"/>
          <w:sz w:val="32"/>
          <w:szCs w:val="32"/>
        </w:rPr>
      </w:pPr>
      <w:r>
        <w:rPr>
          <w:rFonts w:hint="eastAsia" w:ascii="楷体_GB2312" w:hAnsi="宋体" w:eastAsia="楷体_GB2312"/>
          <w:b/>
          <w:sz w:val="32"/>
          <w:szCs w:val="32"/>
        </w:rPr>
        <w:t>（一）组织领导</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成立交通局政府信息公开工作领导小组，构建主要领导负总责、分管领导具体抓、职能科室专人办的工作格局，形成了一级抓一级，层层抓落实的良好局面，坚持落实月汇总，季调度，半年检查工作制度。本着“规范、便捷、实用”的原则，在局机关大厅内设立政府信息公开栏，便于群众查阅，并对网上发布的信息做到了随时更新。</w:t>
      </w:r>
    </w:p>
    <w:p>
      <w:pPr>
        <w:widowControl/>
        <w:spacing w:line="560" w:lineRule="exact"/>
        <w:ind w:firstLine="675"/>
        <w:jc w:val="left"/>
        <w:rPr>
          <w:rFonts w:ascii="楷体_GB2312" w:hAnsi="宋体" w:eastAsia="楷体_GB2312"/>
          <w:b/>
          <w:sz w:val="32"/>
          <w:szCs w:val="32"/>
        </w:rPr>
      </w:pPr>
      <w:r>
        <w:rPr>
          <w:rFonts w:hint="eastAsia" w:ascii="楷体_GB2312" w:hAnsi="宋体" w:eastAsia="楷体_GB2312"/>
          <w:b/>
          <w:sz w:val="32"/>
          <w:szCs w:val="32"/>
        </w:rPr>
        <w:t>（二）主动公开</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2021年，我局进一步规范、完善政府信息公开指南和公开目录，在各公开栏目依法及时、准确、全面发布了政府信息。截止2021年12月31日，主动公开信息190条，进一步扩大了社会公众的知情权、参与权和监督权。</w:t>
      </w:r>
    </w:p>
    <w:p>
      <w:pPr>
        <w:spacing w:line="560" w:lineRule="exact"/>
        <w:ind w:firstLine="643" w:firstLineChars="200"/>
        <w:jc w:val="left"/>
        <w:rPr>
          <w:rFonts w:ascii="楷体_GB2312" w:hAnsi="宋体" w:eastAsia="楷体_GB2312"/>
          <w:b/>
          <w:sz w:val="32"/>
          <w:szCs w:val="32"/>
        </w:rPr>
      </w:pPr>
      <w:r>
        <w:rPr>
          <w:rFonts w:hint="eastAsia" w:ascii="楷体_GB2312" w:hAnsi="宋体" w:eastAsia="楷体_GB2312"/>
          <w:b/>
          <w:sz w:val="32"/>
          <w:szCs w:val="32"/>
        </w:rPr>
        <w:t>（三）依申请公开</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2021年，我局共接到依申请公开办件3件，均已按时完成答复。</w:t>
      </w:r>
    </w:p>
    <w:p>
      <w:pPr>
        <w:spacing w:line="560" w:lineRule="exact"/>
        <w:ind w:firstLine="643" w:firstLineChars="200"/>
        <w:jc w:val="left"/>
        <w:rPr>
          <w:rFonts w:ascii="楷体_GB2312" w:hAnsi="宋体" w:eastAsia="楷体_GB2312"/>
          <w:b/>
          <w:sz w:val="32"/>
          <w:szCs w:val="32"/>
        </w:rPr>
      </w:pPr>
      <w:r>
        <w:rPr>
          <w:rFonts w:hint="eastAsia" w:ascii="楷体_GB2312" w:hAnsi="宋体" w:eastAsia="楷体_GB2312"/>
          <w:b/>
          <w:sz w:val="32"/>
          <w:szCs w:val="32"/>
        </w:rPr>
        <w:t>（四）政府信息管理</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一是加强公开工作制度建设。积极提高政务公开工作的制度化标准化水平。加强对规范性文件的公开管理，进一步完善公开信息保密审查制度，不断增强工作透明度，保障公民、法人和其他组织的知情权、参与权、表达权，切实加强人民群众对我局工作的有效监督。二是提高政务公开队伍专业化理论化水平。制定《通州区交通局政务公开管理制度》，明确公开范围、渠道、信息来源、信息发布流程和严格执行三级审核机制的要求，切实加强对政务公开工作的指导。</w:t>
      </w:r>
    </w:p>
    <w:p>
      <w:pPr>
        <w:spacing w:line="560" w:lineRule="exact"/>
        <w:ind w:firstLine="643" w:firstLineChars="200"/>
        <w:jc w:val="left"/>
        <w:rPr>
          <w:rFonts w:ascii="楷体_GB2312" w:hAnsi="宋体" w:eastAsia="楷体_GB2312"/>
          <w:b/>
          <w:sz w:val="32"/>
          <w:szCs w:val="32"/>
        </w:rPr>
      </w:pPr>
      <w:r>
        <w:rPr>
          <w:rFonts w:hint="eastAsia" w:ascii="楷体_GB2312" w:hAnsi="宋体" w:eastAsia="楷体_GB2312"/>
          <w:b/>
          <w:sz w:val="32"/>
          <w:szCs w:val="32"/>
        </w:rPr>
        <w:t>（五）规范平台建设</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充分发挥政府网站作为政府信息公开第一平台的作用，及时发布主动公开的政府信息，积极协调各科室信息公开，加大门户网站宣传工作力度，不断提升公开信息集中度，丰富公开信息内容，提高信息质量。</w:t>
      </w:r>
    </w:p>
    <w:p>
      <w:pPr>
        <w:spacing w:line="560" w:lineRule="exact"/>
        <w:ind w:firstLine="643" w:firstLineChars="200"/>
        <w:jc w:val="left"/>
        <w:rPr>
          <w:rFonts w:ascii="楷体_GB2312" w:hAnsi="宋体" w:eastAsia="楷体_GB2312"/>
          <w:b/>
          <w:sz w:val="32"/>
          <w:szCs w:val="32"/>
        </w:rPr>
      </w:pPr>
      <w:r>
        <w:rPr>
          <w:rFonts w:hint="eastAsia" w:ascii="楷体_GB2312" w:hAnsi="宋体" w:eastAsia="楷体_GB2312"/>
          <w:b/>
          <w:sz w:val="32"/>
          <w:szCs w:val="32"/>
        </w:rPr>
        <w:t>（六）加强政务公开教育培训</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加强对局内各部门政务公开人员培训，增强政务公开意识，提高发布信息、解读政策、回应关切的能力，全面增强政务公开人员的政策理论和业务水平，提升了政务公开人员专业素质和能力水平。</w:t>
      </w:r>
    </w:p>
    <w:p>
      <w:pPr>
        <w:spacing w:line="560" w:lineRule="exact"/>
        <w:ind w:firstLine="643" w:firstLineChars="200"/>
        <w:jc w:val="left"/>
        <w:rPr>
          <w:rFonts w:ascii="楷体_GB2312" w:hAnsi="宋体" w:eastAsia="楷体_GB2312"/>
          <w:b/>
          <w:sz w:val="32"/>
          <w:szCs w:val="32"/>
        </w:rPr>
      </w:pPr>
      <w:r>
        <w:rPr>
          <w:rFonts w:hint="eastAsia" w:ascii="楷体_GB2312" w:hAnsi="宋体" w:eastAsia="楷体_GB2312"/>
          <w:b/>
          <w:sz w:val="32"/>
          <w:szCs w:val="32"/>
        </w:rPr>
        <w:t>（七）强化监督保障</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我局高度重视网站建设工作，把网站建设作为联系群众，新闻宣传的窗口，将其作为一项日常重点工作常抓不懈，建立健全《通州区交通局政务公开管理制度》，完善信息发布程序和时限规范化、制度化的管理。</w:t>
      </w:r>
    </w:p>
    <w:p>
      <w:pPr>
        <w:spacing w:line="560" w:lineRule="exact"/>
        <w:ind w:left="640"/>
        <w:rPr>
          <w:rFonts w:ascii="黑体" w:hAnsi="黑体" w:eastAsia="黑体" w:cs="黑体"/>
          <w:sz w:val="32"/>
          <w:szCs w:val="32"/>
        </w:rPr>
      </w:pPr>
      <w:r>
        <w:rPr>
          <w:rFonts w:hint="eastAsia" w:ascii="黑体" w:hAnsi="黑体" w:eastAsia="黑体" w:cs="黑体"/>
          <w:sz w:val="32"/>
          <w:szCs w:val="32"/>
        </w:rPr>
        <w:t>二、主动公开政府信息情况</w:t>
      </w:r>
    </w:p>
    <w:p>
      <w:pPr>
        <w:pStyle w:val="2"/>
      </w:pPr>
    </w:p>
    <w:p>
      <w:pPr>
        <w:pStyle w:val="2"/>
      </w:pPr>
    </w:p>
    <w:tbl>
      <w:tblPr>
        <w:tblStyle w:val="8"/>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Cs w:val="21"/>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bookmarkStart w:id="0" w:name="_GoBack" w:colFirst="0" w:colLast="3"/>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Cs w:val="21"/>
                <w:lang w:bidi="ar"/>
              </w:rPr>
              <w:t>5874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5332</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1891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宋体"/>
                <w:sz w:val="24"/>
              </w:rPr>
            </w:pPr>
            <w:r>
              <w:rPr>
                <w:rFonts w:hint="eastAsia" w:ascii="宋体"/>
                <w:sz w:val="24"/>
              </w:rPr>
              <w:t>0</w:t>
            </w:r>
          </w:p>
        </w:tc>
      </w:tr>
      <w:bookmarkEnd w:id="0"/>
    </w:tbl>
    <w:p>
      <w:pPr>
        <w:pStyle w:val="2"/>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三、收到和处理政府信息公开申请情况</w:t>
      </w:r>
    </w:p>
    <w:p>
      <w:pPr>
        <w:pStyle w:val="2"/>
      </w:pPr>
    </w:p>
    <w:p>
      <w:pPr>
        <w:pStyle w:val="2"/>
      </w:pPr>
    </w:p>
    <w:tbl>
      <w:tblPr>
        <w:tblStyle w:val="8"/>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widowControl/>
              <w:jc w:val="left"/>
            </w:pPr>
            <w:r>
              <w:rPr>
                <w:rFonts w:ascii="楷体" w:hAnsi="楷体" w:eastAsia="楷体" w:cs="楷体"/>
                <w:kern w:val="0"/>
                <w:sz w:val="20"/>
                <w:szCs w:val="20"/>
                <w:lang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ascii="宋体"/>
                <w:sz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8"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3</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2</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4"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4"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4"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4"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4"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4"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4"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4"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4"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jc w:val="center"/>
            </w:pPr>
            <w:r>
              <w:rPr>
                <w:rFonts w:hint="eastAsia" w:cs="Calibri"/>
                <w:kern w:val="0"/>
                <w:sz w:val="20"/>
                <w:szCs w:val="20"/>
                <w:lang w:bidi="ar"/>
              </w:rPr>
              <w:t>3</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tcPr>
          <w:p>
            <w:pPr>
              <w:widowControl/>
              <w:jc w:val="center"/>
            </w:pPr>
            <w:r>
              <w:rPr>
                <w:rFonts w:hint="eastAsia" w:cs="Calibri"/>
                <w:kern w:val="0"/>
                <w:sz w:val="20"/>
                <w:szCs w:val="20"/>
                <w:lang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4"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cs="Calibri"/>
                <w:kern w:val="0"/>
                <w:sz w:val="20"/>
                <w:szCs w:val="20"/>
                <w:lang w:bidi="ar"/>
              </w:rPr>
              <w:t>0</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cs="Calibri"/>
                <w:kern w:val="0"/>
                <w:sz w:val="20"/>
                <w:szCs w:val="20"/>
                <w:lang w:bidi="ar"/>
              </w:rPr>
              <w:t>0</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cs="Calibri"/>
                <w:kern w:val="0"/>
                <w:sz w:val="20"/>
                <w:szCs w:val="20"/>
                <w:lang w:bidi="ar"/>
              </w:rPr>
              <w:t>0</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cs="Calibri"/>
                <w:kern w:val="0"/>
                <w:sz w:val="20"/>
                <w:szCs w:val="20"/>
                <w:lang w:bidi="ar"/>
              </w:rPr>
              <w:t>0</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cs="Calibri"/>
                <w:kern w:val="0"/>
                <w:sz w:val="20"/>
                <w:szCs w:val="20"/>
                <w:lang w:bidi="ar"/>
              </w:rPr>
              <w:t>0</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cs="Calibri"/>
                <w:kern w:val="0"/>
                <w:sz w:val="20"/>
                <w:szCs w:val="20"/>
                <w:lang w:bidi="ar"/>
              </w:rPr>
              <w:t>0</w:t>
            </w:r>
          </w:p>
        </w:tc>
        <w:tc>
          <w:tcPr>
            <w:tcW w:w="0" w:type="auto"/>
            <w:tcBorders>
              <w:top w:val="single" w:color="auto" w:sz="4" w:space="0"/>
              <w:left w:val="single" w:color="auto" w:sz="4" w:space="0"/>
              <w:bottom w:val="single" w:color="auto" w:sz="4" w:space="0"/>
              <w:right w:val="single" w:color="auto" w:sz="4" w:space="0"/>
            </w:tcBorders>
          </w:tcPr>
          <w:p>
            <w:pPr>
              <w:widowControl/>
              <w:jc w:val="center"/>
            </w:pPr>
            <w:r>
              <w:rPr>
                <w:rFonts w:hint="eastAsia" w:cs="Calibri"/>
                <w:kern w:val="0"/>
                <w:sz w:val="20"/>
                <w:szCs w:val="20"/>
                <w:lang w:bidi="ar"/>
              </w:rPr>
              <w:t>0</w:t>
            </w:r>
          </w:p>
        </w:tc>
      </w:tr>
    </w:tbl>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p>
      <w:pPr>
        <w:widowControl/>
        <w:jc w:val="center"/>
      </w:pPr>
    </w:p>
    <w:tbl>
      <w:tblPr>
        <w:tblStyle w:val="8"/>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2</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rPr>
              <w:t>2</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ascii="宋体"/>
                <w:sz w:val="24"/>
              </w:rPr>
            </w:pPr>
            <w:r>
              <w:rPr>
                <w:rFonts w:hint="eastAsia" w:ascii="宋体"/>
                <w:sz w:val="24"/>
              </w:rPr>
              <w:t>0</w:t>
            </w:r>
          </w:p>
        </w:tc>
      </w:tr>
    </w:tbl>
    <w:p>
      <w:pPr>
        <w:widowControl/>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widowControl/>
        <w:spacing w:line="560" w:lineRule="exact"/>
        <w:ind w:firstLine="675" w:firstLineChars="200"/>
        <w:jc w:val="left"/>
        <w:rPr>
          <w:rFonts w:ascii="楷体_GB2312" w:hAnsi="宋体" w:eastAsia="楷体_GB2312" w:cs="宋体"/>
          <w:b/>
          <w:spacing w:val="8"/>
          <w:kern w:val="0"/>
          <w:sz w:val="32"/>
          <w:szCs w:val="32"/>
        </w:rPr>
      </w:pPr>
      <w:r>
        <w:rPr>
          <w:rFonts w:hint="eastAsia" w:ascii="楷体_GB2312" w:hAnsi="宋体" w:eastAsia="楷体_GB2312" w:cs="宋体"/>
          <w:b/>
          <w:spacing w:val="8"/>
          <w:kern w:val="0"/>
          <w:sz w:val="32"/>
          <w:szCs w:val="32"/>
        </w:rPr>
        <w:t>（一）公开意识方面</w:t>
      </w:r>
    </w:p>
    <w:p>
      <w:pPr>
        <w:widowControl/>
        <w:spacing w:line="560" w:lineRule="exact"/>
        <w:ind w:firstLine="672" w:firstLineChars="200"/>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主要问题：动态信息更新不够及时。</w:t>
      </w:r>
    </w:p>
    <w:p>
      <w:pPr>
        <w:widowControl/>
        <w:spacing w:line="560" w:lineRule="exact"/>
        <w:ind w:firstLine="672" w:firstLineChars="200"/>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改进方向：加强与机关内部各科室之间联系，及时将各科室生成的信息发布到网上，尽量做到信息生成与发布保持同步。</w:t>
      </w:r>
    </w:p>
    <w:p>
      <w:pPr>
        <w:widowControl/>
        <w:spacing w:line="560" w:lineRule="exact"/>
        <w:ind w:firstLine="675" w:firstLineChars="200"/>
        <w:jc w:val="left"/>
        <w:rPr>
          <w:rFonts w:ascii="楷体_GB2312" w:hAnsi="宋体" w:eastAsia="楷体_GB2312" w:cs="宋体"/>
          <w:b/>
          <w:spacing w:val="8"/>
          <w:kern w:val="0"/>
          <w:sz w:val="32"/>
          <w:szCs w:val="32"/>
        </w:rPr>
      </w:pPr>
      <w:r>
        <w:rPr>
          <w:rFonts w:hint="eastAsia" w:ascii="楷体_GB2312" w:hAnsi="宋体" w:eastAsia="楷体_GB2312" w:cs="宋体"/>
          <w:b/>
          <w:spacing w:val="8"/>
          <w:kern w:val="0"/>
          <w:sz w:val="32"/>
          <w:szCs w:val="32"/>
        </w:rPr>
        <w:t>（二）信息内容方面</w:t>
      </w:r>
    </w:p>
    <w:p>
      <w:pPr>
        <w:widowControl/>
        <w:spacing w:line="560" w:lineRule="exact"/>
        <w:ind w:firstLine="672" w:firstLineChars="200"/>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主要问题：主动公开政府信息的数量还需要增加，公开的内容需要进一步细化。</w:t>
      </w:r>
    </w:p>
    <w:p>
      <w:pPr>
        <w:widowControl/>
        <w:spacing w:line="560" w:lineRule="exact"/>
        <w:ind w:firstLine="672" w:firstLineChars="200"/>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改进方向：一是扩大信息公开的范围，除正式文件外，其他由我局生成的对社会公众有指导或帮助意义的信息也要纳入信息公开的范畴之中予以发布。二是进一步加强政府信息公开宣传力度，提高公众对交通局政府信息公开的知晓率和参与度。主动收集公开信息，跟进办事程序，及时准确公布办事结果。三是健全工作机制，形成工作有部署、实施有检查、年终有考核、违规违纪有责任追究的工作机制，确保广大群众对交通局工作的知情权、参与权和监督权。</w:t>
      </w:r>
    </w:p>
    <w:p>
      <w:pPr>
        <w:widowControl/>
        <w:spacing w:line="560" w:lineRule="exact"/>
        <w:ind w:firstLine="672" w:firstLineChars="200"/>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ind w:firstLine="672" w:firstLineChars="200"/>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本单位依据《政府信息公开信息处理费管理办法》收取信息处理费，2021年发出收费通知的件数0件，总金额0元。实际收取的总金额0元。</w:t>
      </w:r>
    </w:p>
    <w:p>
      <w:pPr>
        <w:widowControl/>
        <w:spacing w:line="560" w:lineRule="exact"/>
        <w:ind w:firstLine="672" w:firstLineChars="200"/>
        <w:jc w:val="left"/>
        <w:rPr>
          <w:rFonts w:ascii="仿宋_GB2312" w:hAnsi="宋体" w:eastAsia="仿宋_GB2312" w:cs="宋体"/>
          <w:color w:val="9BC2E6"/>
          <w:spacing w:val="8"/>
          <w:kern w:val="0"/>
          <w:sz w:val="32"/>
          <w:szCs w:val="32"/>
        </w:rPr>
      </w:pPr>
      <w:r>
        <w:rPr>
          <w:rFonts w:hint="eastAsia" w:ascii="仿宋_GB2312" w:hAnsi="宋体" w:eastAsia="仿宋_GB2312" w:cs="宋体"/>
          <w:spacing w:val="8"/>
          <w:kern w:val="0"/>
          <w:sz w:val="32"/>
          <w:szCs w:val="32"/>
        </w:rPr>
        <w:t>北京市通州区人民政府政务门户网站网址为http://www.bjtzh.gov.cn/，如需了解更多政府信息，请登录查询。</w:t>
      </w:r>
    </w:p>
    <w:p>
      <w:pPr>
        <w:spacing w:line="560" w:lineRule="exact"/>
        <w:ind w:firstLine="200"/>
      </w:pPr>
    </w:p>
    <w:p>
      <w:pPr>
        <w:spacing w:line="560" w:lineRule="exact"/>
        <w:ind w:firstLine="200"/>
      </w:pPr>
    </w:p>
    <w:p>
      <w:pPr>
        <w:adjustRightInd w:val="0"/>
        <w:snapToGrid w:val="0"/>
        <w:spacing w:line="560" w:lineRule="exact"/>
        <w:ind w:firstLine="640" w:firstLineChars="200"/>
        <w:rPr>
          <w:rFonts w:ascii="仿宋_GB2312" w:hAnsi="仿宋_GB2312" w:eastAsia="仿宋_GB2312" w:cs="仿宋_GB2312"/>
          <w:sz w:val="32"/>
          <w:szCs w:val="32"/>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55B57"/>
    <w:rsid w:val="00076961"/>
    <w:rsid w:val="002220BE"/>
    <w:rsid w:val="00232460"/>
    <w:rsid w:val="00286142"/>
    <w:rsid w:val="00362C0D"/>
    <w:rsid w:val="00457E66"/>
    <w:rsid w:val="00472F68"/>
    <w:rsid w:val="006E6B90"/>
    <w:rsid w:val="00701C62"/>
    <w:rsid w:val="007905ED"/>
    <w:rsid w:val="008B00B0"/>
    <w:rsid w:val="008D19FE"/>
    <w:rsid w:val="00904D0A"/>
    <w:rsid w:val="00905018"/>
    <w:rsid w:val="00976D41"/>
    <w:rsid w:val="009B3CB5"/>
    <w:rsid w:val="00B56EC2"/>
    <w:rsid w:val="00B72023"/>
    <w:rsid w:val="00B809FB"/>
    <w:rsid w:val="00BA0B50"/>
    <w:rsid w:val="00BA514E"/>
    <w:rsid w:val="00BC5E34"/>
    <w:rsid w:val="00C95A66"/>
    <w:rsid w:val="00CF5AC0"/>
    <w:rsid w:val="00DB118B"/>
    <w:rsid w:val="00E1303B"/>
    <w:rsid w:val="00E5394D"/>
    <w:rsid w:val="010F5CB0"/>
    <w:rsid w:val="020E7372"/>
    <w:rsid w:val="037D5E10"/>
    <w:rsid w:val="04D1276B"/>
    <w:rsid w:val="07F813C7"/>
    <w:rsid w:val="0A826F96"/>
    <w:rsid w:val="0CBB1A54"/>
    <w:rsid w:val="0E7E0858"/>
    <w:rsid w:val="14470F9D"/>
    <w:rsid w:val="14A17984"/>
    <w:rsid w:val="157214B0"/>
    <w:rsid w:val="17217E52"/>
    <w:rsid w:val="19D73DAC"/>
    <w:rsid w:val="1E3F1448"/>
    <w:rsid w:val="247B746E"/>
    <w:rsid w:val="27470A1C"/>
    <w:rsid w:val="29AE54B9"/>
    <w:rsid w:val="2CA6446F"/>
    <w:rsid w:val="2CEB6771"/>
    <w:rsid w:val="2EF6189F"/>
    <w:rsid w:val="30FB3D2A"/>
    <w:rsid w:val="32F87D28"/>
    <w:rsid w:val="38780662"/>
    <w:rsid w:val="3D255B57"/>
    <w:rsid w:val="425B2749"/>
    <w:rsid w:val="4C074CEF"/>
    <w:rsid w:val="555978B6"/>
    <w:rsid w:val="55CC51C1"/>
    <w:rsid w:val="575437DF"/>
    <w:rsid w:val="5AFA3E4F"/>
    <w:rsid w:val="5DA9301B"/>
    <w:rsid w:val="5DED1905"/>
    <w:rsid w:val="5E282F0F"/>
    <w:rsid w:val="5E7231FE"/>
    <w:rsid w:val="62AD78B3"/>
    <w:rsid w:val="65A63F93"/>
    <w:rsid w:val="666138CB"/>
    <w:rsid w:val="6CEB6ECC"/>
    <w:rsid w:val="74064D96"/>
    <w:rsid w:val="780218A6"/>
    <w:rsid w:val="7C640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7">
    <w:name w:val="Normal (Web)"/>
    <w:basedOn w:val="1"/>
    <w:unhideWhenUsed/>
    <w:qFormat/>
    <w:uiPriority w:val="99"/>
    <w:pPr>
      <w:widowControl/>
      <w:spacing w:before="100" w:beforeAutospacing="1" w:after="100" w:afterAutospacing="1"/>
      <w:jc w:val="left"/>
    </w:pPr>
    <w:rPr>
      <w:rFonts w:hint="eastAsia" w:ascii="宋体" w:hAnsi="宋体" w:cs="宋体"/>
      <w:color w:val="000000"/>
      <w:kern w:val="0"/>
      <w:sz w:val="24"/>
    </w:rPr>
  </w:style>
  <w:style w:type="character" w:styleId="10">
    <w:name w:val="Hyperlink"/>
    <w:basedOn w:val="9"/>
    <w:qFormat/>
    <w:uiPriority w:val="0"/>
    <w:rPr>
      <w:color w:val="000000"/>
      <w:u w:val="none"/>
    </w:rPr>
  </w:style>
  <w:style w:type="character" w:customStyle="1" w:styleId="11">
    <w:name w:val="批注框文本 Char"/>
    <w:basedOn w:val="9"/>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429</Words>
  <Characters>2448</Characters>
  <Lines>20</Lines>
  <Paragraphs>5</Paragraphs>
  <TotalTime>75</TotalTime>
  <ScaleCrop>false</ScaleCrop>
  <LinksUpToDate>false</LinksUpToDate>
  <CharactersWithSpaces>2872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2022-01-05T08:32:00Z</dcterms:created>
  <dc:creator>一米阳光66</dc:creator>
  <cp:lastModifiedBy>评测</cp:lastModifiedBy>
  <cp:lastPrinted>2019-12-12T01:52:00Z</cp:lastPrinted>
  <dcterms:modified xsi:type="dcterms:W3CDTF">2022-01-13T10:03:50Z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ED21FE9C71F843749876B8DEAC7C7C3F</vt:lpwstr>
  </property>
</Properties>
</file>