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ascii="方正小标宋简体" w:hAnsi="方正小标宋简体" w:eastAsia="方正小标宋简体" w:cs="方正小标宋简体"/>
          <w:sz w:val="44"/>
          <w:szCs w:val="44"/>
        </w:rPr>
      </w:pPr>
    </w:p>
    <w:p>
      <w:pPr>
        <w:spacing w:line="5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北京市通州区农业农村局2021年政府信息公开工作年度报告</w:t>
      </w:r>
    </w:p>
    <w:p>
      <w:pPr>
        <w:spacing w:line="560" w:lineRule="exact"/>
        <w:jc w:val="center"/>
        <w:rPr>
          <w:sz w:val="44"/>
          <w:szCs w:val="44"/>
        </w:rPr>
      </w:pPr>
    </w:p>
    <w:p>
      <w:pPr>
        <w:widowControl/>
        <w:spacing w:line="560" w:lineRule="exact"/>
        <w:jc w:val="left"/>
        <w:rPr>
          <w:rFonts w:ascii="仿宋_GB2312" w:hAnsi="宋体" w:eastAsia="仿宋_GB2312" w:cs="宋体"/>
          <w:spacing w:val="8"/>
          <w:kern w:val="0"/>
          <w:sz w:val="32"/>
          <w:szCs w:val="32"/>
        </w:rPr>
      </w:pPr>
      <w:r>
        <w:rPr>
          <w:rFonts w:hint="eastAsia" w:ascii="微软雅黑" w:hAnsi="微软雅黑" w:eastAsia="微软雅黑" w:cs="宋体"/>
          <w:color w:val="404040"/>
          <w:kern w:val="0"/>
          <w:sz w:val="24"/>
        </w:rPr>
        <w:t>　</w:t>
      </w:r>
      <w:r>
        <w:rPr>
          <w:rFonts w:hint="eastAsia" w:ascii="微软雅黑" w:hAnsi="微软雅黑" w:eastAsia="微软雅黑" w:cs="宋体"/>
          <w:color w:val="404040"/>
          <w:kern w:val="0"/>
          <w:sz w:val="32"/>
          <w:szCs w:val="32"/>
        </w:rPr>
        <w:t xml:space="preserve"> </w:t>
      </w:r>
      <w:r>
        <w:rPr>
          <w:rFonts w:ascii="微软雅黑" w:hAnsi="微软雅黑" w:eastAsia="微软雅黑" w:cs="宋体"/>
          <w:color w:val="404040"/>
          <w:kern w:val="0"/>
          <w:sz w:val="32"/>
          <w:szCs w:val="32"/>
        </w:rPr>
        <w:t xml:space="preserve">  </w:t>
      </w:r>
      <w:r>
        <w:rPr>
          <w:rFonts w:hint="eastAsia" w:ascii="仿宋_GB2312" w:hAnsi="宋体" w:eastAsia="仿宋_GB2312" w:cs="宋体"/>
          <w:spacing w:val="8"/>
          <w:kern w:val="0"/>
          <w:sz w:val="32"/>
          <w:szCs w:val="32"/>
        </w:rPr>
        <w:t>依据《中华人民共和国政府信息公开条例》(以下简称《政府信息公开条例》)第五十条规定，编制本报告。</w:t>
      </w:r>
    </w:p>
    <w:p>
      <w:pPr>
        <w:widowControl/>
        <w:spacing w:line="560" w:lineRule="exact"/>
        <w:ind w:firstLine="672" w:firstLineChars="200"/>
        <w:jc w:val="left"/>
        <w:rPr>
          <w:rFonts w:ascii="黑体" w:hAnsi="黑体" w:eastAsia="黑体" w:cs="宋体"/>
          <w:spacing w:val="8"/>
          <w:kern w:val="0"/>
          <w:sz w:val="32"/>
          <w:szCs w:val="32"/>
        </w:rPr>
      </w:pPr>
      <w:r>
        <w:rPr>
          <w:rFonts w:ascii="黑体" w:hAnsi="黑体" w:eastAsia="黑体" w:cs="宋体"/>
          <w:spacing w:val="8"/>
          <w:kern w:val="0"/>
          <w:sz w:val="32"/>
          <w:szCs w:val="32"/>
        </w:rPr>
        <w:t>一、总体情况</w:t>
      </w:r>
    </w:p>
    <w:p>
      <w:pPr>
        <w:numPr>
          <w:ilvl w:val="0"/>
          <w:numId w:val="0"/>
        </w:numPr>
        <w:ind w:firstLine="643" w:firstLineChars="200"/>
        <w:rPr>
          <w:rFonts w:ascii="仿宋_GB2312" w:hAnsi="华文仿宋" w:eastAsia="仿宋_GB2312"/>
          <w:b/>
          <w:color w:val="000000" w:themeColor="text1"/>
          <w:sz w:val="32"/>
          <w:szCs w:val="32"/>
          <w14:textFill>
            <w14:solidFill>
              <w14:schemeClr w14:val="tx1"/>
            </w14:solidFill>
          </w14:textFill>
        </w:rPr>
      </w:pPr>
      <w:r>
        <w:rPr>
          <w:rFonts w:hint="eastAsia" w:ascii="仿宋_GB2312" w:hAnsi="华文仿宋" w:eastAsia="仿宋_GB2312"/>
          <w:b/>
          <w:color w:val="000000" w:themeColor="text1"/>
          <w:sz w:val="32"/>
          <w:szCs w:val="32"/>
          <w:lang w:val="en-US" w:eastAsia="zh-CN"/>
          <w14:textFill>
            <w14:solidFill>
              <w14:schemeClr w14:val="tx1"/>
            </w14:solidFill>
          </w14:textFill>
        </w:rPr>
        <w:t>一是</w:t>
      </w:r>
      <w:r>
        <w:rPr>
          <w:rFonts w:hint="eastAsia" w:ascii="仿宋_GB2312" w:hAnsi="华文仿宋" w:eastAsia="仿宋_GB2312"/>
          <w:b/>
          <w:color w:val="000000" w:themeColor="text1"/>
          <w:sz w:val="32"/>
          <w:szCs w:val="32"/>
          <w14:textFill>
            <w14:solidFill>
              <w14:schemeClr w14:val="tx1"/>
            </w14:solidFill>
          </w14:textFill>
        </w:rPr>
        <w:t>加强政府信息公开、依申请公开力度，扎实做好各网站栏目内容更新。</w:t>
      </w:r>
    </w:p>
    <w:p>
      <w:pPr>
        <w:ind w:firstLine="640" w:firstLineChars="200"/>
        <w:rPr>
          <w:rFonts w:ascii="仿宋_GB2312" w:hAnsi="华文仿宋" w:eastAsia="仿宋_GB2312"/>
          <w:color w:val="000000" w:themeColor="text1"/>
          <w:sz w:val="32"/>
          <w:szCs w:val="32"/>
          <w14:textFill>
            <w14:solidFill>
              <w14:schemeClr w14:val="tx1"/>
            </w14:solidFill>
          </w14:textFill>
        </w:rPr>
      </w:pPr>
      <w:r>
        <w:rPr>
          <w:rFonts w:hint="eastAsia" w:ascii="仿宋_GB2312" w:hAnsi="华文仿宋" w:eastAsia="仿宋_GB2312"/>
          <w:color w:val="000000" w:themeColor="text1"/>
          <w:sz w:val="32"/>
          <w:szCs w:val="32"/>
          <w14:textFill>
            <w14:solidFill>
              <w14:schemeClr w14:val="tx1"/>
            </w14:solidFill>
          </w14:textFill>
        </w:rPr>
        <w:t>2021年紧紧围绕通州区人民政府网（首都之窗·北京通州）开展信息公开工作。对网站中涉及的各栏目及时进行更新，图文并茂地展示我区现代“三农”风采。一是通过网络平台，对我局各项业务工作进行全方位宣传报道。截至目前对全区涉及“三农”工作开展情况进行实时报道77篇。二是对本年度行政处罚、行政许可、依申请公开事项进行依法公开。2021年我局共接到依申请公开7次，按照《政府信息公开管理条例》中规定的流程对申请人进行相关答复并记录留档在案。三是着重对通州区政府网站农业农村局版块进行全面维护。目前我局的信息公开网站已经完成重组建设，对以往更新不及时、网站存在错误、栏目内容不存在等现象进行重新布局并及时上报网站内所有栏目的相关信息材料。</w:t>
      </w:r>
    </w:p>
    <w:p>
      <w:pPr>
        <w:numPr>
          <w:ilvl w:val="0"/>
          <w:numId w:val="0"/>
        </w:numPr>
        <w:ind w:firstLine="643" w:firstLineChars="200"/>
        <w:rPr>
          <w:rFonts w:ascii="仿宋_GB2312" w:eastAsia="仿宋_GB2312"/>
          <w:b/>
          <w:color w:val="000000" w:themeColor="text1"/>
          <w:sz w:val="32"/>
          <w:szCs w:val="32"/>
          <w14:textFill>
            <w14:solidFill>
              <w14:schemeClr w14:val="tx1"/>
            </w14:solidFill>
          </w14:textFill>
        </w:rPr>
      </w:pPr>
      <w:r>
        <w:rPr>
          <w:rFonts w:hint="eastAsia" w:ascii="仿宋_GB2312" w:hAnsi="华文仿宋" w:eastAsia="仿宋_GB2312"/>
          <w:b/>
          <w:color w:val="000000" w:themeColor="text1"/>
          <w:sz w:val="32"/>
          <w:szCs w:val="32"/>
          <w:lang w:val="en-US" w:eastAsia="zh-CN"/>
          <w14:textFill>
            <w14:solidFill>
              <w14:schemeClr w14:val="tx1"/>
            </w14:solidFill>
          </w14:textFill>
        </w:rPr>
        <w:t>二是</w:t>
      </w:r>
      <w:r>
        <w:rPr>
          <w:rFonts w:hint="eastAsia" w:ascii="仿宋_GB2312" w:hAnsi="华文仿宋" w:eastAsia="仿宋_GB2312"/>
          <w:b/>
          <w:color w:val="000000" w:themeColor="text1"/>
          <w:sz w:val="32"/>
          <w:szCs w:val="32"/>
          <w14:textFill>
            <w14:solidFill>
              <w14:schemeClr w14:val="tx1"/>
            </w14:solidFill>
          </w14:textFill>
        </w:rPr>
        <w:t>扎实做好信息宣传工作，引导正确舆论导向，展现现代都市农业新风采</w:t>
      </w:r>
      <w:r>
        <w:rPr>
          <w:rFonts w:hint="eastAsia" w:ascii="仿宋_GB2312" w:eastAsia="仿宋_GB2312"/>
          <w:b/>
          <w:color w:val="000000" w:themeColor="text1"/>
          <w:sz w:val="32"/>
          <w:szCs w:val="32"/>
          <w14:textFill>
            <w14:solidFill>
              <w14:schemeClr w14:val="tx1"/>
            </w14:solidFill>
          </w14:textFill>
        </w:rPr>
        <w:t>。</w:t>
      </w:r>
    </w:p>
    <w:p>
      <w:pPr>
        <w:ind w:firstLine="640" w:firstLineChars="200"/>
        <w:rPr>
          <w:rFonts w:hint="eastAsia" w:ascii="仿宋_GB2312" w:hAnsi="华文仿宋" w:eastAsia="仿宋_GB2312"/>
          <w:color w:val="000000" w:themeColor="text1"/>
          <w:sz w:val="32"/>
          <w:szCs w:val="32"/>
          <w14:textFill>
            <w14:solidFill>
              <w14:schemeClr w14:val="tx1"/>
            </w14:solidFill>
          </w14:textFill>
        </w:rPr>
      </w:pPr>
      <w:r>
        <w:rPr>
          <w:rFonts w:hint="eastAsia" w:ascii="仿宋_GB2312" w:hAnsi="华文仿宋" w:eastAsia="仿宋_GB2312"/>
          <w:color w:val="000000" w:themeColor="text1"/>
          <w:sz w:val="32"/>
          <w:szCs w:val="32"/>
          <w14:textFill>
            <w14:solidFill>
              <w14:schemeClr w14:val="tx1"/>
            </w14:solidFill>
          </w14:textFill>
        </w:rPr>
        <w:t>全方位做好全方位信息宣传工作，展现我区农业特色。今</w:t>
      </w:r>
      <w:r>
        <w:rPr>
          <w:rFonts w:hint="eastAsia" w:ascii="仿宋_GB2312" w:hAnsi="华文仿宋" w:eastAsia="仿宋_GB2312"/>
          <w:sz w:val="32"/>
          <w:szCs w:val="32"/>
        </w:rPr>
        <w:t>年我局共向各类新闻媒体报送稿件200余条。</w:t>
      </w:r>
      <w:r>
        <w:rPr>
          <w:rFonts w:hint="eastAsia" w:ascii="仿宋_GB2312" w:hAnsi="华文仿宋" w:eastAsia="仿宋_GB2312"/>
          <w:color w:val="000000" w:themeColor="text1"/>
          <w:sz w:val="32"/>
          <w:szCs w:val="32"/>
          <w14:textFill>
            <w14:solidFill>
              <w14:schemeClr w14:val="tx1"/>
            </w14:solidFill>
          </w14:textFill>
        </w:rPr>
        <w:t>同期在今日头条、北京日报、融汇副中心、大运通州网等新媒体及北京城市副中心报、通州电视台、北青报通州社区报等传统媒体利用电视、报纸、微信公众号、新媒体推送等途径对农民艺术节丰收节、通州渔政执法、美丽乡村建设，进行多角度、全方位的深度报道。</w:t>
      </w:r>
    </w:p>
    <w:p>
      <w:pPr>
        <w:ind w:firstLine="643" w:firstLineChars="200"/>
        <w:rPr>
          <w:rFonts w:ascii="仿宋_GB2312" w:hAnsi="华文仿宋" w:eastAsia="仿宋_GB2312"/>
          <w:b/>
          <w:bCs/>
          <w:color w:val="000000" w:themeColor="text1"/>
          <w:sz w:val="32"/>
          <w:szCs w:val="32"/>
          <w14:textFill>
            <w14:solidFill>
              <w14:schemeClr w14:val="tx1"/>
            </w14:solidFill>
          </w14:textFill>
        </w:rPr>
      </w:pPr>
      <w:r>
        <w:rPr>
          <w:rFonts w:hint="eastAsia" w:ascii="仿宋_GB2312" w:hAnsi="华文仿宋" w:eastAsia="仿宋_GB2312"/>
          <w:b/>
          <w:bCs/>
          <w:color w:val="000000" w:themeColor="text1"/>
          <w:sz w:val="32"/>
          <w:szCs w:val="32"/>
          <w:lang w:val="en-US" w:eastAsia="zh-CN"/>
          <w14:textFill>
            <w14:solidFill>
              <w14:schemeClr w14:val="tx1"/>
            </w14:solidFill>
          </w14:textFill>
        </w:rPr>
        <w:t>三是</w:t>
      </w:r>
      <w:r>
        <w:rPr>
          <w:rFonts w:hint="eastAsia" w:ascii="仿宋_GB2312" w:hAnsi="仿宋" w:eastAsia="仿宋_GB2312"/>
          <w:b/>
          <w:bCs/>
          <w:color w:val="000000" w:themeColor="text1"/>
          <w:sz w:val="32"/>
          <w:szCs w:val="32"/>
          <w14:textFill>
            <w14:solidFill>
              <w14:schemeClr w14:val="tx1"/>
            </w14:solidFill>
          </w14:textFill>
        </w:rPr>
        <w:t>加强农业农村局疫情期间宣传工作</w:t>
      </w:r>
      <w:r>
        <w:rPr>
          <w:rFonts w:hint="eastAsia" w:ascii="仿宋_GB2312" w:hAnsi="华文仿宋" w:eastAsia="仿宋_GB2312"/>
          <w:b/>
          <w:bCs/>
          <w:color w:val="000000" w:themeColor="text1"/>
          <w:sz w:val="32"/>
          <w:szCs w:val="32"/>
          <w14:textFill>
            <w14:solidFill>
              <w14:schemeClr w14:val="tx1"/>
            </w14:solidFill>
          </w14:textFill>
        </w:rPr>
        <w:t>。</w:t>
      </w:r>
    </w:p>
    <w:p>
      <w:pPr>
        <w:ind w:firstLine="640" w:firstLineChars="200"/>
        <w:rPr>
          <w:rFonts w:ascii="仿宋_GB2312" w:hAnsi="华文仿宋" w:eastAsia="仿宋_GB2312"/>
          <w:color w:val="000000" w:themeColor="text1"/>
          <w:sz w:val="32"/>
          <w:szCs w:val="32"/>
          <w14:textFill>
            <w14:solidFill>
              <w14:schemeClr w14:val="tx1"/>
            </w14:solidFill>
          </w14:textFill>
        </w:rPr>
      </w:pPr>
      <w:r>
        <w:rPr>
          <w:rFonts w:hint="eastAsia" w:ascii="仿宋_GB2312" w:hAnsi="华文仿宋" w:eastAsia="仿宋_GB2312"/>
          <w:color w:val="000000" w:themeColor="text1"/>
          <w:sz w:val="32"/>
          <w:szCs w:val="32"/>
          <w14:textFill>
            <w14:solidFill>
              <w14:schemeClr w14:val="tx1"/>
            </w14:solidFill>
          </w14:textFill>
        </w:rPr>
        <w:t>2021年我们继续把宣传工作重点放在了疫情防控上。本年度协调全局各科室整理全局疫情防控工作开展情况，汇总成简报共出刊56期。并在北京市疫情防控简报、通州区疫情防控简报等相关内部材料刊登。</w:t>
      </w:r>
    </w:p>
    <w:p>
      <w:pPr>
        <w:numPr>
          <w:ilvl w:val="0"/>
          <w:numId w:val="1"/>
        </w:numPr>
        <w:spacing w:line="560" w:lineRule="exact"/>
        <w:ind w:firstLine="640" w:firstLineChars="200"/>
        <w:rPr>
          <w:sz w:val="32"/>
          <w:szCs w:val="32"/>
        </w:rPr>
      </w:pPr>
      <w:r>
        <w:rPr>
          <w:rFonts w:hint="eastAsia" w:ascii="黑体" w:hAnsi="黑体" w:eastAsia="黑体" w:cs="黑体"/>
          <w:sz w:val="32"/>
          <w:szCs w:val="32"/>
        </w:rPr>
        <w:t>主动公开政府信息情况</w:t>
      </w:r>
    </w:p>
    <w:p>
      <w:pPr>
        <w:pStyle w:val="2"/>
      </w:pPr>
    </w:p>
    <w:tbl>
      <w:tblPr>
        <w:tblStyle w:val="8"/>
        <w:tblW w:w="9740" w:type="dxa"/>
        <w:jc w:val="center"/>
        <w:tblLayout w:type="fixed"/>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9BC2E6"/>
            <w:tcMar>
              <w:left w:w="57" w:type="dxa"/>
              <w:right w:w="57" w:type="dxa"/>
            </w:tcMar>
            <w:vAlign w:val="center"/>
          </w:tcPr>
          <w:p>
            <w:pPr>
              <w:widowControl/>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center"/>
            </w:pPr>
            <w:r>
              <w:rPr>
                <w:rFonts w:hint="eastAsia" w:ascii="宋体" w:hAnsi="宋体" w:cs="宋体"/>
                <w:color w:val="000000"/>
                <w:kern w:val="0"/>
                <w:sz w:val="20"/>
                <w:szCs w:val="20"/>
                <w:lang w:bidi="ar"/>
              </w:rPr>
              <w:t>信息内容</w:t>
            </w:r>
          </w:p>
        </w:tc>
        <w:tc>
          <w:tcPr>
            <w:tcW w:w="2435" w:type="dxa"/>
            <w:tcBorders>
              <w:top w:val="single" w:color="auto" w:sz="8" w:space="0"/>
              <w:left w:val="nil"/>
              <w:bottom w:val="single" w:color="auto" w:sz="8" w:space="0"/>
              <w:right w:val="single" w:color="auto" w:sz="8" w:space="0"/>
            </w:tcBorders>
            <w:shd w:val="clear" w:color="auto" w:fill="DDEBF7"/>
            <w:tcMar>
              <w:left w:w="57" w:type="dxa"/>
              <w:right w:w="57" w:type="dxa"/>
            </w:tcMar>
            <w:vAlign w:val="center"/>
          </w:tcPr>
          <w:p>
            <w:pPr>
              <w:widowControl/>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本年制发件数</w:t>
            </w:r>
          </w:p>
        </w:tc>
        <w:tc>
          <w:tcPr>
            <w:tcW w:w="2435" w:type="dxa"/>
            <w:tcBorders>
              <w:top w:val="single" w:color="auto" w:sz="8" w:space="0"/>
              <w:left w:val="nil"/>
              <w:bottom w:val="single" w:color="auto" w:sz="8" w:space="0"/>
              <w:right w:val="single" w:color="auto" w:sz="8" w:space="0"/>
            </w:tcBorders>
            <w:shd w:val="clear" w:color="auto" w:fill="DDEBF7"/>
            <w:tcMar>
              <w:left w:w="57" w:type="dxa"/>
              <w:right w:w="57" w:type="dxa"/>
            </w:tcMar>
            <w:vAlign w:val="center"/>
          </w:tcPr>
          <w:p>
            <w:pPr>
              <w:widowControl/>
              <w:jc w:val="center"/>
            </w:pPr>
            <w:r>
              <w:rPr>
                <w:rFonts w:hint="eastAsia" w:ascii="宋体" w:hAnsi="宋体" w:cs="宋体"/>
                <w:color w:val="000000"/>
                <w:kern w:val="0"/>
                <w:sz w:val="20"/>
                <w:szCs w:val="20"/>
                <w:lang w:bidi="ar"/>
              </w:rPr>
              <w:t>本年废止件数</w:t>
            </w:r>
          </w:p>
        </w:tc>
        <w:tc>
          <w:tcPr>
            <w:tcW w:w="2435" w:type="dxa"/>
            <w:tcBorders>
              <w:top w:val="single" w:color="auto" w:sz="8" w:space="0"/>
              <w:left w:val="nil"/>
              <w:bottom w:val="single" w:color="auto" w:sz="8" w:space="0"/>
              <w:right w:val="single" w:color="auto" w:sz="8" w:space="0"/>
            </w:tcBorders>
            <w:shd w:val="clear" w:color="auto" w:fill="DDEBF7"/>
            <w:tcMar>
              <w:left w:w="57" w:type="dxa"/>
              <w:right w:w="57" w:type="dxa"/>
            </w:tcMar>
            <w:vAlign w:val="center"/>
          </w:tcPr>
          <w:p>
            <w:pPr>
              <w:widowControl/>
              <w:jc w:val="center"/>
            </w:pPr>
            <w:r>
              <w:rPr>
                <w:rFonts w:hint="eastAsia" w:ascii="宋体" w:hAnsi="宋体" w:cs="宋体"/>
                <w:color w:val="000000"/>
                <w:kern w:val="0"/>
                <w:sz w:val="20"/>
                <w:szCs w:val="20"/>
                <w:lang w:bidi="ar"/>
              </w:rPr>
              <w:t>现行有效件</w:t>
            </w:r>
            <w:r>
              <w:rPr>
                <w:rFonts w:hint="eastAsia" w:ascii="宋体" w:hAnsi="宋体" w:cs="宋体"/>
                <w:kern w:val="0"/>
                <w:sz w:val="20"/>
                <w:szCs w:val="20"/>
                <w:lang w:bidi="ar"/>
              </w:rPr>
              <w:t>数</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left"/>
            </w:pPr>
            <w:r>
              <w:rPr>
                <w:rFonts w:hint="eastAsia" w:ascii="宋体" w:hAnsi="宋体" w:cs="宋体"/>
                <w:color w:val="000000"/>
                <w:kern w:val="0"/>
                <w:sz w:val="20"/>
                <w:szCs w:val="20"/>
                <w:lang w:bidi="ar"/>
              </w:rPr>
              <w:t>规章</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color w:val="000000"/>
                <w:kern w:val="0"/>
                <w:sz w:val="20"/>
                <w:szCs w:val="20"/>
                <w:lang w:bidi="ar"/>
              </w:rPr>
              <w:t>0</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color w:val="000000"/>
                <w:kern w:val="0"/>
                <w:sz w:val="20"/>
                <w:szCs w:val="20"/>
                <w:lang w:bidi="ar"/>
              </w:rPr>
              <w:t>0</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kern w:val="0"/>
                <w:sz w:val="20"/>
                <w:szCs w:val="20"/>
                <w:lang w:bidi="ar"/>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left"/>
            </w:pPr>
            <w:r>
              <w:rPr>
                <w:rFonts w:hint="eastAsia" w:ascii="宋体" w:hAnsi="宋体" w:cs="宋体"/>
                <w:color w:val="000000"/>
                <w:kern w:val="0"/>
                <w:sz w:val="20"/>
                <w:szCs w:val="20"/>
                <w:lang w:bidi="ar"/>
              </w:rPr>
              <w:t>行政规范性文件</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color w:val="000000"/>
                <w:kern w:val="0"/>
                <w:sz w:val="20"/>
                <w:szCs w:val="20"/>
                <w:lang w:bidi="ar"/>
              </w:rPr>
              <w:t>8</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Theme="majorEastAsia" w:hAnsiTheme="majorEastAsia" w:eastAsiaTheme="majorEastAsia" w:cstheme="majorEastAsia"/>
                <w:sz w:val="20"/>
                <w:szCs w:val="20"/>
                <w:lang w:eastAsia="zh-CN"/>
              </w:rPr>
            </w:pPr>
            <w:r>
              <w:rPr>
                <w:rFonts w:hint="eastAsia" w:asciiTheme="majorEastAsia" w:hAnsiTheme="majorEastAsia" w:eastAsiaTheme="majorEastAsia" w:cstheme="majorEastAsia"/>
                <w:color w:val="000000"/>
                <w:kern w:val="0"/>
                <w:sz w:val="20"/>
                <w:szCs w:val="20"/>
                <w:lang w:val="en-US" w:eastAsia="zh-CN" w:bidi="ar"/>
              </w:rPr>
              <w:t>0</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heme="majorEastAsia" w:hAnsiTheme="majorEastAsia" w:eastAsiaTheme="majorEastAsia" w:cstheme="majorEastAsia"/>
                <w:sz w:val="20"/>
                <w:szCs w:val="20"/>
                <w:lang w:val="en-US" w:eastAsia="zh-CN"/>
              </w:rPr>
            </w:pPr>
            <w:r>
              <w:rPr>
                <w:rStyle w:val="14"/>
                <w:rFonts w:hint="eastAsia" w:eastAsiaTheme="majorEastAsia"/>
                <w:lang w:val="en-US" w:eastAsia="zh-CN"/>
              </w:rPr>
              <w:t>13</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color w:val="000000"/>
                <w:kern w:val="0"/>
                <w:sz w:val="20"/>
                <w:szCs w:val="20"/>
                <w:lang w:bidi="ar"/>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center"/>
            </w:pPr>
            <w:r>
              <w:rPr>
                <w:rFonts w:hint="eastAsia" w:ascii="宋体" w:hAnsi="宋体" w:cs="宋体"/>
                <w:color w:val="000000"/>
                <w:kern w:val="0"/>
                <w:sz w:val="20"/>
                <w:szCs w:val="20"/>
                <w:lang w:bidi="ar"/>
              </w:rPr>
              <w:t>信息内容</w:t>
            </w:r>
          </w:p>
        </w:tc>
        <w:tc>
          <w:tcPr>
            <w:tcW w:w="7305" w:type="dxa"/>
            <w:gridSpan w:val="3"/>
            <w:tcBorders>
              <w:top w:val="nil"/>
              <w:left w:val="nil"/>
              <w:bottom w:val="single" w:color="auto" w:sz="8" w:space="0"/>
              <w:right w:val="single" w:color="auto" w:sz="8" w:space="0"/>
            </w:tcBorders>
            <w:shd w:val="clear" w:color="auto" w:fill="DDEBF7"/>
            <w:tcMar>
              <w:left w:w="57" w:type="dxa"/>
              <w:right w:w="57" w:type="dxa"/>
            </w:tcMar>
            <w:vAlign w:val="center"/>
          </w:tcPr>
          <w:p>
            <w:pPr>
              <w:widowControl/>
              <w:jc w:val="center"/>
            </w:pPr>
            <w:r>
              <w:rPr>
                <w:rFonts w:hint="eastAsia" w:ascii="宋体" w:hAnsi="宋体" w:cs="宋体"/>
                <w:color w:val="000000"/>
                <w:kern w:val="0"/>
                <w:sz w:val="20"/>
                <w:szCs w:val="20"/>
                <w:lang w:bidi="ar"/>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left"/>
            </w:pPr>
            <w:r>
              <w:rPr>
                <w:rFonts w:hint="eastAsia" w:ascii="宋体" w:hAnsi="宋体" w:cs="宋体"/>
                <w:color w:val="000000"/>
                <w:kern w:val="0"/>
                <w:sz w:val="20"/>
                <w:szCs w:val="20"/>
                <w:lang w:bidi="ar"/>
              </w:rPr>
              <w:t>行政许可</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仿宋" w:hAnsi="仿宋" w:eastAsia="仿宋" w:cs="仿宋"/>
                <w:kern w:val="0"/>
                <w:sz w:val="20"/>
                <w:szCs w:val="20"/>
                <w:lang w:bidi="ar"/>
              </w:rPr>
              <w:t>875892</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color w:val="000000"/>
                <w:kern w:val="0"/>
                <w:sz w:val="20"/>
                <w:szCs w:val="20"/>
                <w:lang w:bidi="ar"/>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center"/>
            </w:pPr>
            <w:r>
              <w:rPr>
                <w:rFonts w:hint="eastAsia" w:ascii="宋体" w:hAnsi="宋体" w:cs="宋体"/>
                <w:color w:val="000000"/>
                <w:kern w:val="0"/>
                <w:sz w:val="20"/>
                <w:szCs w:val="20"/>
                <w:lang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DDEBF7"/>
            <w:tcMar>
              <w:left w:w="57" w:type="dxa"/>
              <w:right w:w="57" w:type="dxa"/>
            </w:tcMar>
            <w:vAlign w:val="center"/>
          </w:tcPr>
          <w:p>
            <w:pPr>
              <w:widowControl/>
              <w:jc w:val="center"/>
            </w:pPr>
            <w:r>
              <w:rPr>
                <w:rFonts w:hint="eastAsia" w:ascii="宋体" w:hAnsi="宋体" w:cs="宋体"/>
                <w:color w:val="000000"/>
                <w:kern w:val="0"/>
                <w:sz w:val="20"/>
                <w:szCs w:val="20"/>
                <w:lang w:bidi="ar"/>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left"/>
            </w:pPr>
            <w:r>
              <w:rPr>
                <w:rFonts w:hint="eastAsia" w:ascii="宋体" w:hAnsi="宋体" w:cs="宋体"/>
                <w:color w:val="000000"/>
                <w:kern w:val="0"/>
                <w:sz w:val="20"/>
                <w:szCs w:val="20"/>
                <w:lang w:bidi="ar"/>
              </w:rPr>
              <w:t>行政处罚</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widowControl/>
              <w:jc w:val="center"/>
              <w:rPr>
                <w:sz w:val="20"/>
                <w:szCs w:val="20"/>
              </w:rPr>
            </w:pPr>
            <w:r>
              <w:rPr>
                <w:rFonts w:hint="eastAsia" w:ascii="宋体" w:hAnsi="宋体" w:cs="宋体"/>
                <w:color w:val="000000"/>
                <w:kern w:val="0"/>
                <w:sz w:val="20"/>
                <w:szCs w:val="20"/>
                <w:lang w:bidi="ar"/>
              </w:rPr>
              <w:t>249</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left"/>
            </w:pPr>
            <w:r>
              <w:rPr>
                <w:rFonts w:hint="eastAsia" w:ascii="宋体" w:hAnsi="宋体" w:cs="宋体"/>
                <w:color w:val="000000"/>
                <w:kern w:val="0"/>
                <w:sz w:val="20"/>
                <w:szCs w:val="20"/>
                <w:lang w:bidi="ar"/>
              </w:rPr>
              <w:t>行政强制</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widowControl/>
              <w:jc w:val="center"/>
              <w:rPr>
                <w:sz w:val="20"/>
                <w:szCs w:val="20"/>
              </w:rPr>
            </w:pPr>
            <w:r>
              <w:rPr>
                <w:rFonts w:hint="eastAsia" w:ascii="宋体" w:hAnsi="宋体" w:cs="宋体"/>
                <w:color w:val="000000"/>
                <w:kern w:val="0"/>
                <w:sz w:val="20"/>
                <w:szCs w:val="20"/>
                <w:lang w:bidi="ar"/>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color w:val="000000"/>
                <w:kern w:val="0"/>
                <w:sz w:val="20"/>
                <w:szCs w:val="20"/>
                <w:lang w:bidi="ar"/>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center"/>
            </w:pPr>
            <w:r>
              <w:rPr>
                <w:rFonts w:hint="eastAsia" w:ascii="宋体" w:hAnsi="宋体" w:cs="宋体"/>
                <w:color w:val="000000"/>
                <w:kern w:val="0"/>
                <w:sz w:val="20"/>
                <w:szCs w:val="20"/>
                <w:lang w:bidi="ar"/>
              </w:rPr>
              <w:t>信息内容</w:t>
            </w:r>
          </w:p>
        </w:tc>
        <w:tc>
          <w:tcPr>
            <w:tcW w:w="7305" w:type="dxa"/>
            <w:gridSpan w:val="3"/>
            <w:tcBorders>
              <w:top w:val="nil"/>
              <w:left w:val="nil"/>
              <w:bottom w:val="single" w:color="auto" w:sz="8" w:space="0"/>
              <w:right w:val="single" w:color="000000" w:sz="8" w:space="0"/>
            </w:tcBorders>
            <w:shd w:val="clear" w:color="auto" w:fill="DDEBF7"/>
            <w:tcMar>
              <w:left w:w="57" w:type="dxa"/>
              <w:right w:w="57" w:type="dxa"/>
            </w:tcMar>
            <w:vAlign w:val="center"/>
          </w:tcPr>
          <w:p>
            <w:pPr>
              <w:widowControl/>
              <w:jc w:val="center"/>
            </w:pPr>
            <w:r>
              <w:rPr>
                <w:rFonts w:hint="eastAsia" w:ascii="宋体" w:hAnsi="宋体" w:cs="宋体"/>
                <w:color w:val="000000"/>
                <w:kern w:val="0"/>
                <w:sz w:val="20"/>
                <w:szCs w:val="20"/>
                <w:lang w:bidi="ar"/>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left"/>
            </w:pPr>
            <w:r>
              <w:rPr>
                <w:rFonts w:hint="eastAsia" w:ascii="宋体" w:hAnsi="宋体" w:cs="宋体"/>
                <w:color w:val="000000"/>
                <w:kern w:val="0"/>
                <w:sz w:val="20"/>
                <w:szCs w:val="20"/>
                <w:lang w:bidi="ar"/>
              </w:rPr>
              <w:t>行政事业性收费</w:t>
            </w:r>
          </w:p>
        </w:tc>
        <w:tc>
          <w:tcPr>
            <w:tcW w:w="7305" w:type="dxa"/>
            <w:gridSpan w:val="3"/>
            <w:tcBorders>
              <w:top w:val="nil"/>
              <w:left w:val="nil"/>
              <w:bottom w:val="single" w:color="auto" w:sz="8" w:space="0"/>
              <w:right w:val="single" w:color="000000" w:sz="8" w:space="0"/>
            </w:tcBorders>
            <w:tcMar>
              <w:left w:w="57" w:type="dxa"/>
              <w:right w:w="57" w:type="dxa"/>
            </w:tcMar>
            <w:vAlign w:val="center"/>
          </w:tcPr>
          <w:p>
            <w:pPr>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0"/>
                <w:szCs w:val="20"/>
              </w:rPr>
              <w:t>0</w:t>
            </w:r>
          </w:p>
        </w:tc>
      </w:tr>
    </w:tbl>
    <w:p>
      <w:pPr>
        <w:pStyle w:val="2"/>
        <w:rPr>
          <w:rFonts w:hint="eastAsia" w:eastAsia="宋体"/>
          <w:lang w:val="en-US" w:eastAsia="zh-CN"/>
        </w:rPr>
      </w:pPr>
      <w:r>
        <w:rPr>
          <w:rFonts w:hint="eastAsia"/>
          <w:lang w:val="en-US" w:eastAsia="zh-CN"/>
        </w:rPr>
        <w:t>7</w:t>
      </w:r>
    </w:p>
    <w:p>
      <w:pPr>
        <w:numPr>
          <w:ilvl w:val="0"/>
          <w:numId w:val="1"/>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收到和处理政府信息公开申请情况</w:t>
      </w:r>
    </w:p>
    <w:p>
      <w:pPr>
        <w:pStyle w:val="6"/>
        <w:shd w:val="clear" w:color="auto" w:fill="FFFFFF"/>
        <w:spacing w:before="0" w:beforeAutospacing="0" w:after="0" w:afterAutospacing="0"/>
        <w:ind w:firstLine="420"/>
        <w:jc w:val="both"/>
        <w:rPr>
          <w:rFonts w:hint="default"/>
          <w:color w:val="333333"/>
        </w:rPr>
      </w:pPr>
    </w:p>
    <w:tbl>
      <w:tblPr>
        <w:tblStyle w:val="8"/>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768"/>
        <w:gridCol w:w="943"/>
        <w:gridCol w:w="3220"/>
        <w:gridCol w:w="688"/>
        <w:gridCol w:w="688"/>
        <w:gridCol w:w="688"/>
        <w:gridCol w:w="688"/>
        <w:gridCol w:w="688"/>
        <w:gridCol w:w="688"/>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vMerge w:val="restart"/>
            <w:tcBorders>
              <w:top w:val="single" w:color="auto" w:sz="8" w:space="0"/>
              <w:left w:val="single" w:color="auto" w:sz="8" w:space="0"/>
              <w:bottom w:val="outset" w:color="auto" w:sz="8" w:space="0"/>
              <w:right w:val="single" w:color="auto" w:sz="8" w:space="0"/>
            </w:tcBorders>
            <w:shd w:val="clear" w:color="auto" w:fill="9BC2E6"/>
            <w:tcMar>
              <w:left w:w="108" w:type="dxa"/>
              <w:right w:w="108" w:type="dxa"/>
            </w:tcMar>
            <w:vAlign w:val="center"/>
          </w:tcPr>
          <w:p>
            <w:pPr>
              <w:widowControl/>
              <w:jc w:val="left"/>
            </w:pPr>
            <w:r>
              <w:rPr>
                <w:rFonts w:ascii="楷体" w:hAnsi="楷体" w:eastAsia="楷体" w:cs="楷体"/>
                <w:kern w:val="0"/>
                <w:sz w:val="20"/>
                <w:szCs w:val="20"/>
                <w:lang w:bidi="ar"/>
              </w:rPr>
              <w:t>（本列数据的勾稽关系为：第一项加第二项之和，等于第三项加第四项之和）</w:t>
            </w:r>
          </w:p>
        </w:tc>
        <w:tc>
          <w:tcPr>
            <w:tcW w:w="4817" w:type="dxa"/>
            <w:gridSpan w:val="7"/>
            <w:tcBorders>
              <w:top w:val="single" w:color="auto" w:sz="8" w:space="0"/>
              <w:left w:val="nil"/>
              <w:bottom w:val="single"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kern w:val="0"/>
                <w:sz w:val="20"/>
                <w:szCs w:val="20"/>
                <w:lang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shd w:val="clear" w:color="auto" w:fill="9BC2E6"/>
            <w:tcMar>
              <w:left w:w="108" w:type="dxa"/>
              <w:right w:w="108" w:type="dxa"/>
            </w:tcMar>
            <w:vAlign w:val="center"/>
          </w:tcPr>
          <w:p>
            <w:pPr>
              <w:rPr>
                <w:rFonts w:ascii="宋体"/>
                <w:sz w:val="24"/>
              </w:rPr>
            </w:pPr>
          </w:p>
        </w:tc>
        <w:tc>
          <w:tcPr>
            <w:tcW w:w="688" w:type="dxa"/>
            <w:vMerge w:val="restart"/>
            <w:tcBorders>
              <w:top w:val="nil"/>
              <w:left w:val="nil"/>
              <w:bottom w:val="single"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kern w:val="0"/>
                <w:sz w:val="20"/>
                <w:szCs w:val="20"/>
                <w:lang w:bidi="ar"/>
              </w:rPr>
              <w:t>自然人</w:t>
            </w:r>
          </w:p>
        </w:tc>
        <w:tc>
          <w:tcPr>
            <w:tcW w:w="3440" w:type="dxa"/>
            <w:gridSpan w:val="5"/>
            <w:tcBorders>
              <w:top w:val="single" w:color="auto" w:sz="8" w:space="0"/>
              <w:left w:val="nil"/>
              <w:bottom w:val="single"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kern w:val="0"/>
                <w:sz w:val="20"/>
                <w:szCs w:val="20"/>
                <w:lang w:bidi="ar"/>
              </w:rPr>
              <w:t>法人或其他组织</w:t>
            </w:r>
          </w:p>
        </w:tc>
        <w:tc>
          <w:tcPr>
            <w:tcW w:w="689" w:type="dxa"/>
            <w:vMerge w:val="restart"/>
            <w:tcBorders>
              <w:top w:val="single" w:color="auto" w:sz="8" w:space="0"/>
              <w:left w:val="nil"/>
              <w:bottom w:val="outset"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kern w:val="0"/>
                <w:sz w:val="20"/>
                <w:szCs w:val="20"/>
                <w:lang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shd w:val="clear" w:color="auto" w:fill="9BC2E6"/>
            <w:tcMar>
              <w:left w:w="108" w:type="dxa"/>
              <w:right w:w="108" w:type="dxa"/>
            </w:tcMar>
            <w:vAlign w:val="center"/>
          </w:tcPr>
          <w:p>
            <w:pPr>
              <w:rPr>
                <w:rFonts w:ascii="宋体"/>
                <w:sz w:val="24"/>
              </w:rPr>
            </w:pPr>
          </w:p>
        </w:tc>
        <w:tc>
          <w:tcPr>
            <w:tcW w:w="688" w:type="dxa"/>
            <w:vMerge w:val="continue"/>
            <w:tcBorders>
              <w:top w:val="nil"/>
              <w:left w:val="nil"/>
              <w:bottom w:val="single" w:color="auto" w:sz="8" w:space="0"/>
              <w:right w:val="single" w:color="auto" w:sz="8" w:space="0"/>
            </w:tcBorders>
            <w:shd w:val="clear" w:color="auto" w:fill="9BC2E6"/>
            <w:tcMar>
              <w:left w:w="57" w:type="dxa"/>
              <w:right w:w="57" w:type="dxa"/>
            </w:tcMar>
            <w:vAlign w:val="center"/>
          </w:tcPr>
          <w:p>
            <w:pPr>
              <w:rPr>
                <w:rFonts w:ascii="宋体"/>
                <w:sz w:val="24"/>
              </w:rPr>
            </w:pPr>
          </w:p>
        </w:tc>
        <w:tc>
          <w:tcPr>
            <w:tcW w:w="688" w:type="dxa"/>
            <w:tcBorders>
              <w:top w:val="nil"/>
              <w:left w:val="nil"/>
              <w:bottom w:val="single"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kern w:val="0"/>
                <w:sz w:val="20"/>
                <w:szCs w:val="20"/>
                <w:lang w:bidi="ar"/>
              </w:rPr>
              <w:t>商业</w:t>
            </w:r>
          </w:p>
          <w:p>
            <w:pPr>
              <w:widowControl/>
              <w:jc w:val="center"/>
            </w:pPr>
            <w:r>
              <w:rPr>
                <w:rFonts w:hint="eastAsia" w:ascii="宋体" w:hAnsi="宋体" w:cs="宋体"/>
                <w:kern w:val="0"/>
                <w:sz w:val="20"/>
                <w:szCs w:val="20"/>
                <w:lang w:bidi="ar"/>
              </w:rPr>
              <w:t>企业</w:t>
            </w:r>
          </w:p>
        </w:tc>
        <w:tc>
          <w:tcPr>
            <w:tcW w:w="688" w:type="dxa"/>
            <w:tcBorders>
              <w:top w:val="nil"/>
              <w:left w:val="nil"/>
              <w:bottom w:val="single"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kern w:val="0"/>
                <w:sz w:val="20"/>
                <w:szCs w:val="20"/>
                <w:lang w:bidi="ar"/>
              </w:rPr>
              <w:t>科研</w:t>
            </w:r>
          </w:p>
          <w:p>
            <w:pPr>
              <w:widowControl/>
              <w:jc w:val="center"/>
            </w:pPr>
            <w:r>
              <w:rPr>
                <w:rFonts w:hint="eastAsia" w:ascii="宋体" w:hAnsi="宋体" w:cs="宋体"/>
                <w:kern w:val="0"/>
                <w:sz w:val="20"/>
                <w:szCs w:val="20"/>
                <w:lang w:bidi="ar"/>
              </w:rPr>
              <w:t>机构</w:t>
            </w:r>
          </w:p>
        </w:tc>
        <w:tc>
          <w:tcPr>
            <w:tcW w:w="688" w:type="dxa"/>
            <w:tcBorders>
              <w:top w:val="single" w:color="auto" w:sz="8" w:space="0"/>
              <w:left w:val="nil"/>
              <w:bottom w:val="single"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kern w:val="0"/>
                <w:sz w:val="20"/>
                <w:szCs w:val="20"/>
                <w:lang w:bidi="ar"/>
              </w:rPr>
              <w:t>社会公益组织</w:t>
            </w:r>
          </w:p>
        </w:tc>
        <w:tc>
          <w:tcPr>
            <w:tcW w:w="688" w:type="dxa"/>
            <w:tcBorders>
              <w:top w:val="single" w:color="auto" w:sz="8" w:space="0"/>
              <w:left w:val="nil"/>
              <w:bottom w:val="single"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kern w:val="0"/>
                <w:sz w:val="20"/>
                <w:szCs w:val="20"/>
                <w:lang w:bidi="ar"/>
              </w:rPr>
              <w:t>法律服务机构</w:t>
            </w:r>
          </w:p>
        </w:tc>
        <w:tc>
          <w:tcPr>
            <w:tcW w:w="688" w:type="dxa"/>
            <w:tcBorders>
              <w:top w:val="single" w:color="auto" w:sz="8" w:space="0"/>
              <w:left w:val="nil"/>
              <w:bottom w:val="single"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kern w:val="0"/>
                <w:sz w:val="20"/>
                <w:szCs w:val="20"/>
                <w:lang w:bidi="ar"/>
              </w:rPr>
              <w:t>其他</w:t>
            </w:r>
          </w:p>
        </w:tc>
        <w:tc>
          <w:tcPr>
            <w:tcW w:w="689" w:type="dxa"/>
            <w:vMerge w:val="continue"/>
            <w:tcBorders>
              <w:top w:val="single" w:color="auto" w:sz="8" w:space="0"/>
              <w:left w:val="nil"/>
              <w:bottom w:val="outset" w:color="auto" w:sz="8" w:space="0"/>
              <w:right w:val="single" w:color="auto" w:sz="8" w:space="0"/>
            </w:tcBorders>
            <w:shd w:val="clear" w:color="auto" w:fill="9BC2E6"/>
            <w:tcMar>
              <w:left w:w="57" w:type="dxa"/>
              <w:right w:w="57" w:type="dxa"/>
            </w:tcMar>
            <w:vAlign w:val="center"/>
          </w:tcPr>
          <w:p>
            <w:pPr>
              <w:rPr>
                <w:rFonts w:ascii="宋体"/>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left"/>
            </w:pPr>
            <w:r>
              <w:rPr>
                <w:rFonts w:hint="eastAsia" w:ascii="宋体" w:hAnsi="宋体" w:cs="宋体"/>
                <w:kern w:val="0"/>
                <w:sz w:val="20"/>
                <w:szCs w:val="20"/>
                <w:lang w:bidi="ar"/>
              </w:rPr>
              <w:t>一、本年新收政府信息公开申请数量</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rPr>
              <w:t>8</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rPr>
              <w:t>0</w:t>
            </w:r>
          </w:p>
        </w:tc>
        <w:tc>
          <w:tcPr>
            <w:tcW w:w="689"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rPr>
              <w:t>8</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left"/>
            </w:pPr>
            <w:r>
              <w:rPr>
                <w:rFonts w:hint="eastAsia" w:ascii="宋体" w:hAnsi="宋体" w:cs="宋体"/>
                <w:kern w:val="0"/>
                <w:sz w:val="20"/>
                <w:szCs w:val="20"/>
                <w:lang w:bidi="ar"/>
              </w:rPr>
              <w:t>二、上年结转政府信息公开申请数量</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rPr>
              <w:t>0</w:t>
            </w:r>
          </w:p>
        </w:tc>
        <w:tc>
          <w:tcPr>
            <w:tcW w:w="689"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restart"/>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widowControl/>
              <w:jc w:val="left"/>
            </w:pPr>
            <w:r>
              <w:rPr>
                <w:rFonts w:hint="eastAsia" w:ascii="宋体" w:hAnsi="宋体" w:cs="宋体"/>
                <w:kern w:val="0"/>
                <w:sz w:val="20"/>
                <w:szCs w:val="20"/>
                <w:lang w:bidi="ar"/>
              </w:rPr>
              <w:t>三、本年度办理结果</w:t>
            </w:r>
          </w:p>
        </w:tc>
        <w:tc>
          <w:tcPr>
            <w:tcW w:w="4163" w:type="dxa"/>
            <w:gridSpan w:val="2"/>
            <w:tcBorders>
              <w:top w:val="nil"/>
              <w:left w:val="nil"/>
              <w:bottom w:val="single" w:color="auto" w:sz="8" w:space="0"/>
              <w:right w:val="single" w:color="auto" w:sz="8" w:space="0"/>
            </w:tcBorders>
            <w:shd w:val="clear" w:color="auto" w:fill="DDEBF7"/>
            <w:tcMar>
              <w:left w:w="57" w:type="dxa"/>
              <w:right w:w="57" w:type="dxa"/>
            </w:tcMar>
            <w:vAlign w:val="center"/>
          </w:tcPr>
          <w:p>
            <w:pPr>
              <w:widowControl/>
              <w:jc w:val="left"/>
            </w:pPr>
            <w:r>
              <w:rPr>
                <w:rFonts w:hint="eastAsia" w:ascii="宋体" w:hAnsi="宋体" w:cs="宋体"/>
                <w:kern w:val="0"/>
                <w:sz w:val="20"/>
                <w:szCs w:val="20"/>
                <w:lang w:bidi="ar"/>
              </w:rPr>
              <w:t>（一）予以公开</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rPr>
              <w:t>1</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rPr>
              <w:t>0</w:t>
            </w:r>
          </w:p>
        </w:tc>
        <w:tc>
          <w:tcPr>
            <w:tcW w:w="689" w:type="dxa"/>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4163" w:type="dxa"/>
            <w:gridSpan w:val="2"/>
            <w:tcBorders>
              <w:top w:val="nil"/>
              <w:left w:val="nil"/>
              <w:bottom w:val="single" w:color="auto" w:sz="8" w:space="0"/>
              <w:right w:val="single" w:color="auto" w:sz="8" w:space="0"/>
            </w:tcBorders>
            <w:shd w:val="clear" w:color="auto" w:fill="DDEBF7"/>
            <w:tcMar>
              <w:left w:w="57" w:type="dxa"/>
              <w:right w:w="57" w:type="dxa"/>
            </w:tcMar>
            <w:vAlign w:val="center"/>
          </w:tcPr>
          <w:p>
            <w:pPr>
              <w:widowControl/>
              <w:jc w:val="left"/>
            </w:pPr>
            <w:r>
              <w:rPr>
                <w:rFonts w:hint="eastAsia" w:ascii="宋体" w:hAnsi="宋体" w:cs="宋体"/>
                <w:kern w:val="0"/>
                <w:sz w:val="20"/>
                <w:szCs w:val="20"/>
                <w:lang w:bidi="ar"/>
              </w:rPr>
              <w:t>（二）部分公开</w:t>
            </w:r>
            <w:r>
              <w:rPr>
                <w:rFonts w:ascii="楷体" w:hAnsi="楷体" w:eastAsia="楷体" w:cs="楷体"/>
                <w:kern w:val="0"/>
                <w:sz w:val="20"/>
                <w:szCs w:val="20"/>
                <w:lang w:bidi="ar"/>
              </w:rPr>
              <w:t>（区分处理的，只计这一情形，不计其他情形）</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rPr>
              <w:t>0</w:t>
            </w:r>
          </w:p>
        </w:tc>
        <w:tc>
          <w:tcPr>
            <w:tcW w:w="689"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restart"/>
            <w:tcBorders>
              <w:top w:val="nil"/>
              <w:left w:val="nil"/>
              <w:bottom w:val="outset" w:color="auto" w:sz="8" w:space="0"/>
              <w:right w:val="single" w:color="auto" w:sz="8" w:space="0"/>
            </w:tcBorders>
            <w:shd w:val="clear" w:color="auto" w:fill="DDEBF7"/>
            <w:tcMar>
              <w:left w:w="57" w:type="dxa"/>
              <w:right w:w="57" w:type="dxa"/>
            </w:tcMar>
            <w:vAlign w:val="center"/>
          </w:tcPr>
          <w:p>
            <w:pPr>
              <w:widowControl/>
              <w:jc w:val="left"/>
            </w:pPr>
            <w:r>
              <w:rPr>
                <w:rFonts w:hint="eastAsia" w:ascii="宋体" w:hAnsi="宋体" w:cs="宋体"/>
                <w:kern w:val="0"/>
                <w:sz w:val="20"/>
                <w:szCs w:val="20"/>
                <w:lang w:bidi="ar"/>
              </w:rPr>
              <w:t>（三）不予公开</w:t>
            </w:r>
          </w:p>
        </w:tc>
        <w:tc>
          <w:tcPr>
            <w:tcW w:w="3220"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cs="宋体"/>
                <w:kern w:val="0"/>
                <w:sz w:val="20"/>
                <w:szCs w:val="20"/>
                <w:lang w:bidi="ar"/>
              </w:rPr>
              <w:t>1.属于国家秘密</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rPr>
              <w:t>0</w:t>
            </w:r>
          </w:p>
        </w:tc>
        <w:tc>
          <w:tcPr>
            <w:tcW w:w="689" w:type="dxa"/>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cs="宋体"/>
                <w:kern w:val="0"/>
                <w:sz w:val="20"/>
                <w:szCs w:val="20"/>
                <w:lang w:bidi="ar"/>
              </w:rPr>
              <w:t>2.其他法律行政法规禁止公开</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rPr>
              <w:t>0</w:t>
            </w:r>
          </w:p>
        </w:tc>
        <w:tc>
          <w:tcPr>
            <w:tcW w:w="689"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cs="宋体"/>
                <w:kern w:val="0"/>
                <w:sz w:val="20"/>
                <w:szCs w:val="20"/>
                <w:lang w:bidi="ar"/>
              </w:rPr>
              <w:t>3.危及“三安全一稳定”</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rPr>
              <w:t>0</w:t>
            </w:r>
          </w:p>
        </w:tc>
        <w:tc>
          <w:tcPr>
            <w:tcW w:w="689"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cs="宋体"/>
                <w:kern w:val="0"/>
                <w:sz w:val="20"/>
                <w:szCs w:val="20"/>
                <w:lang w:bidi="ar"/>
              </w:rPr>
              <w:t>4.保护第三方合法权益</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rPr>
              <w:t>0</w:t>
            </w:r>
          </w:p>
        </w:tc>
        <w:tc>
          <w:tcPr>
            <w:tcW w:w="689"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cs="宋体"/>
                <w:kern w:val="0"/>
                <w:sz w:val="20"/>
                <w:szCs w:val="20"/>
                <w:lang w:bidi="ar"/>
              </w:rPr>
              <w:t>5.属于三类内部事务信息</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rPr>
              <w:t>0</w:t>
            </w:r>
          </w:p>
        </w:tc>
        <w:tc>
          <w:tcPr>
            <w:tcW w:w="689"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cs="宋体"/>
                <w:kern w:val="0"/>
                <w:sz w:val="20"/>
                <w:szCs w:val="20"/>
                <w:lang w:bidi="ar"/>
              </w:rPr>
              <w:t>6.属于四类过程性信息</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rPr>
              <w:t>1</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rPr>
              <w:t>0</w:t>
            </w:r>
          </w:p>
        </w:tc>
        <w:tc>
          <w:tcPr>
            <w:tcW w:w="689"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cs="宋体"/>
                <w:kern w:val="0"/>
                <w:sz w:val="20"/>
                <w:szCs w:val="20"/>
                <w:lang w:bidi="ar"/>
              </w:rPr>
              <w:t>7.属于行政执法案卷</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rPr>
              <w:t>0</w:t>
            </w:r>
          </w:p>
        </w:tc>
        <w:tc>
          <w:tcPr>
            <w:tcW w:w="689"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cs="宋体"/>
                <w:kern w:val="0"/>
                <w:sz w:val="20"/>
                <w:szCs w:val="20"/>
                <w:lang w:bidi="ar"/>
              </w:rPr>
              <w:t>8.属于行政查询事项</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rPr>
              <w:t>0</w:t>
            </w:r>
          </w:p>
        </w:tc>
        <w:tc>
          <w:tcPr>
            <w:tcW w:w="689"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restart"/>
            <w:tcBorders>
              <w:top w:val="nil"/>
              <w:left w:val="nil"/>
              <w:bottom w:val="outset" w:color="auto" w:sz="8" w:space="0"/>
              <w:right w:val="single" w:color="auto" w:sz="8" w:space="0"/>
            </w:tcBorders>
            <w:shd w:val="clear" w:color="auto" w:fill="DDEBF7"/>
            <w:tcMar>
              <w:left w:w="57" w:type="dxa"/>
              <w:right w:w="57" w:type="dxa"/>
            </w:tcMar>
            <w:vAlign w:val="center"/>
          </w:tcPr>
          <w:p>
            <w:pPr>
              <w:widowControl/>
              <w:jc w:val="left"/>
            </w:pPr>
            <w:r>
              <w:rPr>
                <w:rFonts w:hint="eastAsia" w:ascii="宋体" w:hAnsi="宋体" w:cs="宋体"/>
                <w:kern w:val="0"/>
                <w:sz w:val="20"/>
                <w:szCs w:val="20"/>
                <w:lang w:bidi="ar"/>
              </w:rPr>
              <w:t>（四）无法提供</w:t>
            </w:r>
          </w:p>
        </w:tc>
        <w:tc>
          <w:tcPr>
            <w:tcW w:w="3220"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cs="宋体"/>
                <w:kern w:val="0"/>
                <w:sz w:val="20"/>
                <w:szCs w:val="20"/>
                <w:lang w:bidi="ar"/>
              </w:rPr>
              <w:t>1.本机关不掌握相关政府信息</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rPr>
              <w:t>5</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rPr>
              <w:t>0</w:t>
            </w:r>
          </w:p>
        </w:tc>
        <w:tc>
          <w:tcPr>
            <w:tcW w:w="689"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rPr>
              <w:t>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cs="宋体"/>
                <w:kern w:val="0"/>
                <w:sz w:val="20"/>
                <w:szCs w:val="20"/>
                <w:lang w:bidi="ar"/>
              </w:rPr>
              <w:t>2.没有现成信息需要另行制作</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rPr>
              <w:t>0</w:t>
            </w:r>
          </w:p>
        </w:tc>
        <w:tc>
          <w:tcPr>
            <w:tcW w:w="689"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cs="宋体"/>
                <w:kern w:val="0"/>
                <w:sz w:val="20"/>
                <w:szCs w:val="20"/>
                <w:lang w:bidi="ar"/>
              </w:rPr>
              <w:t>3.补正后申请内容仍不明确</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rPr>
              <w:t>0</w:t>
            </w:r>
          </w:p>
        </w:tc>
        <w:tc>
          <w:tcPr>
            <w:tcW w:w="689"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restart"/>
            <w:tcBorders>
              <w:top w:val="nil"/>
              <w:left w:val="nil"/>
              <w:bottom w:val="outset" w:color="auto" w:sz="8" w:space="0"/>
              <w:right w:val="single" w:color="auto" w:sz="8" w:space="0"/>
            </w:tcBorders>
            <w:shd w:val="clear" w:color="auto" w:fill="DDEBF7"/>
            <w:tcMar>
              <w:left w:w="57" w:type="dxa"/>
              <w:right w:w="57" w:type="dxa"/>
            </w:tcMar>
            <w:vAlign w:val="center"/>
          </w:tcPr>
          <w:p>
            <w:pPr>
              <w:widowControl/>
              <w:jc w:val="left"/>
            </w:pPr>
            <w:r>
              <w:rPr>
                <w:rFonts w:hint="eastAsia" w:ascii="宋体" w:hAnsi="宋体" w:cs="宋体"/>
                <w:kern w:val="0"/>
                <w:sz w:val="20"/>
                <w:szCs w:val="20"/>
                <w:lang w:bidi="ar"/>
              </w:rPr>
              <w:t>（五）不予处理</w:t>
            </w:r>
          </w:p>
        </w:tc>
        <w:tc>
          <w:tcPr>
            <w:tcW w:w="3220"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cs="宋体"/>
                <w:kern w:val="0"/>
                <w:sz w:val="20"/>
                <w:szCs w:val="20"/>
                <w:lang w:bidi="ar"/>
              </w:rPr>
              <w:t>1.信访举报投诉类申请</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rPr>
              <w:t>0</w:t>
            </w:r>
          </w:p>
        </w:tc>
        <w:tc>
          <w:tcPr>
            <w:tcW w:w="689"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cs="宋体"/>
                <w:kern w:val="0"/>
                <w:sz w:val="20"/>
                <w:szCs w:val="20"/>
                <w:lang w:bidi="ar"/>
              </w:rPr>
              <w:t>2.重复申请</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rPr>
              <w:t>0</w:t>
            </w:r>
          </w:p>
        </w:tc>
        <w:tc>
          <w:tcPr>
            <w:tcW w:w="689"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cs="宋体"/>
                <w:kern w:val="0"/>
                <w:sz w:val="20"/>
                <w:szCs w:val="20"/>
                <w:lang w:bidi="ar"/>
              </w:rPr>
              <w:t>3.要求提供公开出版物</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rPr>
              <w:t>0</w:t>
            </w:r>
          </w:p>
        </w:tc>
        <w:tc>
          <w:tcPr>
            <w:tcW w:w="689"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cs="宋体"/>
                <w:kern w:val="0"/>
                <w:sz w:val="20"/>
                <w:szCs w:val="20"/>
                <w:lang w:bidi="ar"/>
              </w:rPr>
              <w:t>4.无正当理由大量反复申请</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rPr>
              <w:t>0</w:t>
            </w:r>
          </w:p>
        </w:tc>
        <w:tc>
          <w:tcPr>
            <w:tcW w:w="689"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ascii="宋体"/>
                <w:sz w:val="24"/>
              </w:rPr>
            </w:pPr>
          </w:p>
        </w:tc>
        <w:tc>
          <w:tcPr>
            <w:tcW w:w="3220" w:type="dxa"/>
            <w:tcBorders>
              <w:top w:val="nil"/>
              <w:left w:val="nil"/>
              <w:bottom w:val="outset" w:color="auto" w:sz="8" w:space="0"/>
              <w:right w:val="single" w:color="auto" w:sz="8" w:space="0"/>
            </w:tcBorders>
            <w:shd w:val="clear" w:color="auto" w:fill="DDEBF7"/>
            <w:tcMar>
              <w:left w:w="57" w:type="dxa"/>
              <w:right w:w="57" w:type="dxa"/>
            </w:tcMar>
            <w:vAlign w:val="center"/>
          </w:tcPr>
          <w:p>
            <w:pPr>
              <w:widowControl/>
            </w:pPr>
            <w:r>
              <w:rPr>
                <w:rFonts w:hint="eastAsia" w:ascii="宋体" w:hAnsi="宋体" w:cs="宋体"/>
                <w:kern w:val="0"/>
                <w:sz w:val="20"/>
                <w:szCs w:val="20"/>
                <w:lang w:bidi="ar"/>
              </w:rPr>
              <w:t>5.要求行政机关确认或重新出具已获取信息</w:t>
            </w:r>
          </w:p>
        </w:tc>
        <w:tc>
          <w:tcPr>
            <w:tcW w:w="688" w:type="dxa"/>
            <w:tcBorders>
              <w:top w:val="nil"/>
              <w:left w:val="nil"/>
              <w:bottom w:val="outset" w:color="auto" w:sz="8" w:space="0"/>
              <w:right w:val="single" w:color="auto" w:sz="8" w:space="0"/>
            </w:tcBorders>
            <w:tcMar>
              <w:left w:w="57" w:type="dxa"/>
              <w:right w:w="57" w:type="dxa"/>
            </w:tcMar>
            <w:vAlign w:val="center"/>
          </w:tcPr>
          <w:p>
            <w:pPr>
              <w:widowControl/>
              <w:jc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rPr>
              <w:t>0</w:t>
            </w:r>
          </w:p>
        </w:tc>
        <w:tc>
          <w:tcPr>
            <w:tcW w:w="688" w:type="dxa"/>
            <w:tcBorders>
              <w:top w:val="nil"/>
              <w:left w:val="nil"/>
              <w:bottom w:val="outset" w:color="auto" w:sz="8" w:space="0"/>
              <w:right w:val="single" w:color="auto" w:sz="8" w:space="0"/>
            </w:tcBorders>
            <w:tcMar>
              <w:left w:w="57" w:type="dxa"/>
              <w:right w:w="57" w:type="dxa"/>
            </w:tcMar>
            <w:vAlign w:val="center"/>
          </w:tcPr>
          <w:p>
            <w:pPr>
              <w:widowControl/>
              <w:jc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rPr>
              <w:t>0</w:t>
            </w:r>
          </w:p>
        </w:tc>
        <w:tc>
          <w:tcPr>
            <w:tcW w:w="688" w:type="dxa"/>
            <w:tcBorders>
              <w:top w:val="nil"/>
              <w:left w:val="nil"/>
              <w:bottom w:val="outset" w:color="auto" w:sz="8" w:space="0"/>
              <w:right w:val="single" w:color="auto" w:sz="8" w:space="0"/>
            </w:tcBorders>
            <w:tcMar>
              <w:left w:w="57" w:type="dxa"/>
              <w:right w:w="57" w:type="dxa"/>
            </w:tcMar>
            <w:vAlign w:val="center"/>
          </w:tcPr>
          <w:p>
            <w:pPr>
              <w:widowControl/>
              <w:jc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rPr>
              <w:t>0</w:t>
            </w:r>
          </w:p>
        </w:tc>
        <w:tc>
          <w:tcPr>
            <w:tcW w:w="688" w:type="dxa"/>
            <w:tcBorders>
              <w:top w:val="nil"/>
              <w:left w:val="nil"/>
              <w:bottom w:val="outset" w:color="auto" w:sz="8" w:space="0"/>
              <w:right w:val="single" w:color="auto" w:sz="8" w:space="0"/>
            </w:tcBorders>
            <w:tcMar>
              <w:left w:w="57" w:type="dxa"/>
              <w:right w:w="57" w:type="dxa"/>
            </w:tcMar>
            <w:vAlign w:val="center"/>
          </w:tcPr>
          <w:p>
            <w:pPr>
              <w:widowControl/>
              <w:jc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rPr>
              <w:t>0</w:t>
            </w:r>
          </w:p>
        </w:tc>
        <w:tc>
          <w:tcPr>
            <w:tcW w:w="688" w:type="dxa"/>
            <w:tcBorders>
              <w:top w:val="nil"/>
              <w:left w:val="nil"/>
              <w:bottom w:val="outset" w:color="auto" w:sz="8" w:space="0"/>
              <w:right w:val="single" w:color="auto" w:sz="8" w:space="0"/>
            </w:tcBorders>
            <w:tcMar>
              <w:left w:w="57" w:type="dxa"/>
              <w:right w:w="57" w:type="dxa"/>
            </w:tcMar>
            <w:vAlign w:val="center"/>
          </w:tcPr>
          <w:p>
            <w:pPr>
              <w:widowControl/>
              <w:jc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rPr>
              <w:t>0</w:t>
            </w:r>
          </w:p>
        </w:tc>
        <w:tc>
          <w:tcPr>
            <w:tcW w:w="688" w:type="dxa"/>
            <w:tcBorders>
              <w:top w:val="nil"/>
              <w:left w:val="nil"/>
              <w:bottom w:val="outset" w:color="auto" w:sz="8" w:space="0"/>
              <w:right w:val="single" w:color="auto" w:sz="8" w:space="0"/>
            </w:tcBorders>
            <w:tcMar>
              <w:left w:w="57" w:type="dxa"/>
              <w:right w:w="57" w:type="dxa"/>
            </w:tcMar>
            <w:vAlign w:val="center"/>
          </w:tcPr>
          <w:p>
            <w:pPr>
              <w:widowControl/>
              <w:jc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rPr>
              <w:t>0</w:t>
            </w:r>
          </w:p>
        </w:tc>
        <w:tc>
          <w:tcPr>
            <w:tcW w:w="689" w:type="dxa"/>
            <w:tcBorders>
              <w:top w:val="nil"/>
              <w:left w:val="nil"/>
              <w:bottom w:val="outset" w:color="auto" w:sz="8" w:space="0"/>
              <w:right w:val="single" w:color="auto" w:sz="8" w:space="0"/>
            </w:tcBorders>
            <w:tcMar>
              <w:left w:w="57" w:type="dxa"/>
              <w:right w:w="57" w:type="dxa"/>
            </w:tcMar>
            <w:vAlign w:val="center"/>
          </w:tcPr>
          <w:p>
            <w:pPr>
              <w:widowControl/>
              <w:jc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restart"/>
            <w:tcBorders>
              <w:top w:val="outset" w:color="auto" w:sz="8" w:space="0"/>
              <w:left w:val="nil"/>
              <w:bottom w:val="outset" w:color="auto" w:sz="8" w:space="0"/>
              <w:right w:val="single" w:color="auto" w:sz="8" w:space="0"/>
            </w:tcBorders>
            <w:shd w:val="clear" w:color="auto" w:fill="DDEBF7"/>
            <w:tcMar>
              <w:left w:w="57" w:type="dxa"/>
              <w:right w:w="57" w:type="dxa"/>
            </w:tcMar>
            <w:vAlign w:val="center"/>
          </w:tcPr>
          <w:p>
            <w:pPr>
              <w:widowControl/>
              <w:jc w:val="left"/>
            </w:pPr>
            <w:r>
              <w:rPr>
                <w:rFonts w:hint="eastAsia" w:ascii="宋体" w:hAnsi="宋体" w:cs="宋体"/>
                <w:kern w:val="0"/>
                <w:sz w:val="20"/>
                <w:szCs w:val="20"/>
                <w:lang w:bidi="ar"/>
              </w:rPr>
              <w:t>（六）其他处理</w:t>
            </w:r>
          </w:p>
        </w:tc>
        <w:tc>
          <w:tcPr>
            <w:tcW w:w="3220" w:type="dxa"/>
            <w:tcBorders>
              <w:top w:val="nil"/>
              <w:left w:val="nil"/>
              <w:bottom w:val="single" w:color="auto" w:sz="8" w:space="0"/>
              <w:right w:val="single" w:color="auto" w:sz="8" w:space="0"/>
            </w:tcBorders>
            <w:shd w:val="clear" w:color="auto" w:fill="DDEBF7"/>
            <w:tcMar>
              <w:left w:w="57" w:type="dxa"/>
              <w:right w:w="57" w:type="dxa"/>
            </w:tcMar>
            <w:vAlign w:val="center"/>
          </w:tcPr>
          <w:p>
            <w:pPr>
              <w:widowControl/>
            </w:pPr>
            <w:r>
              <w:rPr>
                <w:rFonts w:hint="eastAsia" w:ascii="宋体" w:hAnsi="宋体" w:cs="宋体"/>
                <w:kern w:val="0"/>
                <w:sz w:val="20"/>
                <w:szCs w:val="20"/>
                <w:lang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rPr>
              <w:t>0</w:t>
            </w:r>
          </w:p>
        </w:tc>
        <w:tc>
          <w:tcPr>
            <w:tcW w:w="689"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continue"/>
            <w:tcBorders>
              <w:top w:val="outset" w:color="auto" w:sz="8" w:space="0"/>
              <w:left w:val="nil"/>
              <w:bottom w:val="outset" w:color="auto" w:sz="8" w:space="0"/>
              <w:right w:val="single" w:color="auto" w:sz="8" w:space="0"/>
            </w:tcBorders>
            <w:shd w:val="clear" w:color="auto" w:fill="DDEBF7"/>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center"/>
          </w:tcPr>
          <w:p>
            <w:pPr>
              <w:widowControl/>
            </w:pPr>
            <w:r>
              <w:rPr>
                <w:rFonts w:hint="eastAsia" w:ascii="宋体" w:hAnsi="宋体" w:cs="宋体"/>
                <w:kern w:val="0"/>
                <w:sz w:val="20"/>
                <w:szCs w:val="20"/>
                <w:lang w:bidi="ar"/>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rPr>
              <w:t>0</w:t>
            </w:r>
          </w:p>
        </w:tc>
        <w:tc>
          <w:tcPr>
            <w:tcW w:w="689"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continue"/>
            <w:tcBorders>
              <w:top w:val="outset" w:color="auto" w:sz="8" w:space="0"/>
              <w:left w:val="nil"/>
              <w:bottom w:val="outset" w:color="auto" w:sz="8" w:space="0"/>
              <w:right w:val="single" w:color="auto" w:sz="8" w:space="0"/>
            </w:tcBorders>
            <w:shd w:val="clear" w:color="auto" w:fill="DDEBF7"/>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center"/>
          </w:tcPr>
          <w:p>
            <w:pPr>
              <w:widowControl/>
              <w:jc w:val="left"/>
            </w:pPr>
            <w:r>
              <w:rPr>
                <w:rFonts w:hint="eastAsia" w:ascii="宋体" w:hAnsi="宋体" w:cs="宋体"/>
                <w:kern w:val="0"/>
                <w:sz w:val="20"/>
                <w:szCs w:val="20"/>
                <w:lang w:bidi="ar"/>
              </w:rPr>
              <w:t>3.其他</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rPr>
              <w:t>0</w:t>
            </w:r>
          </w:p>
        </w:tc>
        <w:tc>
          <w:tcPr>
            <w:tcW w:w="689"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4163" w:type="dxa"/>
            <w:gridSpan w:val="2"/>
            <w:tcBorders>
              <w:top w:val="nil"/>
              <w:left w:val="nil"/>
              <w:bottom w:val="single" w:color="auto" w:sz="8" w:space="0"/>
              <w:right w:val="single" w:color="auto" w:sz="8" w:space="0"/>
            </w:tcBorders>
            <w:shd w:val="clear" w:color="auto" w:fill="DDEBF7"/>
            <w:tcMar>
              <w:left w:w="57" w:type="dxa"/>
              <w:right w:w="57" w:type="dxa"/>
            </w:tcMar>
            <w:vAlign w:val="center"/>
          </w:tcPr>
          <w:p>
            <w:pPr>
              <w:widowControl/>
              <w:jc w:val="left"/>
            </w:pPr>
            <w:r>
              <w:rPr>
                <w:rFonts w:hint="eastAsia" w:ascii="宋体" w:hAnsi="宋体" w:cs="宋体"/>
                <w:kern w:val="0"/>
                <w:sz w:val="20"/>
                <w:szCs w:val="20"/>
                <w:lang w:bidi="ar"/>
              </w:rPr>
              <w:t>（七）总计</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7</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Theme="majorEastAsia" w:hAnsiTheme="majorEastAsia" w:eastAsiaTheme="majorEastAsia" w:cstheme="majorEastAsia"/>
                <w:sz w:val="20"/>
                <w:szCs w:val="20"/>
                <w:lang w:val="en-US" w:eastAsia="zh-CN"/>
              </w:rPr>
              <w:t>0</w:t>
            </w:r>
          </w:p>
        </w:tc>
        <w:tc>
          <w:tcPr>
            <w:tcW w:w="689"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7</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left"/>
            </w:pPr>
            <w:r>
              <w:rPr>
                <w:rFonts w:hint="eastAsia" w:ascii="宋体" w:hAnsi="宋体" w:cs="宋体"/>
                <w:kern w:val="0"/>
                <w:sz w:val="20"/>
                <w:szCs w:val="20"/>
                <w:lang w:bidi="ar"/>
              </w:rPr>
              <w:t>四、结转下年度继续办理</w:t>
            </w:r>
          </w:p>
        </w:tc>
        <w:tc>
          <w:tcPr>
            <w:tcW w:w="688" w:type="dxa"/>
            <w:tcBorders>
              <w:top w:val="outset" w:color="auto" w:sz="6" w:space="0"/>
              <w:left w:val="nil"/>
              <w:bottom w:val="outset" w:color="auto" w:sz="6" w:space="0"/>
              <w:right w:val="outset" w:color="auto" w:sz="6" w:space="0"/>
            </w:tcBorders>
            <w:vAlign w:val="center"/>
          </w:tcPr>
          <w:p>
            <w:pPr>
              <w:jc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rPr>
              <w:t>1</w:t>
            </w:r>
          </w:p>
        </w:tc>
        <w:tc>
          <w:tcPr>
            <w:tcW w:w="688" w:type="dxa"/>
            <w:tcBorders>
              <w:top w:val="outset" w:color="auto" w:sz="6" w:space="0"/>
              <w:left w:val="nil"/>
              <w:bottom w:val="outset" w:color="auto" w:sz="6" w:space="0"/>
              <w:right w:val="outset" w:color="auto" w:sz="6" w:space="0"/>
            </w:tcBorders>
            <w:vAlign w:val="center"/>
          </w:tcPr>
          <w:p>
            <w:pPr>
              <w:jc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rPr>
              <w:t>0</w:t>
            </w:r>
          </w:p>
        </w:tc>
        <w:tc>
          <w:tcPr>
            <w:tcW w:w="688" w:type="dxa"/>
            <w:tcBorders>
              <w:top w:val="outset" w:color="auto" w:sz="6" w:space="0"/>
              <w:left w:val="nil"/>
              <w:bottom w:val="outset" w:color="auto" w:sz="6" w:space="0"/>
              <w:right w:val="outset" w:color="auto" w:sz="6" w:space="0"/>
            </w:tcBorders>
            <w:vAlign w:val="center"/>
          </w:tcPr>
          <w:p>
            <w:pPr>
              <w:jc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rPr>
              <w:t>0</w:t>
            </w:r>
          </w:p>
        </w:tc>
        <w:tc>
          <w:tcPr>
            <w:tcW w:w="688" w:type="dxa"/>
            <w:tcBorders>
              <w:top w:val="outset" w:color="auto" w:sz="6" w:space="0"/>
              <w:left w:val="nil"/>
              <w:bottom w:val="outset" w:color="auto" w:sz="6" w:space="0"/>
              <w:right w:val="outset" w:color="auto" w:sz="6" w:space="0"/>
            </w:tcBorders>
            <w:vAlign w:val="center"/>
          </w:tcPr>
          <w:p>
            <w:pPr>
              <w:jc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rPr>
              <w:t>0</w:t>
            </w:r>
          </w:p>
        </w:tc>
        <w:tc>
          <w:tcPr>
            <w:tcW w:w="688" w:type="dxa"/>
            <w:tcBorders>
              <w:top w:val="outset" w:color="auto" w:sz="6" w:space="0"/>
              <w:left w:val="nil"/>
              <w:bottom w:val="outset" w:color="auto" w:sz="6" w:space="0"/>
              <w:right w:val="outset" w:color="auto" w:sz="6" w:space="0"/>
            </w:tcBorders>
            <w:vAlign w:val="center"/>
          </w:tcPr>
          <w:p>
            <w:pPr>
              <w:jc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rPr>
              <w:t>0</w:t>
            </w:r>
          </w:p>
        </w:tc>
        <w:tc>
          <w:tcPr>
            <w:tcW w:w="688" w:type="dxa"/>
            <w:tcBorders>
              <w:top w:val="outset" w:color="auto" w:sz="6" w:space="0"/>
              <w:left w:val="nil"/>
              <w:bottom w:val="outset" w:color="auto" w:sz="6" w:space="0"/>
              <w:right w:val="outset" w:color="auto" w:sz="6" w:space="0"/>
            </w:tcBorders>
            <w:vAlign w:val="center"/>
          </w:tcPr>
          <w:p>
            <w:pPr>
              <w:jc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rPr>
              <w:t>0</w:t>
            </w:r>
          </w:p>
        </w:tc>
        <w:tc>
          <w:tcPr>
            <w:tcW w:w="689" w:type="dxa"/>
            <w:tcBorders>
              <w:top w:val="outset" w:color="auto" w:sz="6" w:space="0"/>
              <w:left w:val="nil"/>
              <w:bottom w:val="outset" w:color="auto" w:sz="6" w:space="0"/>
              <w:right w:val="outset" w:color="auto" w:sz="6" w:space="0"/>
            </w:tcBorders>
            <w:vAlign w:val="center"/>
          </w:tcPr>
          <w:p>
            <w:pPr>
              <w:jc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rPr>
              <w:t>1</w:t>
            </w:r>
          </w:p>
        </w:tc>
      </w:tr>
    </w:tbl>
    <w:p>
      <w:pPr>
        <w:pStyle w:val="2"/>
        <w:ind w:left="420" w:leftChars="200"/>
      </w:pPr>
    </w:p>
    <w:p>
      <w:pPr>
        <w:pStyle w:val="2"/>
        <w:ind w:left="420" w:leftChars="200"/>
      </w:pP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四、政府信息公开行政复议、行政诉讼情况</w:t>
      </w:r>
    </w:p>
    <w:p>
      <w:pPr>
        <w:widowControl/>
        <w:jc w:val="center"/>
      </w:pPr>
    </w:p>
    <w:tbl>
      <w:tblPr>
        <w:tblStyle w:val="8"/>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47" w:hRule="atLeast"/>
          <w:jc w:val="center"/>
        </w:trPr>
        <w:tc>
          <w:tcPr>
            <w:tcW w:w="3245" w:type="dxa"/>
            <w:gridSpan w:val="5"/>
            <w:tcBorders>
              <w:top w:val="single" w:color="auto" w:sz="8" w:space="0"/>
              <w:left w:val="single" w:color="auto" w:sz="8" w:space="0"/>
              <w:bottom w:val="single" w:color="auto" w:sz="8" w:space="0"/>
              <w:right w:val="single" w:color="auto" w:sz="8" w:space="0"/>
            </w:tcBorders>
            <w:shd w:val="clear" w:color="auto" w:fill="BDD7EE"/>
            <w:tcMar>
              <w:left w:w="108" w:type="dxa"/>
              <w:right w:w="108" w:type="dxa"/>
            </w:tcMar>
            <w:vAlign w:val="center"/>
          </w:tcPr>
          <w:p>
            <w:pPr>
              <w:widowControl/>
              <w:jc w:val="center"/>
            </w:pPr>
            <w:r>
              <w:rPr>
                <w:rFonts w:hint="eastAsia" w:ascii="宋体" w:hAnsi="宋体" w:cs="宋体"/>
                <w:kern w:val="0"/>
                <w:sz w:val="20"/>
                <w:szCs w:val="20"/>
                <w:lang w:bidi="ar"/>
              </w:rPr>
              <w:t>行政复议</w:t>
            </w:r>
          </w:p>
        </w:tc>
        <w:tc>
          <w:tcPr>
            <w:tcW w:w="6503" w:type="dxa"/>
            <w:gridSpan w:val="10"/>
            <w:tcBorders>
              <w:top w:val="single" w:color="auto" w:sz="8" w:space="0"/>
              <w:left w:val="single" w:color="auto" w:sz="8" w:space="0"/>
              <w:bottom w:val="single" w:color="auto" w:sz="8" w:space="0"/>
              <w:right w:val="single" w:color="auto" w:sz="8" w:space="0"/>
            </w:tcBorders>
            <w:shd w:val="clear" w:color="auto" w:fill="BDD7EE"/>
            <w:tcMar>
              <w:left w:w="108" w:type="dxa"/>
              <w:right w:w="108" w:type="dxa"/>
            </w:tcMar>
            <w:vAlign w:val="center"/>
          </w:tcPr>
          <w:p>
            <w:pPr>
              <w:widowControl/>
              <w:jc w:val="center"/>
            </w:pPr>
            <w:r>
              <w:rPr>
                <w:rFonts w:hint="eastAsia" w:ascii="宋体" w:hAnsi="宋体" w:cs="宋体"/>
                <w:kern w:val="0"/>
                <w:sz w:val="20"/>
                <w:szCs w:val="20"/>
                <w:lang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82" w:hRule="atLeast"/>
          <w:jc w:val="center"/>
        </w:trPr>
        <w:tc>
          <w:tcPr>
            <w:tcW w:w="649"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cs="宋体"/>
                <w:kern w:val="0"/>
                <w:sz w:val="20"/>
                <w:szCs w:val="20"/>
                <w:lang w:bidi="ar"/>
              </w:rPr>
              <w:t>结果维持</w:t>
            </w:r>
          </w:p>
        </w:tc>
        <w:tc>
          <w:tcPr>
            <w:tcW w:w="649"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cs="宋体"/>
                <w:kern w:val="0"/>
                <w:sz w:val="20"/>
                <w:szCs w:val="20"/>
                <w:lang w:bidi="ar"/>
              </w:rPr>
              <w:t>结果</w:t>
            </w:r>
            <w:r>
              <w:rPr>
                <w:rFonts w:hint="eastAsia" w:ascii="宋体" w:hAnsi="宋体" w:cs="宋体"/>
                <w:kern w:val="0"/>
                <w:sz w:val="20"/>
                <w:szCs w:val="20"/>
                <w:lang w:bidi="ar"/>
              </w:rPr>
              <w:br w:type="textWrapping"/>
            </w:r>
            <w:r>
              <w:rPr>
                <w:rFonts w:hint="eastAsia" w:ascii="宋体" w:hAnsi="宋体" w:cs="宋体"/>
                <w:kern w:val="0"/>
                <w:sz w:val="20"/>
                <w:szCs w:val="20"/>
                <w:lang w:bidi="ar"/>
              </w:rPr>
              <w:t>纠正</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cs="宋体"/>
                <w:kern w:val="0"/>
                <w:sz w:val="20"/>
                <w:szCs w:val="20"/>
                <w:lang w:bidi="ar"/>
              </w:rPr>
              <w:t>其他</w:t>
            </w:r>
            <w:r>
              <w:rPr>
                <w:rFonts w:hint="eastAsia" w:ascii="宋体" w:hAnsi="宋体" w:cs="宋体"/>
                <w:kern w:val="0"/>
                <w:sz w:val="20"/>
                <w:szCs w:val="20"/>
                <w:lang w:bidi="ar"/>
              </w:rPr>
              <w:br w:type="textWrapping"/>
            </w:r>
            <w:r>
              <w:rPr>
                <w:rFonts w:hint="eastAsia" w:ascii="宋体" w:hAnsi="宋体" w:cs="宋体"/>
                <w:kern w:val="0"/>
                <w:sz w:val="20"/>
                <w:szCs w:val="20"/>
                <w:lang w:bidi="ar"/>
              </w:rPr>
              <w:t>结果</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cs="宋体"/>
                <w:kern w:val="0"/>
                <w:sz w:val="20"/>
                <w:szCs w:val="20"/>
                <w:lang w:bidi="ar"/>
              </w:rPr>
              <w:t>尚未</w:t>
            </w:r>
            <w:r>
              <w:rPr>
                <w:rFonts w:hint="eastAsia" w:ascii="宋体" w:hAnsi="宋体" w:cs="宋体"/>
                <w:kern w:val="0"/>
                <w:sz w:val="20"/>
                <w:szCs w:val="20"/>
                <w:lang w:bidi="ar"/>
              </w:rPr>
              <w:br w:type="textWrapping"/>
            </w:r>
            <w:r>
              <w:rPr>
                <w:rFonts w:hint="eastAsia" w:ascii="宋体" w:hAnsi="宋体" w:cs="宋体"/>
                <w:kern w:val="0"/>
                <w:sz w:val="20"/>
                <w:szCs w:val="20"/>
                <w:lang w:bidi="ar"/>
              </w:rPr>
              <w:t>审结</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cs="宋体"/>
                <w:kern w:val="0"/>
                <w:sz w:val="20"/>
                <w:szCs w:val="20"/>
                <w:lang w:bidi="ar"/>
              </w:rPr>
              <w:t>总计</w:t>
            </w:r>
          </w:p>
        </w:tc>
        <w:tc>
          <w:tcPr>
            <w:tcW w:w="3248" w:type="dxa"/>
            <w:gridSpan w:val="5"/>
            <w:tcBorders>
              <w:top w:val="single" w:color="auto" w:sz="8" w:space="0"/>
              <w:left w:val="single" w:color="auto" w:sz="8" w:space="0"/>
              <w:bottom w:val="single" w:color="auto" w:sz="8" w:space="0"/>
              <w:right w:val="single" w:color="auto" w:sz="8" w:space="0"/>
            </w:tcBorders>
            <w:shd w:val="clear" w:color="auto" w:fill="DDEBF7"/>
            <w:tcMar>
              <w:left w:w="108" w:type="dxa"/>
              <w:right w:w="108" w:type="dxa"/>
            </w:tcMar>
            <w:vAlign w:val="center"/>
          </w:tcPr>
          <w:p>
            <w:pPr>
              <w:widowControl/>
              <w:jc w:val="center"/>
            </w:pPr>
            <w:r>
              <w:rPr>
                <w:rFonts w:hint="eastAsia" w:ascii="宋体" w:hAnsi="宋体" w:cs="宋体"/>
                <w:kern w:val="0"/>
                <w:sz w:val="20"/>
                <w:szCs w:val="20"/>
                <w:lang w:bidi="ar"/>
              </w:rPr>
              <w:t>未经复议直接起诉</w:t>
            </w:r>
          </w:p>
        </w:tc>
        <w:tc>
          <w:tcPr>
            <w:tcW w:w="3255" w:type="dxa"/>
            <w:gridSpan w:val="5"/>
            <w:tcBorders>
              <w:top w:val="single" w:color="auto" w:sz="8" w:space="0"/>
              <w:left w:val="single" w:color="auto" w:sz="8" w:space="0"/>
              <w:bottom w:val="single" w:color="auto" w:sz="8" w:space="0"/>
              <w:right w:val="single" w:color="auto" w:sz="8" w:space="0"/>
            </w:tcBorders>
            <w:shd w:val="clear" w:color="auto" w:fill="DDEBF7"/>
            <w:tcMar>
              <w:left w:w="108" w:type="dxa"/>
              <w:right w:w="108" w:type="dxa"/>
            </w:tcMar>
            <w:vAlign w:val="center"/>
          </w:tcPr>
          <w:p>
            <w:pPr>
              <w:widowControl/>
              <w:jc w:val="center"/>
            </w:pPr>
            <w:r>
              <w:rPr>
                <w:rFonts w:hint="eastAsia" w:ascii="宋体" w:hAnsi="宋体" w:cs="宋体"/>
                <w:kern w:val="0"/>
                <w:sz w:val="20"/>
                <w:szCs w:val="20"/>
                <w:lang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14" w:hRule="atLeast"/>
          <w:jc w:val="center"/>
        </w:trPr>
        <w:tc>
          <w:tcPr>
            <w:tcW w:w="649"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sz w:val="24"/>
              </w:rPr>
            </w:pPr>
          </w:p>
        </w:tc>
        <w:tc>
          <w:tcPr>
            <w:tcW w:w="649"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sz w:val="24"/>
              </w:rPr>
            </w:pPr>
          </w:p>
        </w:tc>
        <w:tc>
          <w:tcPr>
            <w:tcW w:w="64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ascii="宋体"/>
                <w:sz w:val="24"/>
              </w:rPr>
            </w:pPr>
          </w:p>
        </w:tc>
        <w:tc>
          <w:tcPr>
            <w:tcW w:w="64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ascii="宋体"/>
                <w:sz w:val="24"/>
              </w:rPr>
            </w:pPr>
          </w:p>
        </w:tc>
        <w:tc>
          <w:tcPr>
            <w:tcW w:w="64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ascii="宋体"/>
                <w:sz w:val="24"/>
              </w:rPr>
            </w:pP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lang w:bidi="ar"/>
              </w:rPr>
              <w:t>结果</w:t>
            </w:r>
            <w:r>
              <w:rPr>
                <w:rFonts w:hint="eastAsia" w:ascii="宋体" w:hAnsi="宋体" w:cs="宋体"/>
                <w:kern w:val="0"/>
                <w:sz w:val="20"/>
                <w:szCs w:val="20"/>
                <w:lang w:bidi="ar"/>
              </w:rPr>
              <w:br w:type="textWrapping"/>
            </w:r>
            <w:r>
              <w:rPr>
                <w:rFonts w:hint="eastAsia" w:ascii="宋体" w:hAnsi="宋体" w:cs="宋体"/>
                <w:kern w:val="0"/>
                <w:sz w:val="20"/>
                <w:szCs w:val="20"/>
                <w:lang w:bidi="ar"/>
              </w:rPr>
              <w:t>维持</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lang w:bidi="ar"/>
              </w:rPr>
              <w:t>结果</w:t>
            </w:r>
            <w:r>
              <w:rPr>
                <w:rFonts w:hint="eastAsia" w:ascii="宋体" w:hAnsi="宋体" w:cs="宋体"/>
                <w:kern w:val="0"/>
                <w:sz w:val="20"/>
                <w:szCs w:val="20"/>
                <w:lang w:bidi="ar"/>
              </w:rPr>
              <w:br w:type="textWrapping"/>
            </w:r>
            <w:r>
              <w:rPr>
                <w:rFonts w:hint="eastAsia" w:ascii="宋体" w:hAnsi="宋体" w:cs="宋体"/>
                <w:kern w:val="0"/>
                <w:sz w:val="20"/>
                <w:szCs w:val="20"/>
                <w:lang w:bidi="ar"/>
              </w:rPr>
              <w:t>纠正</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lang w:bidi="ar"/>
              </w:rPr>
              <w:t>其他</w:t>
            </w:r>
            <w:r>
              <w:rPr>
                <w:rFonts w:hint="eastAsia" w:ascii="宋体" w:hAnsi="宋体" w:cs="宋体"/>
                <w:kern w:val="0"/>
                <w:sz w:val="20"/>
                <w:szCs w:val="20"/>
                <w:lang w:bidi="ar"/>
              </w:rPr>
              <w:br w:type="textWrapping"/>
            </w:r>
            <w:r>
              <w:rPr>
                <w:rFonts w:hint="eastAsia" w:ascii="宋体" w:hAnsi="宋体" w:cs="宋体"/>
                <w:kern w:val="0"/>
                <w:sz w:val="20"/>
                <w:szCs w:val="20"/>
                <w:lang w:bidi="ar"/>
              </w:rPr>
              <w:t>结果</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lang w:bidi="ar"/>
              </w:rPr>
              <w:t>尚未</w:t>
            </w:r>
            <w:r>
              <w:rPr>
                <w:rFonts w:hint="eastAsia" w:ascii="宋体" w:hAnsi="宋体" w:cs="宋体"/>
                <w:kern w:val="0"/>
                <w:sz w:val="20"/>
                <w:szCs w:val="20"/>
                <w:lang w:bidi="ar"/>
              </w:rPr>
              <w:br w:type="textWrapping"/>
            </w:r>
            <w:r>
              <w:rPr>
                <w:rFonts w:hint="eastAsia" w:ascii="宋体" w:hAnsi="宋体" w:cs="宋体"/>
                <w:kern w:val="0"/>
                <w:sz w:val="20"/>
                <w:szCs w:val="20"/>
                <w:lang w:bidi="ar"/>
              </w:rPr>
              <w:t>审结</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color w:val="000000"/>
                <w:kern w:val="0"/>
                <w:sz w:val="20"/>
                <w:szCs w:val="20"/>
                <w:lang w:bidi="ar"/>
              </w:rPr>
              <w:t>总计</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lang w:bidi="ar"/>
              </w:rPr>
              <w:t>结果</w:t>
            </w:r>
            <w:r>
              <w:rPr>
                <w:rFonts w:hint="eastAsia" w:ascii="宋体" w:hAnsi="宋体" w:cs="宋体"/>
                <w:kern w:val="0"/>
                <w:sz w:val="20"/>
                <w:szCs w:val="20"/>
                <w:lang w:bidi="ar"/>
              </w:rPr>
              <w:br w:type="textWrapping"/>
            </w:r>
            <w:r>
              <w:rPr>
                <w:rFonts w:hint="eastAsia" w:ascii="宋体" w:hAnsi="宋体" w:cs="宋体"/>
                <w:kern w:val="0"/>
                <w:sz w:val="20"/>
                <w:szCs w:val="20"/>
                <w:lang w:bidi="ar"/>
              </w:rPr>
              <w:t>维持</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lang w:bidi="ar"/>
              </w:rPr>
              <w:t>结果</w:t>
            </w:r>
            <w:r>
              <w:rPr>
                <w:rFonts w:hint="eastAsia" w:ascii="宋体" w:hAnsi="宋体" w:cs="宋体"/>
                <w:kern w:val="0"/>
                <w:sz w:val="20"/>
                <w:szCs w:val="20"/>
                <w:lang w:bidi="ar"/>
              </w:rPr>
              <w:br w:type="textWrapping"/>
            </w:r>
            <w:r>
              <w:rPr>
                <w:rFonts w:hint="eastAsia" w:ascii="宋体" w:hAnsi="宋体" w:cs="宋体"/>
                <w:kern w:val="0"/>
                <w:sz w:val="20"/>
                <w:szCs w:val="20"/>
                <w:lang w:bidi="ar"/>
              </w:rPr>
              <w:t>纠正</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color w:val="000000"/>
                <w:kern w:val="0"/>
                <w:sz w:val="20"/>
                <w:szCs w:val="20"/>
                <w:lang w:bidi="ar"/>
              </w:rPr>
              <w:t>其他</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结果</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lang w:bidi="ar"/>
              </w:rPr>
              <w:t>尚未</w:t>
            </w:r>
            <w:r>
              <w:rPr>
                <w:rFonts w:hint="eastAsia" w:ascii="宋体" w:hAnsi="宋体" w:cs="宋体"/>
                <w:kern w:val="0"/>
                <w:sz w:val="20"/>
                <w:szCs w:val="20"/>
                <w:lang w:bidi="ar"/>
              </w:rPr>
              <w:br w:type="textWrapping"/>
            </w:r>
            <w:r>
              <w:rPr>
                <w:rFonts w:hint="eastAsia" w:ascii="宋体" w:hAnsi="宋体" w:cs="宋体"/>
                <w:kern w:val="0"/>
                <w:sz w:val="20"/>
                <w:szCs w:val="20"/>
                <w:lang w:bidi="ar"/>
              </w:rPr>
              <w:t>审结</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color w:val="000000"/>
                <w:kern w:val="0"/>
                <w:sz w:val="20"/>
                <w:szCs w:val="20"/>
                <w:lang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kern w:val="0"/>
                <w:sz w:val="20"/>
                <w:szCs w:val="20"/>
                <w:lang w:bidi="ar"/>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kern w:val="0"/>
                <w:sz w:val="20"/>
                <w:szCs w:val="20"/>
                <w:lang w:bidi="ar"/>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kern w:val="0"/>
                <w:sz w:val="20"/>
                <w:szCs w:val="20"/>
                <w:lang w:bidi="ar"/>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kern w:val="0"/>
                <w:sz w:val="20"/>
                <w:szCs w:val="20"/>
                <w:lang w:bidi="ar"/>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kern w:val="0"/>
                <w:sz w:val="20"/>
                <w:szCs w:val="20"/>
                <w:lang w:bidi="ar"/>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kern w:val="0"/>
                <w:sz w:val="20"/>
                <w:szCs w:val="20"/>
                <w:lang w:bidi="ar"/>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kern w:val="0"/>
                <w:sz w:val="20"/>
                <w:szCs w:val="20"/>
                <w:lang w:bidi="ar"/>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kern w:val="0"/>
                <w:sz w:val="20"/>
                <w:szCs w:val="20"/>
                <w:lang w:bidi="ar"/>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kern w:val="0"/>
                <w:sz w:val="20"/>
                <w:szCs w:val="20"/>
                <w:lang w:bidi="ar"/>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kern w:val="0"/>
                <w:sz w:val="20"/>
                <w:szCs w:val="20"/>
                <w:lang w:bidi="ar"/>
              </w:rPr>
              <w:t>0</w:t>
            </w:r>
          </w:p>
        </w:tc>
        <w:tc>
          <w:tcPr>
            <w:tcW w:w="651"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kern w:val="0"/>
                <w:sz w:val="20"/>
                <w:szCs w:val="20"/>
                <w:lang w:bidi="ar"/>
              </w:rPr>
              <w:t>0</w:t>
            </w:r>
          </w:p>
        </w:tc>
        <w:tc>
          <w:tcPr>
            <w:tcW w:w="651"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kern w:val="0"/>
                <w:sz w:val="20"/>
                <w:szCs w:val="20"/>
                <w:lang w:bidi="ar"/>
              </w:rPr>
              <w:t>0</w:t>
            </w:r>
          </w:p>
        </w:tc>
        <w:tc>
          <w:tcPr>
            <w:tcW w:w="651"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kern w:val="0"/>
                <w:sz w:val="20"/>
                <w:szCs w:val="20"/>
                <w:lang w:bidi="ar"/>
              </w:rPr>
              <w:t>0</w:t>
            </w:r>
          </w:p>
        </w:tc>
        <w:tc>
          <w:tcPr>
            <w:tcW w:w="651"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kern w:val="0"/>
                <w:sz w:val="20"/>
                <w:szCs w:val="20"/>
                <w:lang w:bidi="ar"/>
              </w:rPr>
              <w:t>0</w:t>
            </w:r>
          </w:p>
        </w:tc>
        <w:tc>
          <w:tcPr>
            <w:tcW w:w="651" w:type="dxa"/>
            <w:tcBorders>
              <w:top w:val="nil"/>
              <w:left w:val="single" w:color="auto" w:sz="8" w:space="0"/>
              <w:bottom w:val="single" w:color="auto" w:sz="8" w:space="0"/>
              <w:right w:val="single" w:color="auto" w:sz="8" w:space="0"/>
            </w:tcBorders>
            <w:tcMar>
              <w:left w:w="108" w:type="dxa"/>
              <w:right w:w="108" w:type="dxa"/>
            </w:tcMar>
            <w:vAlign w:val="center"/>
          </w:tcPr>
          <w:p>
            <w:pPr>
              <w:jc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rPr>
              <w:t>0</w:t>
            </w:r>
          </w:p>
        </w:tc>
      </w:tr>
    </w:tbl>
    <w:p>
      <w:pPr>
        <w:widowControl/>
        <w:jc w:val="left"/>
      </w:pPr>
    </w:p>
    <w:p>
      <w:pPr>
        <w:widowControl/>
        <w:spacing w:line="560" w:lineRule="exact"/>
        <w:ind w:firstLine="672" w:firstLineChars="200"/>
        <w:jc w:val="left"/>
        <w:rPr>
          <w:rFonts w:ascii="宋体" w:hAnsi="宋体" w:cs="宋体"/>
          <w:spacing w:val="8"/>
          <w:kern w:val="0"/>
          <w:sz w:val="24"/>
        </w:rPr>
      </w:pPr>
      <w:r>
        <w:rPr>
          <w:rFonts w:ascii="黑体" w:hAnsi="黑体" w:eastAsia="黑体" w:cs="宋体"/>
          <w:spacing w:val="8"/>
          <w:kern w:val="0"/>
          <w:sz w:val="32"/>
          <w:szCs w:val="32"/>
        </w:rPr>
        <w:t>五、存在的主要问题及改进情况</w:t>
      </w:r>
    </w:p>
    <w:p>
      <w:pPr>
        <w:pStyle w:val="6"/>
        <w:spacing w:before="0" w:beforeAutospacing="0" w:after="0" w:afterAutospacing="0" w:line="360" w:lineRule="auto"/>
        <w:ind w:firstLine="640" w:firstLineChars="200"/>
        <w:rPr>
          <w:rFonts w:hint="default" w:ascii="仿宋_GB2312" w:hAnsi="仿宋_GB2312" w:eastAsia="仿宋_GB2312" w:cs="仿宋_GB2312"/>
          <w:sz w:val="32"/>
          <w:szCs w:val="32"/>
        </w:rPr>
      </w:pPr>
      <w:r>
        <w:rPr>
          <w:rFonts w:ascii="仿宋_GB2312" w:hAnsi="仿宋_GB2312" w:eastAsia="仿宋_GB2312" w:cs="仿宋_GB2312"/>
          <w:color w:val="404040"/>
          <w:sz w:val="32"/>
          <w:szCs w:val="32"/>
          <w:shd w:val="clear" w:color="auto" w:fill="FFFFFF"/>
        </w:rPr>
        <w:t>一是进一步加大政务公开主动公开力度，对主动公开全清单涉及信息“应公开、尽公开”。</w:t>
      </w:r>
    </w:p>
    <w:p>
      <w:pPr>
        <w:pStyle w:val="6"/>
        <w:spacing w:before="0" w:beforeAutospacing="0" w:after="0" w:afterAutospacing="0" w:line="360" w:lineRule="auto"/>
        <w:ind w:firstLine="640" w:firstLineChars="200"/>
        <w:rPr>
          <w:rFonts w:hint="default" w:ascii="仿宋_GB2312" w:hAnsi="仿宋_GB2312" w:eastAsia="仿宋_GB2312" w:cs="仿宋_GB2312"/>
          <w:sz w:val="32"/>
          <w:szCs w:val="32"/>
        </w:rPr>
      </w:pPr>
      <w:r>
        <w:rPr>
          <w:rFonts w:ascii="仿宋_GB2312" w:hAnsi="仿宋_GB2312" w:eastAsia="仿宋_GB2312" w:cs="仿宋_GB2312"/>
          <w:color w:val="404040"/>
          <w:sz w:val="32"/>
          <w:szCs w:val="32"/>
          <w:shd w:val="clear" w:color="auto" w:fill="FFFFFF"/>
        </w:rPr>
        <w:t>二是提升依申请公开工作水平。梳理汇总本单位信息公开申请受理、办理、答复环节过程中的问题。总结工作经验，提升依法依规的工作水平。</w:t>
      </w:r>
    </w:p>
    <w:p>
      <w:pPr>
        <w:pStyle w:val="6"/>
        <w:spacing w:before="0" w:beforeAutospacing="0" w:after="0" w:afterAutospacing="0" w:line="360" w:lineRule="auto"/>
        <w:ind w:firstLine="640" w:firstLineChars="200"/>
        <w:rPr>
          <w:rFonts w:hint="default" w:ascii="仿宋_GB2312" w:hAnsi="仿宋_GB2312" w:eastAsia="仿宋_GB2312" w:cs="仿宋_GB2312"/>
          <w:spacing w:val="8"/>
          <w:sz w:val="32"/>
          <w:szCs w:val="32"/>
        </w:rPr>
      </w:pPr>
      <w:r>
        <w:rPr>
          <w:rFonts w:ascii="仿宋_GB2312" w:hAnsi="仿宋_GB2312" w:eastAsia="仿宋_GB2312" w:cs="仿宋_GB2312"/>
          <w:color w:val="404040"/>
          <w:sz w:val="32"/>
          <w:szCs w:val="32"/>
          <w:shd w:val="clear" w:color="auto" w:fill="FFFFFF"/>
        </w:rPr>
        <w:t>三是加强人员培训管理。积极参加信息公开相关的学习培训，进一步提升工作人员综合能力，严格规范政府信息公开工作流程。</w:t>
      </w:r>
    </w:p>
    <w:p>
      <w:pPr>
        <w:widowControl/>
        <w:spacing w:line="560" w:lineRule="exact"/>
        <w:ind w:firstLine="675"/>
        <w:jc w:val="left"/>
        <w:rPr>
          <w:rFonts w:ascii="宋体" w:hAnsi="宋体" w:cs="宋体"/>
          <w:spacing w:val="8"/>
          <w:kern w:val="0"/>
          <w:sz w:val="32"/>
          <w:szCs w:val="32"/>
        </w:rPr>
      </w:pPr>
      <w:r>
        <w:rPr>
          <w:rFonts w:ascii="黑体" w:hAnsi="黑体" w:eastAsia="黑体" w:cs="宋体"/>
          <w:spacing w:val="8"/>
          <w:kern w:val="0"/>
          <w:sz w:val="32"/>
          <w:szCs w:val="32"/>
        </w:rPr>
        <w:t>六、其他需要报告的事项</w:t>
      </w:r>
    </w:p>
    <w:p>
      <w:pPr>
        <w:widowControl/>
        <w:spacing w:line="560" w:lineRule="exact"/>
        <w:jc w:val="left"/>
        <w:rPr>
          <w:rFonts w:hint="eastAsia" w:ascii="仿宋_GB2312" w:hAnsi="仿宋_GB2312" w:eastAsia="仿宋_GB2312" w:cs="仿宋_GB2312"/>
          <w:color w:val="404040"/>
          <w:kern w:val="0"/>
          <w:sz w:val="32"/>
          <w:szCs w:val="32"/>
          <w:shd w:val="clear" w:color="auto" w:fill="FFFFFF"/>
          <w:lang w:val="en-US" w:eastAsia="zh-CN" w:bidi="ar-SA"/>
        </w:rPr>
      </w:pPr>
      <w:r>
        <w:rPr>
          <w:rFonts w:ascii="宋体" w:hAnsi="宋体" w:cs="宋体"/>
          <w:spacing w:val="8"/>
          <w:kern w:val="0"/>
          <w:sz w:val="32"/>
          <w:szCs w:val="32"/>
        </w:rPr>
        <w:t>　　</w:t>
      </w:r>
      <w:r>
        <w:rPr>
          <w:rFonts w:hint="eastAsia" w:ascii="仿宋_GB2312" w:hAnsi="仿宋_GB2312" w:eastAsia="仿宋_GB2312" w:cs="仿宋_GB2312"/>
          <w:color w:val="404040"/>
          <w:kern w:val="0"/>
          <w:sz w:val="32"/>
          <w:szCs w:val="32"/>
          <w:shd w:val="clear" w:color="auto" w:fill="FFFFFF"/>
          <w:lang w:val="en-US" w:eastAsia="zh-CN" w:bidi="ar-SA"/>
        </w:rPr>
        <w:t>本单位依据《政府信息公开信息处理费管理办法》收取信息处理费，2021年发出收费通知的件数0件，总金额0元。实际收取的总金额0元。</w:t>
      </w:r>
    </w:p>
    <w:p>
      <w:pPr>
        <w:rPr>
          <w:rFonts w:hint="eastAsia" w:ascii="仿宋_GB2312" w:hAnsi="仿宋_GB2312" w:eastAsia="仿宋_GB2312" w:cs="仿宋_GB2312"/>
          <w:color w:val="404040"/>
          <w:kern w:val="0"/>
          <w:sz w:val="32"/>
          <w:szCs w:val="32"/>
          <w:shd w:val="clear" w:color="auto" w:fill="FFFFFF"/>
          <w:lang w:val="en-US" w:eastAsia="zh-CN" w:bidi="ar-SA"/>
        </w:rPr>
      </w:pPr>
    </w:p>
    <w:p/>
    <w:p/>
    <w:p>
      <w:pPr>
        <w:pStyle w:val="2"/>
      </w:pPr>
    </w:p>
    <w:p>
      <w:pPr>
        <w:pStyle w:val="2"/>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8FBF937"/>
    <w:multiLevelType w:val="singleLevel"/>
    <w:tmpl w:val="F8FBF937"/>
    <w:lvl w:ilvl="0" w:tentative="0">
      <w:start w:val="2"/>
      <w:numFmt w:val="chineseCounting"/>
      <w:suff w:val="nothing"/>
      <w:lvlText w:val="%1、"/>
      <w:lvlJc w:val="left"/>
      <w:rPr>
        <w:rFonts w:hint="eastAsia" w:ascii="黑体" w:hAnsi="黑体" w:eastAsia="黑体" w:cs="黑体"/>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11D"/>
    <w:rsid w:val="000D511D"/>
    <w:rsid w:val="000E02FD"/>
    <w:rsid w:val="00116106"/>
    <w:rsid w:val="003227D2"/>
    <w:rsid w:val="005007EE"/>
    <w:rsid w:val="005C4F62"/>
    <w:rsid w:val="00940ED0"/>
    <w:rsid w:val="00D42421"/>
    <w:rsid w:val="00E355E6"/>
    <w:rsid w:val="00EC0F9F"/>
    <w:rsid w:val="06ED3089"/>
    <w:rsid w:val="0AF67C12"/>
    <w:rsid w:val="221C5ACE"/>
    <w:rsid w:val="243B7E84"/>
    <w:rsid w:val="38606F3B"/>
    <w:rsid w:val="56694D8A"/>
    <w:rsid w:val="57370902"/>
    <w:rsid w:val="6F154E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rPr>
  </w:style>
  <w:style w:type="paragraph" w:styleId="3">
    <w:name w:val="annotation text"/>
    <w:basedOn w:val="1"/>
    <w:link w:val="18"/>
    <w:qFormat/>
    <w:uiPriority w:val="0"/>
    <w:pPr>
      <w:jc w:val="left"/>
    </w:pPr>
  </w:style>
  <w:style w:type="paragraph" w:styleId="4">
    <w:name w:val="footer"/>
    <w:basedOn w:val="1"/>
    <w:link w:val="17"/>
    <w:uiPriority w:val="0"/>
    <w:pPr>
      <w:tabs>
        <w:tab w:val="center" w:pos="4153"/>
        <w:tab w:val="right" w:pos="8306"/>
      </w:tabs>
      <w:snapToGrid w:val="0"/>
      <w:jc w:val="left"/>
    </w:pPr>
    <w:rPr>
      <w:sz w:val="18"/>
      <w:szCs w:val="18"/>
    </w:rPr>
  </w:style>
  <w:style w:type="paragraph" w:styleId="5">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hint="eastAsia" w:ascii="宋体" w:hAnsi="宋体" w:cs="宋体"/>
      <w:color w:val="000000"/>
      <w:kern w:val="0"/>
      <w:sz w:val="24"/>
    </w:rPr>
  </w:style>
  <w:style w:type="paragraph" w:styleId="7">
    <w:name w:val="annotation subject"/>
    <w:basedOn w:val="3"/>
    <w:next w:val="3"/>
    <w:link w:val="19"/>
    <w:qFormat/>
    <w:uiPriority w:val="0"/>
    <w:rPr>
      <w:b/>
      <w:bCs/>
    </w:rPr>
  </w:style>
  <w:style w:type="character" w:styleId="10">
    <w:name w:val="FollowedHyperlink"/>
    <w:basedOn w:val="9"/>
    <w:qFormat/>
    <w:uiPriority w:val="0"/>
    <w:rPr>
      <w:color w:val="000000"/>
      <w:u w:val="none"/>
    </w:rPr>
  </w:style>
  <w:style w:type="character" w:styleId="11">
    <w:name w:val="Emphasis"/>
    <w:basedOn w:val="9"/>
    <w:qFormat/>
    <w:uiPriority w:val="0"/>
  </w:style>
  <w:style w:type="character" w:styleId="12">
    <w:name w:val="HTML Variable"/>
    <w:basedOn w:val="9"/>
    <w:qFormat/>
    <w:uiPriority w:val="0"/>
  </w:style>
  <w:style w:type="character" w:styleId="13">
    <w:name w:val="Hyperlink"/>
    <w:basedOn w:val="9"/>
    <w:qFormat/>
    <w:uiPriority w:val="0"/>
    <w:rPr>
      <w:color w:val="000000"/>
      <w:u w:val="none"/>
    </w:rPr>
  </w:style>
  <w:style w:type="character" w:styleId="14">
    <w:name w:val="annotation reference"/>
    <w:basedOn w:val="9"/>
    <w:qFormat/>
    <w:uiPriority w:val="0"/>
    <w:rPr>
      <w:sz w:val="21"/>
      <w:szCs w:val="21"/>
    </w:rPr>
  </w:style>
  <w:style w:type="character" w:customStyle="1" w:styleId="15">
    <w:name w:val="on"/>
    <w:basedOn w:val="9"/>
    <w:qFormat/>
    <w:uiPriority w:val="0"/>
  </w:style>
  <w:style w:type="character" w:customStyle="1" w:styleId="16">
    <w:name w:val="页眉 字符"/>
    <w:basedOn w:val="9"/>
    <w:link w:val="5"/>
    <w:qFormat/>
    <w:uiPriority w:val="0"/>
    <w:rPr>
      <w:rFonts w:ascii="Calibri" w:hAnsi="Calibri" w:eastAsia="宋体" w:cs="Times New Roman"/>
      <w:kern w:val="2"/>
      <w:sz w:val="18"/>
      <w:szCs w:val="18"/>
    </w:rPr>
  </w:style>
  <w:style w:type="character" w:customStyle="1" w:styleId="17">
    <w:name w:val="页脚 字符"/>
    <w:basedOn w:val="9"/>
    <w:link w:val="4"/>
    <w:qFormat/>
    <w:uiPriority w:val="0"/>
    <w:rPr>
      <w:rFonts w:ascii="Calibri" w:hAnsi="Calibri" w:eastAsia="宋体" w:cs="Times New Roman"/>
      <w:kern w:val="2"/>
      <w:sz w:val="18"/>
      <w:szCs w:val="18"/>
    </w:rPr>
  </w:style>
  <w:style w:type="character" w:customStyle="1" w:styleId="18">
    <w:name w:val="批注文字 字符"/>
    <w:basedOn w:val="9"/>
    <w:link w:val="3"/>
    <w:qFormat/>
    <w:uiPriority w:val="0"/>
    <w:rPr>
      <w:rFonts w:ascii="Calibri" w:hAnsi="Calibri" w:eastAsia="宋体" w:cs="Times New Roman"/>
      <w:kern w:val="2"/>
      <w:sz w:val="21"/>
      <w:szCs w:val="24"/>
    </w:rPr>
  </w:style>
  <w:style w:type="character" w:customStyle="1" w:styleId="19">
    <w:name w:val="批注主题 字符"/>
    <w:basedOn w:val="18"/>
    <w:link w:val="7"/>
    <w:qFormat/>
    <w:uiPriority w:val="0"/>
    <w:rPr>
      <w:rFonts w:ascii="Calibri" w:hAnsi="Calibri" w:eastAsia="宋体" w:cs="Times New Roman"/>
      <w:b/>
      <w:bCs/>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335</Words>
  <Characters>1914</Characters>
  <Lines>15</Lines>
  <Paragraphs>4</Paragraphs>
  <TotalTime>325</TotalTime>
  <ScaleCrop>false</ScaleCrop>
  <LinksUpToDate>false</LinksUpToDate>
  <CharactersWithSpaces>2245</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2021-12-28T01:08:00Z</dcterms:created>
  <dc:creator>86134</dc:creator>
  <cp:lastModifiedBy>评测</cp:lastModifiedBy>
  <dcterms:modified xsi:type="dcterms:W3CDTF">2022-01-13T09:42:23Z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1D2C0863F2764E10892FECC313EF6D59</vt:lpwstr>
  </property>
</Properties>
</file>