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北京市通州区农业农村局2021年政府信息公开工作年度报告</w:t>
      </w:r>
    </w:p>
    <w:p>
      <w:pPr>
        <w:spacing w:line="560" w:lineRule="exact"/>
        <w:jc w:val="center"/>
        <w:rPr>
          <w:sz w:val="44"/>
          <w:szCs w:val="44"/>
        </w:rPr>
      </w:pPr>
    </w:p>
    <w:p>
      <w:pPr>
        <w:widowControl/>
        <w:spacing w:line="560" w:lineRule="exact"/>
        <w:jc w:val="left"/>
        <w:rPr>
          <w:rFonts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numPr>
          <w:ilvl w:val="0"/>
          <w:numId w:val="0"/>
        </w:numPr>
        <w:ind w:firstLine="643" w:firstLineChars="200"/>
        <w:rPr>
          <w:rFonts w:ascii="仿宋_GB2312" w:hAnsi="华文仿宋" w:eastAsia="仿宋_GB2312"/>
          <w:b/>
          <w:color w:val="000000" w:themeColor="text1"/>
          <w:sz w:val="32"/>
          <w:szCs w:val="32"/>
          <w14:textFill>
            <w14:solidFill>
              <w14:schemeClr w14:val="tx1"/>
            </w14:solidFill>
          </w14:textFill>
        </w:rPr>
      </w:pPr>
      <w:r>
        <w:rPr>
          <w:rFonts w:hint="eastAsia" w:ascii="仿宋_GB2312" w:hAnsi="华文仿宋" w:eastAsia="仿宋_GB2312"/>
          <w:b/>
          <w:color w:val="000000" w:themeColor="text1"/>
          <w:sz w:val="32"/>
          <w:szCs w:val="32"/>
          <w:lang w:val="en-US" w:eastAsia="zh-CN"/>
          <w14:textFill>
            <w14:solidFill>
              <w14:schemeClr w14:val="tx1"/>
            </w14:solidFill>
          </w14:textFill>
        </w:rPr>
        <w:t>一是</w:t>
      </w:r>
      <w:r>
        <w:rPr>
          <w:rFonts w:hint="eastAsia" w:ascii="仿宋_GB2312" w:hAnsi="华文仿宋" w:eastAsia="仿宋_GB2312"/>
          <w:b/>
          <w:color w:val="000000" w:themeColor="text1"/>
          <w:sz w:val="32"/>
          <w:szCs w:val="32"/>
          <w14:textFill>
            <w14:solidFill>
              <w14:schemeClr w14:val="tx1"/>
            </w14:solidFill>
          </w14:textFill>
        </w:rPr>
        <w:t>加强政府信息公开、依申请公开力度，扎实做好各网站栏目内容更新。</w:t>
      </w:r>
    </w:p>
    <w:p>
      <w:pPr>
        <w:ind w:firstLine="640" w:firstLineChars="200"/>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2021年紧紧围绕通州区人民政府网（首都之窗·北京通州）开展信息公开工作。对网站中涉及的各栏目及时进行更新，图文并茂地展示我区现代“三农”风采。一是通过网络平台，对我局各项业务工作进行全方位宣传报道。截至目前对全区涉及“三农”工作开展情况进行实时报道77篇。二是对本年度行政处罚、行政许可、依申请公开事项进行依法公开。2021年我局共接到依申请公开7次，按照《政府信息公开管理条例》中规定的流程对申请人进行相关答复并记录留档在案。三是着重对通州区政府网站农业农村局版块进行全面维护。目前我局的信息公开网站已经完成重组建设，对以往更新不及时、网站存在错误、栏目内容不存在等现象进行重新布局并及时上报网站内所有栏目的相关信息材料。</w:t>
      </w:r>
    </w:p>
    <w:p>
      <w:pPr>
        <w:numPr>
          <w:ilvl w:val="0"/>
          <w:numId w:val="0"/>
        </w:numPr>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hAnsi="华文仿宋" w:eastAsia="仿宋_GB2312"/>
          <w:b/>
          <w:color w:val="000000" w:themeColor="text1"/>
          <w:sz w:val="32"/>
          <w:szCs w:val="32"/>
          <w:lang w:val="en-US" w:eastAsia="zh-CN"/>
          <w14:textFill>
            <w14:solidFill>
              <w14:schemeClr w14:val="tx1"/>
            </w14:solidFill>
          </w14:textFill>
        </w:rPr>
        <w:t>二是</w:t>
      </w:r>
      <w:r>
        <w:rPr>
          <w:rFonts w:hint="eastAsia" w:ascii="仿宋_GB2312" w:hAnsi="华文仿宋" w:eastAsia="仿宋_GB2312"/>
          <w:b/>
          <w:color w:val="000000" w:themeColor="text1"/>
          <w:sz w:val="32"/>
          <w:szCs w:val="32"/>
          <w14:textFill>
            <w14:solidFill>
              <w14:schemeClr w14:val="tx1"/>
            </w14:solidFill>
          </w14:textFill>
        </w:rPr>
        <w:t>扎实做好信息宣传工作，引导正确舆论导向，展现现代都市农业新风采</w:t>
      </w:r>
      <w:r>
        <w:rPr>
          <w:rFonts w:hint="eastAsia" w:ascii="仿宋_GB2312" w:eastAsia="仿宋_GB2312"/>
          <w:b/>
          <w:color w:val="000000" w:themeColor="text1"/>
          <w:sz w:val="32"/>
          <w:szCs w:val="32"/>
          <w14:textFill>
            <w14:solidFill>
              <w14:schemeClr w14:val="tx1"/>
            </w14:solidFill>
          </w14:textFill>
        </w:rPr>
        <w:t>。</w:t>
      </w:r>
    </w:p>
    <w:p>
      <w:pPr>
        <w:ind w:firstLine="640" w:firstLineChars="200"/>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全方位做好全方位信息宣传工作，展现我区农业特色。今</w:t>
      </w:r>
      <w:r>
        <w:rPr>
          <w:rFonts w:hint="eastAsia" w:ascii="仿宋_GB2312" w:hAnsi="华文仿宋" w:eastAsia="仿宋_GB2312"/>
          <w:sz w:val="32"/>
          <w:szCs w:val="32"/>
        </w:rPr>
        <w:t>年我局共向各类新闻媒体报送稿件200余条。</w:t>
      </w:r>
      <w:r>
        <w:rPr>
          <w:rFonts w:hint="eastAsia" w:ascii="仿宋_GB2312" w:hAnsi="华文仿宋" w:eastAsia="仿宋_GB2312"/>
          <w:color w:val="000000" w:themeColor="text1"/>
          <w:sz w:val="32"/>
          <w:szCs w:val="32"/>
          <w14:textFill>
            <w14:solidFill>
              <w14:schemeClr w14:val="tx1"/>
            </w14:solidFill>
          </w14:textFill>
        </w:rPr>
        <w:t>同期在今日头条、北京日报、融汇副中心、大运通州网等新媒体及北京城市副中心报、通州电视台、北青报通州社区报等传统媒体利用电视、报纸、微信公众号、新媒体推送等途径对农民艺术节丰收节、通州渔政执法、美丽乡村建设，进行多角度、全方位的深度报道。</w:t>
      </w:r>
    </w:p>
    <w:p>
      <w:pPr>
        <w:ind w:firstLine="643" w:firstLineChars="200"/>
        <w:rPr>
          <w:rFonts w:ascii="仿宋_GB2312" w:hAnsi="华文仿宋" w:eastAsia="仿宋_GB2312"/>
          <w:b/>
          <w:bCs/>
          <w:color w:val="000000" w:themeColor="text1"/>
          <w:sz w:val="32"/>
          <w:szCs w:val="32"/>
          <w14:textFill>
            <w14:solidFill>
              <w14:schemeClr w14:val="tx1"/>
            </w14:solidFill>
          </w14:textFill>
        </w:rPr>
      </w:pPr>
      <w:r>
        <w:rPr>
          <w:rFonts w:hint="eastAsia" w:ascii="仿宋_GB2312" w:hAnsi="华文仿宋" w:eastAsia="仿宋_GB2312"/>
          <w:b/>
          <w:bCs/>
          <w:color w:val="000000" w:themeColor="text1"/>
          <w:sz w:val="32"/>
          <w:szCs w:val="32"/>
          <w:lang w:val="en-US" w:eastAsia="zh-CN"/>
          <w14:textFill>
            <w14:solidFill>
              <w14:schemeClr w14:val="tx1"/>
            </w14:solidFill>
          </w14:textFill>
        </w:rPr>
        <w:t>三是</w:t>
      </w:r>
      <w:r>
        <w:rPr>
          <w:rFonts w:hint="eastAsia" w:ascii="仿宋_GB2312" w:hAnsi="仿宋" w:eastAsia="仿宋_GB2312"/>
          <w:b/>
          <w:bCs/>
          <w:color w:val="000000" w:themeColor="text1"/>
          <w:sz w:val="32"/>
          <w:szCs w:val="32"/>
          <w14:textFill>
            <w14:solidFill>
              <w14:schemeClr w14:val="tx1"/>
            </w14:solidFill>
          </w14:textFill>
        </w:rPr>
        <w:t>加强农业农村局疫情期间宣传工作</w:t>
      </w:r>
      <w:r>
        <w:rPr>
          <w:rFonts w:hint="eastAsia" w:ascii="仿宋_GB2312" w:hAnsi="华文仿宋" w:eastAsia="仿宋_GB2312"/>
          <w:b/>
          <w:bCs/>
          <w:color w:val="000000" w:themeColor="text1"/>
          <w:sz w:val="32"/>
          <w:szCs w:val="32"/>
          <w14:textFill>
            <w14:solidFill>
              <w14:schemeClr w14:val="tx1"/>
            </w14:solidFill>
          </w14:textFill>
        </w:rPr>
        <w:t>。</w:t>
      </w:r>
    </w:p>
    <w:p>
      <w:pPr>
        <w:ind w:firstLine="640" w:firstLineChars="200"/>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2021年我们继续把宣传工作重点放在了疫情防控上。本年度协调全局各科室整理全局疫情防控工作开展情况，汇总成简报共出刊56期。并在北京市疫情防控简报、通州区疫情防控简报等相关内部材料刊登。</w:t>
      </w:r>
    </w:p>
    <w:p>
      <w:pPr>
        <w:numPr>
          <w:ilvl w:val="0"/>
          <w:numId w:val="1"/>
        </w:numPr>
        <w:spacing w:line="560" w:lineRule="exact"/>
        <w:ind w:firstLine="640" w:firstLineChars="200"/>
        <w:rPr>
          <w:sz w:val="32"/>
          <w:szCs w:val="32"/>
        </w:rPr>
      </w:pPr>
      <w:r>
        <w:rPr>
          <w:rFonts w:hint="eastAsia" w:ascii="黑体" w:hAnsi="黑体" w:eastAsia="黑体" w:cs="黑体"/>
          <w:sz w:val="32"/>
          <w:szCs w:val="32"/>
        </w:rPr>
        <w:t>主动公开政府信息情况</w:t>
      </w:r>
    </w:p>
    <w:p>
      <w:pPr>
        <w:pStyle w:val="2"/>
      </w:pPr>
    </w:p>
    <w:tbl>
      <w:tblPr>
        <w:tblStyle w:val="8"/>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kern w:val="0"/>
                <w:sz w:val="20"/>
                <w:szCs w:val="20"/>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color w:val="000000"/>
                <w:kern w:val="0"/>
                <w:sz w:val="20"/>
                <w:szCs w:val="20"/>
                <w:lang w:bidi="ar"/>
              </w:rPr>
              <w:t>8</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sz w:val="20"/>
                <w:szCs w:val="20"/>
                <w:lang w:eastAsia="zh-CN"/>
              </w:rPr>
            </w:pPr>
            <w:r>
              <w:rPr>
                <w:rFonts w:hint="eastAsia" w:asciiTheme="majorEastAsia" w:hAnsiTheme="majorEastAsia" w:eastAsiaTheme="majorEastAsia" w:cstheme="majorEastAsia"/>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heme="majorEastAsia" w:hAnsiTheme="majorEastAsia" w:eastAsiaTheme="majorEastAsia" w:cstheme="majorEastAsia"/>
                <w:sz w:val="20"/>
                <w:szCs w:val="20"/>
                <w:lang w:val="en-US" w:eastAsia="zh-CN"/>
              </w:rPr>
            </w:pPr>
            <w:r>
              <w:rPr>
                <w:rStyle w:val="14"/>
                <w:rFonts w:hint="eastAsia" w:eastAsiaTheme="majorEastAsia"/>
                <w:lang w:val="en-US" w:eastAsia="zh-CN"/>
              </w:rPr>
              <w:t>13</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仿宋" w:hAnsi="仿宋" w:eastAsia="仿宋" w:cs="仿宋"/>
                <w:kern w:val="0"/>
                <w:sz w:val="20"/>
                <w:szCs w:val="20"/>
                <w:lang w:bidi="ar"/>
              </w:rPr>
              <w:t>875892</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sz w:val="20"/>
                <w:szCs w:val="20"/>
              </w:rPr>
            </w:pPr>
            <w:r>
              <w:rPr>
                <w:rFonts w:hint="eastAsia" w:ascii="宋体" w:hAnsi="宋体" w:cs="宋体"/>
                <w:color w:val="000000"/>
                <w:kern w:val="0"/>
                <w:sz w:val="20"/>
                <w:szCs w:val="20"/>
                <w:lang w:bidi="ar"/>
              </w:rPr>
              <w:t>249</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sz w:val="20"/>
                <w:szCs w:val="20"/>
              </w:rPr>
            </w:pPr>
            <w:r>
              <w:rPr>
                <w:rFonts w:hint="eastAsia" w:ascii="宋体" w:hAnsi="宋体" w:cs="宋体"/>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0"/>
                <w:szCs w:val="20"/>
              </w:rPr>
              <w:t>0</w:t>
            </w:r>
          </w:p>
        </w:tc>
      </w:tr>
    </w:tbl>
    <w:p>
      <w:pPr>
        <w:pStyle w:val="2"/>
        <w:rPr>
          <w:rFonts w:hint="eastAsia" w:eastAsia="宋体"/>
          <w:lang w:val="en-US" w:eastAsia="zh-CN"/>
        </w:rPr>
      </w:pPr>
      <w:r>
        <w:rPr>
          <w:rFonts w:hint="eastAsia"/>
          <w:lang w:val="en-US" w:eastAsia="zh-CN"/>
        </w:rPr>
        <w:t>7</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收到和处理政府信息公开申请情况</w:t>
      </w:r>
    </w:p>
    <w:p>
      <w:pPr>
        <w:pStyle w:val="6"/>
        <w:shd w:val="clear" w:color="auto" w:fill="FFFFFF"/>
        <w:spacing w:before="0" w:beforeAutospacing="0" w:after="0" w:afterAutospacing="0"/>
        <w:ind w:firstLine="420"/>
        <w:jc w:val="both"/>
        <w:rPr>
          <w:rFonts w:hint="default"/>
          <w:color w:val="333333"/>
        </w:rPr>
      </w:pP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8</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1</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5</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7</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Theme="majorEastAsia" w:hAnsiTheme="majorEastAsia" w:eastAsiaTheme="majorEastAsia" w:cstheme="majorEastAsia"/>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1</w:t>
            </w:r>
          </w:p>
        </w:tc>
        <w:tc>
          <w:tcPr>
            <w:tcW w:w="688" w:type="dxa"/>
            <w:tcBorders>
              <w:top w:val="outset" w:color="auto" w:sz="6" w:space="0"/>
              <w:left w:val="nil"/>
              <w:bottom w:val="outset" w:color="auto" w:sz="6" w:space="0"/>
              <w:right w:val="outset" w:color="auto" w:sz="6" w:space="0"/>
            </w:tcBorders>
            <w:vAlign w:val="center"/>
          </w:tcPr>
          <w:p>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c>
          <w:tcPr>
            <w:tcW w:w="689" w:type="dxa"/>
            <w:tcBorders>
              <w:top w:val="outset" w:color="auto" w:sz="6" w:space="0"/>
              <w:left w:val="nil"/>
              <w:bottom w:val="outset" w:color="auto" w:sz="6" w:space="0"/>
              <w:right w:val="outset" w:color="auto" w:sz="6" w:space="0"/>
            </w:tcBorders>
            <w:vAlign w:val="center"/>
          </w:tcPr>
          <w:p>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1</w:t>
            </w:r>
          </w:p>
        </w:tc>
      </w:tr>
    </w:tbl>
    <w:p>
      <w:pPr>
        <w:pStyle w:val="2"/>
        <w:ind w:left="420" w:leftChars="200"/>
      </w:pPr>
    </w:p>
    <w:p>
      <w:pPr>
        <w:pStyle w:val="2"/>
        <w:ind w:left="420" w:leftChars="200"/>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pStyle w:val="6"/>
        <w:spacing w:before="0" w:beforeAutospacing="0" w:after="0" w:afterAutospacing="0" w:line="360" w:lineRule="auto"/>
        <w:ind w:firstLine="640" w:firstLineChars="200"/>
        <w:rPr>
          <w:rFonts w:hint="default" w:ascii="仿宋_GB2312" w:hAnsi="仿宋_GB2312" w:eastAsia="仿宋_GB2312" w:cs="仿宋_GB2312"/>
          <w:sz w:val="32"/>
          <w:szCs w:val="32"/>
        </w:rPr>
      </w:pPr>
      <w:r>
        <w:rPr>
          <w:rFonts w:ascii="仿宋_GB2312" w:hAnsi="仿宋_GB2312" w:eastAsia="仿宋_GB2312" w:cs="仿宋_GB2312"/>
          <w:color w:val="404040"/>
          <w:sz w:val="32"/>
          <w:szCs w:val="32"/>
          <w:shd w:val="clear" w:color="auto" w:fill="FFFFFF"/>
        </w:rPr>
        <w:t>一是进一步加大政务公开主动公开力度，对主动公开全清单涉及信息“应公开、尽公开”。</w:t>
      </w:r>
    </w:p>
    <w:p>
      <w:pPr>
        <w:pStyle w:val="6"/>
        <w:spacing w:before="0" w:beforeAutospacing="0" w:after="0" w:afterAutospacing="0" w:line="360" w:lineRule="auto"/>
        <w:ind w:firstLine="640" w:firstLineChars="200"/>
        <w:rPr>
          <w:rFonts w:hint="default" w:ascii="仿宋_GB2312" w:hAnsi="仿宋_GB2312" w:eastAsia="仿宋_GB2312" w:cs="仿宋_GB2312"/>
          <w:sz w:val="32"/>
          <w:szCs w:val="32"/>
        </w:rPr>
      </w:pPr>
      <w:r>
        <w:rPr>
          <w:rFonts w:ascii="仿宋_GB2312" w:hAnsi="仿宋_GB2312" w:eastAsia="仿宋_GB2312" w:cs="仿宋_GB2312"/>
          <w:color w:val="404040"/>
          <w:sz w:val="32"/>
          <w:szCs w:val="32"/>
          <w:shd w:val="clear" w:color="auto" w:fill="FFFFFF"/>
        </w:rPr>
        <w:t>二是提升依申请公开工作水平。梳理汇总本单位信息公开申请受理、办理、答复环节过程中的问题。总结工作经验，提升依法依规的工作水平。</w:t>
      </w:r>
    </w:p>
    <w:p>
      <w:pPr>
        <w:pStyle w:val="6"/>
        <w:spacing w:before="0" w:beforeAutospacing="0" w:after="0" w:afterAutospacing="0" w:line="360" w:lineRule="auto"/>
        <w:ind w:firstLine="640" w:firstLineChars="200"/>
        <w:rPr>
          <w:rFonts w:hint="default" w:ascii="仿宋_GB2312" w:hAnsi="仿宋_GB2312" w:eastAsia="仿宋_GB2312" w:cs="仿宋_GB2312"/>
          <w:spacing w:val="8"/>
          <w:sz w:val="32"/>
          <w:szCs w:val="32"/>
        </w:rPr>
      </w:pPr>
      <w:r>
        <w:rPr>
          <w:rFonts w:ascii="仿宋_GB2312" w:hAnsi="仿宋_GB2312" w:eastAsia="仿宋_GB2312" w:cs="仿宋_GB2312"/>
          <w:color w:val="404040"/>
          <w:sz w:val="32"/>
          <w:szCs w:val="32"/>
          <w:shd w:val="clear" w:color="auto" w:fill="FFFFFF"/>
        </w:rPr>
        <w:t>三是加强人员培训管理。积极参加信息公开相关的学习培训，进一步提升工作人员综合能力，严格规范政府信息公开工作流程。</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jc w:val="left"/>
        <w:rPr>
          <w:rFonts w:hint="eastAsia" w:ascii="仿宋_GB2312" w:hAnsi="仿宋_GB2312" w:eastAsia="仿宋_GB2312" w:cs="仿宋_GB2312"/>
          <w:color w:val="404040"/>
          <w:kern w:val="0"/>
          <w:sz w:val="32"/>
          <w:szCs w:val="32"/>
          <w:shd w:val="clear" w:color="auto" w:fill="FFFFFF"/>
          <w:lang w:val="en-US" w:eastAsia="zh-CN" w:bidi="ar-SA"/>
        </w:rPr>
      </w:pPr>
      <w:r>
        <w:rPr>
          <w:rFonts w:ascii="宋体" w:hAnsi="宋体" w:cs="宋体"/>
          <w:spacing w:val="8"/>
          <w:kern w:val="0"/>
          <w:sz w:val="32"/>
          <w:szCs w:val="32"/>
        </w:rPr>
        <w:t>　　</w:t>
      </w:r>
      <w:r>
        <w:rPr>
          <w:rFonts w:hint="eastAsia" w:ascii="仿宋_GB2312" w:hAnsi="仿宋_GB2312" w:eastAsia="仿宋_GB2312" w:cs="仿宋_GB2312"/>
          <w:color w:val="404040"/>
          <w:kern w:val="0"/>
          <w:sz w:val="32"/>
          <w:szCs w:val="32"/>
          <w:shd w:val="clear" w:color="auto" w:fill="FFFFFF"/>
          <w:lang w:val="en-US" w:eastAsia="zh-CN" w:bidi="ar-SA"/>
        </w:rPr>
        <w:t>本单位依据《政府信息公开信息处理费管理办法》收取信息处理费，2021年发出收费通知的件数0件，总金额0元。实际收取的总金额0元。</w:t>
      </w:r>
    </w:p>
    <w:p>
      <w:pPr>
        <w:rPr>
          <w:rFonts w:hint="eastAsia" w:ascii="仿宋_GB2312" w:hAnsi="仿宋_GB2312" w:eastAsia="仿宋_GB2312" w:cs="仿宋_GB2312"/>
          <w:color w:val="404040"/>
          <w:kern w:val="0"/>
          <w:sz w:val="32"/>
          <w:szCs w:val="32"/>
          <w:shd w:val="clear" w:color="auto" w:fill="FFFFFF"/>
          <w:lang w:val="en-US" w:eastAsia="zh-CN" w:bidi="ar-SA"/>
        </w:rPr>
      </w:pPr>
    </w:p>
    <w:p/>
    <w:p/>
    <w:p>
      <w:pPr>
        <w:pStyle w:val="2"/>
      </w:pP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1D"/>
    <w:rsid w:val="000D511D"/>
    <w:rsid w:val="000E02FD"/>
    <w:rsid w:val="00116106"/>
    <w:rsid w:val="003227D2"/>
    <w:rsid w:val="005007EE"/>
    <w:rsid w:val="005C4F62"/>
    <w:rsid w:val="00940ED0"/>
    <w:rsid w:val="00D42421"/>
    <w:rsid w:val="00E355E6"/>
    <w:rsid w:val="00EC0F9F"/>
    <w:rsid w:val="06ED3089"/>
    <w:rsid w:val="0AF67C12"/>
    <w:rsid w:val="221C5ACE"/>
    <w:rsid w:val="243B7E84"/>
    <w:rsid w:val="38606F3B"/>
    <w:rsid w:val="56694D8A"/>
    <w:rsid w:val="57370902"/>
    <w:rsid w:val="6F154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link w:val="18"/>
    <w:qFormat/>
    <w:uiPriority w:val="0"/>
    <w:pPr>
      <w:jc w:val="left"/>
    </w:pPr>
  </w:style>
  <w:style w:type="paragraph" w:styleId="4">
    <w:name w:val="footer"/>
    <w:basedOn w:val="1"/>
    <w:link w:val="17"/>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hint="eastAsia" w:ascii="宋体" w:hAnsi="宋体" w:cs="宋体"/>
      <w:color w:val="000000"/>
      <w:kern w:val="0"/>
      <w:sz w:val="24"/>
    </w:rPr>
  </w:style>
  <w:style w:type="paragraph" w:styleId="7">
    <w:name w:val="annotation subject"/>
    <w:basedOn w:val="3"/>
    <w:next w:val="3"/>
    <w:link w:val="19"/>
    <w:qFormat/>
    <w:uiPriority w:val="0"/>
    <w:rPr>
      <w:b/>
      <w:bCs/>
    </w:rPr>
  </w:style>
  <w:style w:type="character" w:styleId="10">
    <w:name w:val="FollowedHyperlink"/>
    <w:basedOn w:val="9"/>
    <w:qFormat/>
    <w:uiPriority w:val="0"/>
    <w:rPr>
      <w:color w:val="000000"/>
      <w:u w:val="none"/>
    </w:rPr>
  </w:style>
  <w:style w:type="character" w:styleId="11">
    <w:name w:val="Emphasis"/>
    <w:basedOn w:val="9"/>
    <w:qFormat/>
    <w:uiPriority w:val="0"/>
  </w:style>
  <w:style w:type="character" w:styleId="12">
    <w:name w:val="HTML Variable"/>
    <w:basedOn w:val="9"/>
    <w:qFormat/>
    <w:uiPriority w:val="0"/>
  </w:style>
  <w:style w:type="character" w:styleId="13">
    <w:name w:val="Hyperlink"/>
    <w:basedOn w:val="9"/>
    <w:qFormat/>
    <w:uiPriority w:val="0"/>
    <w:rPr>
      <w:color w:val="000000"/>
      <w:u w:val="none"/>
    </w:rPr>
  </w:style>
  <w:style w:type="character" w:styleId="14">
    <w:name w:val="annotation reference"/>
    <w:basedOn w:val="9"/>
    <w:qFormat/>
    <w:uiPriority w:val="0"/>
    <w:rPr>
      <w:sz w:val="21"/>
      <w:szCs w:val="21"/>
    </w:rPr>
  </w:style>
  <w:style w:type="character" w:customStyle="1" w:styleId="15">
    <w:name w:val="on"/>
    <w:basedOn w:val="9"/>
    <w:qFormat/>
    <w:uiPriority w:val="0"/>
  </w:style>
  <w:style w:type="character" w:customStyle="1" w:styleId="16">
    <w:name w:val="页眉 字符"/>
    <w:basedOn w:val="9"/>
    <w:link w:val="5"/>
    <w:qFormat/>
    <w:uiPriority w:val="0"/>
    <w:rPr>
      <w:rFonts w:ascii="Calibri" w:hAnsi="Calibri" w:eastAsia="宋体" w:cs="Times New Roman"/>
      <w:kern w:val="2"/>
      <w:sz w:val="18"/>
      <w:szCs w:val="18"/>
    </w:rPr>
  </w:style>
  <w:style w:type="character" w:customStyle="1" w:styleId="17">
    <w:name w:val="页脚 字符"/>
    <w:basedOn w:val="9"/>
    <w:link w:val="4"/>
    <w:qFormat/>
    <w:uiPriority w:val="0"/>
    <w:rPr>
      <w:rFonts w:ascii="Calibri" w:hAnsi="Calibri" w:eastAsia="宋体" w:cs="Times New Roman"/>
      <w:kern w:val="2"/>
      <w:sz w:val="18"/>
      <w:szCs w:val="18"/>
    </w:rPr>
  </w:style>
  <w:style w:type="character" w:customStyle="1" w:styleId="18">
    <w:name w:val="批注文字 字符"/>
    <w:basedOn w:val="9"/>
    <w:link w:val="3"/>
    <w:qFormat/>
    <w:uiPriority w:val="0"/>
    <w:rPr>
      <w:rFonts w:ascii="Calibri" w:hAnsi="Calibri" w:eastAsia="宋体" w:cs="Times New Roman"/>
      <w:kern w:val="2"/>
      <w:sz w:val="21"/>
      <w:szCs w:val="24"/>
    </w:rPr>
  </w:style>
  <w:style w:type="character" w:customStyle="1" w:styleId="19">
    <w:name w:val="批注主题 字符"/>
    <w:basedOn w:val="18"/>
    <w:link w:val="7"/>
    <w:qFormat/>
    <w:uiPriority w:val="0"/>
    <w:rPr>
      <w:rFonts w:ascii="Calibri" w:hAnsi="Calibri"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335</Words>
  <Characters>1914</Characters>
  <Lines>15</Lines>
  <Paragraphs>4</Paragraphs>
  <TotalTime>325</TotalTime>
  <ScaleCrop>false</ScaleCrop>
  <LinksUpToDate>false</LinksUpToDate>
  <CharactersWithSpaces>2245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2021-12-28T01:08:00Z</dcterms:created>
  <dc:creator>86134</dc:creator>
  <cp:lastModifiedBy>评测</cp:lastModifiedBy>
  <dcterms:modified xsi:type="dcterms:W3CDTF">2022-01-13T09:42:23Z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1D2C0863F2764E10892FECC313EF6D59</vt:lpwstr>
  </property>
</Properties>
</file>