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北京市通州区市场监督管理局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spacing w:line="560" w:lineRule="exact"/>
        <w:jc w:val="center"/>
        <w:rPr>
          <w:sz w:val="44"/>
          <w:szCs w:val="44"/>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bookmarkStart w:id="0" w:name="_GoBack"/>
      <w:bookmarkEnd w:id="0"/>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333333"/>
          <w:sz w:val="32"/>
          <w:szCs w:val="32"/>
        </w:rPr>
      </w:pPr>
      <w:r>
        <w:rPr>
          <w:rFonts w:hint="eastAsia" w:ascii="仿宋_GB2312" w:hAnsi="仿宋_GB2312" w:eastAsia="仿宋_GB2312" w:cs="仿宋_GB2312"/>
          <w:sz w:val="32"/>
          <w:szCs w:val="32"/>
        </w:rPr>
        <w:t>我局严格落实《中华人民共和国政府信息公开条例》《中华人民共和国保守国家秘密法》等制度规定，坚持“应公开尽公开”</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原则，严格落实政府信息公开科室主要负责人、法制部门、办公室、主管局领导逐级对公开信息内容进行审查的程序，明确责任、严格标准，确保信息公开工作准确、规范。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cs="楷体"/>
          <w:color w:val="333333"/>
          <w:sz w:val="32"/>
          <w:szCs w:val="32"/>
        </w:rPr>
      </w:pPr>
      <w:r>
        <w:rPr>
          <w:rFonts w:hint="eastAsia" w:ascii="楷体_GB2312" w:hAnsi="楷体_GB2312" w:eastAsia="楷体_GB2312" w:cs="楷体_GB2312"/>
          <w:color w:val="333333"/>
          <w:sz w:val="32"/>
          <w:szCs w:val="32"/>
        </w:rPr>
        <w:t>（一）主动公开情况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年1月1日至12月31日，我局在通州区政府门户网站发布各类信息</w:t>
      </w:r>
      <w:r>
        <w:rPr>
          <w:rFonts w:hint="eastAsia" w:ascii="仿宋_GB2312" w:hAnsi="仿宋_GB2312" w:eastAsia="仿宋_GB2312" w:cs="仿宋_GB2312"/>
          <w:sz w:val="32"/>
          <w:szCs w:val="32"/>
          <w:lang w:val="en-US" w:eastAsia="zh-CN"/>
        </w:rPr>
        <w:t>251</w:t>
      </w:r>
      <w:r>
        <w:rPr>
          <w:rFonts w:hint="eastAsia" w:ascii="仿宋_GB2312" w:hAnsi="仿宋_GB2312" w:eastAsia="仿宋_GB2312" w:cs="仿宋_GB2312"/>
          <w:sz w:val="32"/>
          <w:szCs w:val="32"/>
        </w:rPr>
        <w:t>条，其中，消费提示、行政公告、通知公告等信息</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条，部门工作动态信息</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条，机构职能信息</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条，“双随机”相关工作信息</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条。通过政务微博公开政府信息</w:t>
      </w:r>
      <w:r>
        <w:rPr>
          <w:rFonts w:hint="eastAsia" w:ascii="仿宋_GB2312" w:hAnsi="仿宋_GB2312" w:eastAsia="仿宋_GB2312" w:cs="仿宋_GB2312"/>
          <w:sz w:val="32"/>
          <w:szCs w:val="32"/>
          <w:lang w:val="en-US" w:eastAsia="zh-CN"/>
        </w:rPr>
        <w:t>176</w:t>
      </w:r>
      <w:r>
        <w:rPr>
          <w:rFonts w:hint="eastAsia" w:ascii="仿宋_GB2312" w:hAnsi="仿宋_GB2312" w:eastAsia="仿宋_GB2312" w:cs="仿宋_GB2312"/>
          <w:sz w:val="32"/>
          <w:szCs w:val="32"/>
        </w:rPr>
        <w:t>条，微信公众号公开政府信息</w:t>
      </w:r>
      <w:r>
        <w:rPr>
          <w:rFonts w:hint="eastAsia" w:ascii="仿宋_GB2312" w:hAnsi="仿宋_GB2312" w:eastAsia="仿宋_GB2312" w:cs="仿宋_GB2312"/>
          <w:sz w:val="32"/>
          <w:szCs w:val="32"/>
          <w:lang w:val="en-US" w:eastAsia="zh-CN"/>
        </w:rPr>
        <w:t>177</w:t>
      </w:r>
      <w:r>
        <w:rPr>
          <w:rFonts w:hint="eastAsia" w:ascii="仿宋_GB2312" w:hAnsi="仿宋_GB2312" w:eastAsia="仿宋_GB2312" w:cs="仿宋_GB2312"/>
          <w:sz w:val="32"/>
          <w:szCs w:val="32"/>
        </w:rPr>
        <w:t>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333333"/>
          <w:sz w:val="32"/>
          <w:szCs w:val="32"/>
        </w:rPr>
      </w:pPr>
      <w:r>
        <w:rPr>
          <w:rFonts w:hint="eastAsia" w:ascii="楷体_GB2312" w:hAnsi="楷体_GB2312" w:eastAsia="楷体_GB2312" w:cs="楷体_GB2312"/>
          <w:color w:val="333333"/>
          <w:sz w:val="32"/>
          <w:szCs w:val="32"/>
        </w:rPr>
        <w:t>（二）依申请公开办理情况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本年度我局共受理政府信息公开申请</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件，已依法办结</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件正在办理中。在申请来源方面，网络申请</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件，占比</w:t>
      </w:r>
      <w:r>
        <w:rPr>
          <w:rFonts w:hint="eastAsia" w:ascii="仿宋_GB2312" w:hAnsi="仿宋_GB2312" w:eastAsia="仿宋_GB2312" w:cs="仿宋_GB2312"/>
          <w:sz w:val="32"/>
          <w:szCs w:val="32"/>
          <w:lang w:val="en-US" w:eastAsia="zh-CN"/>
        </w:rPr>
        <w:t>72.88</w:t>
      </w:r>
      <w:r>
        <w:rPr>
          <w:rFonts w:hint="eastAsia" w:ascii="仿宋_GB2312" w:hAnsi="仿宋_GB2312" w:eastAsia="仿宋_GB2312" w:cs="仿宋_GB2312"/>
          <w:sz w:val="32"/>
          <w:szCs w:val="32"/>
        </w:rPr>
        <w:t>%；信函申请</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件，占比</w:t>
      </w:r>
      <w:r>
        <w:rPr>
          <w:rFonts w:hint="eastAsia" w:ascii="仿宋_GB2312" w:hAnsi="仿宋_GB2312" w:eastAsia="仿宋_GB2312" w:cs="仿宋_GB2312"/>
          <w:sz w:val="32"/>
          <w:szCs w:val="32"/>
          <w:lang w:val="en-US" w:eastAsia="zh-CN"/>
        </w:rPr>
        <w:t>23.73</w:t>
      </w:r>
      <w:r>
        <w:rPr>
          <w:rFonts w:hint="eastAsia" w:ascii="仿宋_GB2312" w:hAnsi="仿宋_GB2312" w:eastAsia="仿宋_GB2312" w:cs="仿宋_GB2312"/>
          <w:sz w:val="32"/>
          <w:szCs w:val="32"/>
        </w:rPr>
        <w:t>%；当面申请</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件，占比</w:t>
      </w:r>
      <w:r>
        <w:rPr>
          <w:rFonts w:hint="eastAsia" w:ascii="仿宋_GB2312" w:hAnsi="仿宋_GB2312" w:eastAsia="仿宋_GB2312" w:cs="仿宋_GB2312"/>
          <w:sz w:val="32"/>
          <w:szCs w:val="32"/>
          <w:lang w:val="en-US" w:eastAsia="zh-CN"/>
        </w:rPr>
        <w:t>3.39</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已答复申请人的</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件（含20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年结转答复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中：予以公开的1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件，部分公开的</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件，不予公开的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件，政府信息不存在的</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需要另行制作的</w:t>
      </w:r>
      <w:r>
        <w:rPr>
          <w:rFonts w:hint="eastAsia" w:ascii="仿宋_GB2312" w:hAnsi="仿宋_GB2312" w:eastAsia="仿宋_GB2312" w:cs="仿宋_GB2312"/>
          <w:sz w:val="32"/>
          <w:szCs w:val="32"/>
          <w:lang w:val="en-US" w:eastAsia="zh-CN"/>
        </w:rPr>
        <w:t>1件，</w:t>
      </w:r>
      <w:r>
        <w:rPr>
          <w:rFonts w:hint="eastAsia" w:ascii="仿宋_GB2312" w:hAnsi="仿宋_GB2312" w:eastAsia="仿宋_GB2312" w:cs="仿宋_GB2312"/>
          <w:sz w:val="32"/>
          <w:szCs w:val="32"/>
        </w:rPr>
        <w:t>属于信访、举报、咨询等不作为政府信息公开处理的</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件（含20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年结转答复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重复申请的</w:t>
      </w:r>
      <w:r>
        <w:rPr>
          <w:rFonts w:hint="eastAsia" w:ascii="仿宋_GB2312" w:hAnsi="仿宋_GB2312" w:eastAsia="仿宋_GB2312" w:cs="仿宋_GB2312"/>
          <w:sz w:val="32"/>
          <w:szCs w:val="32"/>
          <w:lang w:val="en-US" w:eastAsia="zh-CN"/>
        </w:rPr>
        <w:t>2件，</w:t>
      </w:r>
      <w:r>
        <w:rPr>
          <w:rFonts w:hint="eastAsia" w:ascii="仿宋_GB2312" w:hAnsi="仿宋_GB2312" w:eastAsia="仿宋_GB2312" w:cs="仿宋_GB2312"/>
          <w:sz w:val="32"/>
          <w:szCs w:val="32"/>
        </w:rPr>
        <w:t>撤回申请</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件，未补正视为放弃申请的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本年度我局涉及政府信息公开的行政复议0件，未收到涉及政府信息公开的行政诉讼案件，未接到有关政府信息公开的投诉举报。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333333"/>
          <w:sz w:val="32"/>
          <w:szCs w:val="32"/>
        </w:rPr>
      </w:pPr>
      <w:r>
        <w:rPr>
          <w:rFonts w:hint="eastAsia" w:ascii="楷体_GB2312" w:hAnsi="楷体_GB2312" w:eastAsia="楷体_GB2312" w:cs="楷体_GB2312"/>
          <w:color w:val="333333"/>
          <w:sz w:val="32"/>
          <w:szCs w:val="32"/>
        </w:rPr>
        <w:t>（三）政府信息公开教育培训情况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pacing w:val="8"/>
          <w:kern w:val="0"/>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年，我局</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政府信息公开业务</w:t>
      </w:r>
      <w:r>
        <w:rPr>
          <w:rFonts w:hint="eastAsia" w:ascii="仿宋_GB2312" w:hAnsi="仿宋_GB2312" w:eastAsia="仿宋_GB2312" w:cs="仿宋_GB2312"/>
          <w:sz w:val="32"/>
          <w:szCs w:val="32"/>
          <w:lang w:eastAsia="zh-CN"/>
        </w:rPr>
        <w:t>指导，通过处理过程中出现的个案等进行小范围业务</w:t>
      </w:r>
      <w:r>
        <w:rPr>
          <w:rFonts w:hint="eastAsia" w:ascii="仿宋_GB2312" w:hAnsi="仿宋_GB2312" w:eastAsia="仿宋_GB2312" w:cs="仿宋_GB2312"/>
          <w:sz w:val="32"/>
          <w:szCs w:val="32"/>
        </w:rPr>
        <w:t>培训，学习《中华人民共和国政府信息公开条例》等法规</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，提升信息公开工作</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服务意识与综合能力。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Times New Roman"/>
                <w:color w:val="000000"/>
                <w:kern w:val="0"/>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Times New Roman"/>
                <w:color w:val="000000"/>
                <w:kern w:val="0"/>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Times New Roman" w:hAnsi="Times New Roman" w:eastAsia="宋体" w:cs="Times New Roman"/>
                <w:color w:val="000000"/>
                <w:kern w:val="0"/>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color w:val="000000"/>
                <w:kern w:val="0"/>
                <w:szCs w:val="21"/>
                <w:lang w:val="en-US" w:eastAsia="zh-CN" w:bidi="ar"/>
              </w:rPr>
            </w:pPr>
            <w:r>
              <w:rPr>
                <w:rFonts w:hint="eastAsia" w:ascii="Times New Roman" w:hAnsi="Times New Roman" w:cs="Times New Roman"/>
                <w:color w:val="000000"/>
                <w:kern w:val="0"/>
                <w:szCs w:val="21"/>
                <w:lang w:val="en-US" w:eastAsia="zh-CN" w:bidi="ar"/>
              </w:rPr>
              <w:t>4</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color w:val="000000"/>
                <w:kern w:val="0"/>
                <w:szCs w:val="21"/>
                <w:lang w:val="en-US" w:eastAsia="zh-CN" w:bidi="ar"/>
              </w:rPr>
            </w:pPr>
            <w:r>
              <w:rPr>
                <w:rFonts w:hint="eastAsia" w:ascii="Times New Roman" w:hAnsi="Times New Roman" w:cs="Times New Roman"/>
                <w:color w:val="000000"/>
                <w:kern w:val="0"/>
                <w:szCs w:val="21"/>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color w:val="000000"/>
                <w:kern w:val="0"/>
                <w:szCs w:val="21"/>
                <w:lang w:val="en-US" w:eastAsia="zh-CN" w:bidi="ar"/>
              </w:rPr>
              <w:t>33367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ascii="Times New Roman" w:hAnsi="Times New Roman" w:eastAsia="宋体" w:cs="Times New Roman"/>
                <w:color w:val="000000"/>
                <w:kern w:val="0"/>
                <w:szCs w:val="21"/>
                <w:lang w:val="en-US" w:eastAsia="zh-CN" w:bidi="ar"/>
              </w:rPr>
              <w:t>5054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ascii="Times New Roman" w:hAnsi="Times New Roman" w:eastAsia="宋体" w:cs="Times New Roman"/>
                <w:color w:val="000000"/>
                <w:kern w:val="0"/>
                <w:szCs w:val="21"/>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sz w:val="24"/>
                <w:szCs w:val="24"/>
              </w:rPr>
            </w:pPr>
            <w:r>
              <w:rPr>
                <w:rFonts w:hint="eastAsia" w:ascii="Times New Roman" w:hAnsi="Times New Roman" w:eastAsia="宋体" w:cs="Times New Roman"/>
                <w:color w:val="000000"/>
                <w:kern w:val="0"/>
                <w:szCs w:val="21"/>
                <w:lang w:val="en-US" w:eastAsia="zh-CN" w:bidi="ar"/>
              </w:rPr>
              <w:t>652.117995</w:t>
            </w:r>
          </w:p>
        </w:tc>
      </w:tr>
    </w:tbl>
    <w:p>
      <w:pPr>
        <w:numPr>
          <w:numId w:val="0"/>
        </w:numPr>
        <w:spacing w:line="560" w:lineRule="exact"/>
        <w:rPr>
          <w:rFonts w:hint="eastAsia" w:ascii="黑体" w:hAnsi="黑体" w:eastAsia="黑体" w:cs="黑体"/>
          <w:sz w:val="32"/>
          <w:szCs w:val="32"/>
        </w:rPr>
      </w:pPr>
    </w:p>
    <w:p>
      <w:pPr>
        <w:numPr>
          <w:ilvl w:val="0"/>
          <w:numId w:val="1"/>
        </w:numPr>
        <w:spacing w:line="560" w:lineRule="exact"/>
        <w:ind w:left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2"/>
        <w:numPr>
          <w:ilvl w:val="0"/>
          <w:numId w:val="0"/>
        </w:numPr>
        <w:rPr>
          <w:rFonts w:hint="eastAsia"/>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5</w:t>
            </w:r>
            <w:r>
              <w:rPr>
                <w:rFonts w:hint="eastAsia" w:ascii="Times New Roman" w:hAnsi="Times New Roman" w:cs="Times New Roman"/>
                <w:color w:val="000000"/>
                <w:kern w:val="0"/>
                <w:szCs w:val="21"/>
                <w:lang w:val="en-US" w:eastAsia="zh-CN" w:bidi="ar"/>
              </w:rPr>
              <w:t>8</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cs="Times New Roman"/>
                <w:color w:val="000000"/>
                <w:kern w:val="0"/>
                <w:szCs w:val="21"/>
                <w:lang w:val="en-US" w:eastAsia="zh-CN" w:bidi="ar"/>
              </w:rPr>
              <w:t>59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hint="eastAsia" w:ascii="Times New Roman" w:hAnsi="Times New Roman" w:eastAsia="宋体" w:cs="Times New Roman"/>
                <w:color w:val="000000"/>
                <w:kern w:val="0"/>
                <w:szCs w:val="21"/>
                <w:lang w:eastAsia="zh-CN" w:bidi="ar"/>
              </w:rPr>
            </w:pPr>
            <w:r>
              <w:rPr>
                <w:rFonts w:hint="eastAsia" w:ascii="Times New Roman" w:hAnsi="Times New Roman" w:cs="Times New Roman"/>
                <w:color w:val="000000"/>
                <w:kern w:val="0"/>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hint="default" w:ascii="Times New Roman" w:hAnsi="Times New Roman" w:eastAsia="宋体" w:cs="Times New Roman"/>
                <w:color w:val="000000"/>
                <w:kern w:val="0"/>
                <w:szCs w:val="21"/>
                <w:lang w:val="en-US" w:bidi="ar"/>
              </w:rPr>
            </w:pPr>
            <w:r>
              <w:rPr>
                <w:rFonts w:hint="eastAsia" w:ascii="Times New Roman" w:hAnsi="Times New Roman" w:eastAsia="宋体" w:cs="Times New Roman"/>
                <w:color w:val="000000"/>
                <w:kern w:val="0"/>
                <w:szCs w:val="21"/>
                <w:lang w:val="en-US" w:eastAsia="zh-CN" w:bidi="ar"/>
              </w:rPr>
              <w:t>18</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cs="Times New Roman"/>
                <w:color w:val="000000"/>
                <w:kern w:val="0"/>
                <w:szCs w:val="21"/>
                <w:lang w:val="en-US" w:eastAsia="zh-CN" w:bidi="ar"/>
              </w:rPr>
              <w:t>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en-US" w:eastAsia="zh-CN" w:bidi="ar"/>
              </w:rPr>
              <w:t>8</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hint="eastAsia" w:ascii="Times New Roman" w:hAnsi="Times New Roman" w:eastAsia="宋体" w:cs="Times New Roman"/>
                <w:color w:val="000000"/>
                <w:kern w:val="0"/>
                <w:szCs w:val="21"/>
                <w:lang w:eastAsia="zh-CN" w:bidi="ar"/>
              </w:rPr>
            </w:pPr>
            <w:r>
              <w:rPr>
                <w:rFonts w:hint="eastAsia" w:ascii="Times New Roman" w:hAnsi="Times New Roman" w:cs="Times New Roman"/>
                <w:color w:val="000000"/>
                <w:kern w:val="0"/>
                <w:szCs w:val="21"/>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en-US" w:eastAsia="zh-CN" w:bidi="ar"/>
              </w:rPr>
              <w:t>6</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hint="eastAsia" w:ascii="Times New Roman" w:hAnsi="Times New Roman" w:eastAsia="宋体" w:cs="Times New Roman"/>
                <w:color w:val="000000"/>
                <w:kern w:val="0"/>
                <w:szCs w:val="21"/>
                <w:lang w:eastAsia="zh-CN" w:bidi="ar"/>
              </w:rPr>
            </w:pPr>
            <w:r>
              <w:rPr>
                <w:rFonts w:hint="eastAsia" w:ascii="Times New Roman" w:hAnsi="Times New Roman" w:cs="Times New Roman"/>
                <w:color w:val="000000"/>
                <w:kern w:val="0"/>
                <w:szCs w:val="21"/>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hint="eastAsia" w:ascii="Times New Roman" w:hAnsi="Times New Roman" w:eastAsia="宋体" w:cs="Times New Roman"/>
                <w:color w:val="000000"/>
                <w:kern w:val="0"/>
                <w:szCs w:val="21"/>
                <w:lang w:eastAsia="zh-CN" w:bidi="ar"/>
              </w:rPr>
            </w:pPr>
            <w:r>
              <w:rPr>
                <w:rFonts w:hint="eastAsia" w:ascii="Times New Roman" w:hAnsi="Times New Roman" w:cs="Times New Roman"/>
                <w:color w:val="000000"/>
                <w:kern w:val="0"/>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textAlignment w:val="center"/>
              <w:rPr>
                <w:rFonts w:hint="default" w:ascii="Times New Roman" w:hAnsi="Times New Roman" w:eastAsia="宋体" w:cs="Times New Roman"/>
                <w:color w:val="000000"/>
                <w:kern w:val="0"/>
                <w:szCs w:val="21"/>
                <w:lang w:val="en-US" w:bidi="ar"/>
              </w:rPr>
            </w:pPr>
            <w:r>
              <w:rPr>
                <w:rFonts w:hint="eastAsia" w:ascii="Times New Roman" w:hAnsi="Times New Roman" w:cs="Times New Roman"/>
                <w:color w:val="000000"/>
                <w:kern w:val="0"/>
                <w:szCs w:val="21"/>
                <w:lang w:val="en-US" w:eastAsia="zh-CN" w:bidi="ar"/>
              </w:rPr>
              <w:t>20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cs="Times New Roman"/>
                <w:color w:val="000000"/>
                <w:kern w:val="0"/>
                <w:szCs w:val="21"/>
                <w:lang w:val="en-US" w:eastAsia="zh-CN" w:bidi="ar"/>
              </w:rPr>
              <w:t>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hint="eastAsia" w:ascii="Times New Roman" w:hAnsi="Times New Roman" w:eastAsia="宋体" w:cs="Times New Roman"/>
                <w:color w:val="000000"/>
                <w:kern w:val="0"/>
                <w:szCs w:val="21"/>
                <w:lang w:eastAsia="zh-CN" w:bidi="ar"/>
              </w:rPr>
            </w:pPr>
            <w:r>
              <w:rPr>
                <w:rFonts w:hint="eastAsia" w:ascii="Times New Roman" w:hAnsi="Times New Roman" w:cs="Times New Roman"/>
                <w:color w:val="000000"/>
                <w:kern w:val="0"/>
                <w:szCs w:val="21"/>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hint="eastAsia" w:ascii="Times New Roman" w:hAnsi="Times New Roman" w:eastAsia="宋体" w:cs="Times New Roman"/>
                <w:color w:val="000000"/>
                <w:kern w:val="0"/>
                <w:szCs w:val="21"/>
                <w:lang w:eastAsia="zh-CN" w:bidi="ar"/>
              </w:rPr>
            </w:pPr>
            <w:r>
              <w:rPr>
                <w:rFonts w:hint="eastAsia" w:ascii="Times New Roman" w:hAnsi="Times New Roman" w:cs="Times New Roman"/>
                <w:color w:val="000000"/>
                <w:kern w:val="0"/>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hint="eastAsia" w:ascii="Times New Roman" w:hAnsi="Times New Roman" w:eastAsia="宋体" w:cs="Times New Roman"/>
                <w:color w:val="000000"/>
                <w:kern w:val="0"/>
                <w:szCs w:val="21"/>
                <w:lang w:eastAsia="zh-CN" w:bidi="ar"/>
              </w:rPr>
            </w:pPr>
            <w:r>
              <w:rPr>
                <w:rFonts w:hint="eastAsia" w:ascii="Times New Roman" w:hAnsi="Times New Roman" w:cs="Times New Roman"/>
                <w:color w:val="000000"/>
                <w:kern w:val="0"/>
                <w:szCs w:val="21"/>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hint="eastAsia" w:ascii="Times New Roman" w:hAnsi="Times New Roman" w:eastAsia="宋体" w:cs="Times New Roman"/>
                <w:color w:val="000000"/>
                <w:kern w:val="0"/>
                <w:szCs w:val="21"/>
                <w:lang w:eastAsia="zh-CN" w:bidi="ar"/>
              </w:rPr>
            </w:pPr>
            <w:r>
              <w:rPr>
                <w:rFonts w:hint="eastAsia" w:ascii="Times New Roman" w:hAnsi="Times New Roman" w:cs="Times New Roman"/>
                <w:color w:val="000000"/>
                <w:kern w:val="0"/>
                <w:szCs w:val="21"/>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hint="default" w:ascii="Times New Roman" w:hAnsi="Times New Roman" w:eastAsia="宋体" w:cs="Times New Roman"/>
                <w:color w:val="000000"/>
                <w:kern w:val="0"/>
                <w:szCs w:val="21"/>
                <w:lang w:val="en-US" w:bidi="ar"/>
              </w:rPr>
            </w:pPr>
            <w:r>
              <w:rPr>
                <w:rFonts w:hint="eastAsia" w:ascii="Times New Roman" w:hAnsi="Times New Roman" w:cs="Times New Roman"/>
                <w:color w:val="000000"/>
                <w:kern w:val="0"/>
                <w:szCs w:val="21"/>
                <w:lang w:val="en-US" w:eastAsia="zh-CN" w:bidi="ar"/>
              </w:rPr>
              <w:t>58</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hint="eastAsia" w:ascii="Times New Roman" w:hAnsi="Times New Roman" w:eastAsia="宋体" w:cs="Times New Roman"/>
                <w:color w:val="000000"/>
                <w:kern w:val="0"/>
                <w:szCs w:val="21"/>
                <w:lang w:eastAsia="zh-CN" w:bidi="ar"/>
              </w:rPr>
            </w:pPr>
            <w:r>
              <w:rPr>
                <w:rFonts w:hint="eastAsia" w:ascii="Times New Roman" w:hAnsi="Times New Roman" w:cs="Times New Roman"/>
                <w:color w:val="000000"/>
                <w:kern w:val="0"/>
                <w:szCs w:val="21"/>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textAlignment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cs="Times New Roman"/>
                <w:color w:val="000000"/>
                <w:kern w:val="0"/>
                <w:szCs w:val="21"/>
                <w:lang w:val="en-US" w:eastAsia="zh-CN" w:bidi="ar"/>
              </w:rPr>
              <w:t>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widowControl/>
              <w:jc w:val="center"/>
              <w:textAlignment w:val="center"/>
              <w:rPr>
                <w:rFonts w:hint="eastAsia" w:ascii="Times New Roman" w:hAnsi="Times New Roman" w:eastAsia="宋体" w:cs="Times New Roman"/>
                <w:color w:val="000000"/>
                <w:kern w:val="0"/>
                <w:szCs w:val="21"/>
                <w:lang w:eastAsia="zh-CN" w:bidi="ar"/>
              </w:rPr>
            </w:pPr>
            <w:r>
              <w:rPr>
                <w:rFonts w:hint="eastAsia" w:ascii="Times New Roman" w:hAnsi="Times New Roman" w:cs="Times New Roman"/>
                <w:color w:val="000000"/>
                <w:kern w:val="0"/>
                <w:szCs w:val="21"/>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widowControl/>
              <w:jc w:val="center"/>
              <w:textAlignment w:val="center"/>
              <w:rPr>
                <w:rFonts w:hint="eastAsia"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outset" w:color="auto" w:sz="6" w:space="0"/>
              <w:left w:val="nil"/>
              <w:bottom w:val="outset" w:color="auto" w:sz="6" w:space="0"/>
              <w:right w:val="outset" w:color="auto" w:sz="6" w:space="0"/>
            </w:tcBorders>
            <w:noWrap w:val="0"/>
            <w:vAlign w:val="center"/>
          </w:tcPr>
          <w:p>
            <w:pPr>
              <w:widowControl/>
              <w:jc w:val="center"/>
              <w:textAlignment w:val="center"/>
              <w:rPr>
                <w:rFonts w:hint="eastAsia"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outset" w:color="auto" w:sz="6" w:space="0"/>
              <w:left w:val="nil"/>
              <w:bottom w:val="outset" w:color="auto" w:sz="6" w:space="0"/>
              <w:right w:val="outset" w:color="auto" w:sz="6" w:space="0"/>
            </w:tcBorders>
            <w:noWrap w:val="0"/>
            <w:vAlign w:val="center"/>
          </w:tcPr>
          <w:p>
            <w:pPr>
              <w:widowControl/>
              <w:jc w:val="center"/>
              <w:textAlignment w:val="center"/>
              <w:rPr>
                <w:rFonts w:hint="eastAsia"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outset" w:color="auto" w:sz="6" w:space="0"/>
              <w:left w:val="nil"/>
              <w:bottom w:val="outset" w:color="auto" w:sz="6" w:space="0"/>
              <w:right w:val="outset" w:color="auto" w:sz="6" w:space="0"/>
            </w:tcBorders>
            <w:noWrap w:val="0"/>
            <w:vAlign w:val="center"/>
          </w:tcPr>
          <w:p>
            <w:pPr>
              <w:widowControl/>
              <w:jc w:val="center"/>
              <w:textAlignment w:val="center"/>
              <w:rPr>
                <w:rFonts w:hint="eastAsia"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8" w:type="dxa"/>
            <w:tcBorders>
              <w:top w:val="outset" w:color="auto" w:sz="6" w:space="0"/>
              <w:left w:val="nil"/>
              <w:bottom w:val="outset" w:color="auto" w:sz="6" w:space="0"/>
              <w:right w:val="outset" w:color="auto" w:sz="6" w:space="0"/>
            </w:tcBorders>
            <w:noWrap w:val="0"/>
            <w:vAlign w:val="center"/>
          </w:tcPr>
          <w:p>
            <w:pPr>
              <w:widowControl/>
              <w:jc w:val="center"/>
              <w:textAlignment w:val="center"/>
              <w:rPr>
                <w:rFonts w:hint="eastAsia"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89" w:type="dxa"/>
            <w:tcBorders>
              <w:top w:val="outset" w:color="auto" w:sz="6" w:space="0"/>
              <w:left w:val="nil"/>
              <w:bottom w:val="outset" w:color="auto" w:sz="6" w:space="0"/>
              <w:right w:val="outset" w:color="auto" w:sz="6" w:space="0"/>
            </w:tcBorders>
            <w:noWrap w:val="0"/>
            <w:vAlign w:val="center"/>
          </w:tcPr>
          <w:p>
            <w:pPr>
              <w:widowControl/>
              <w:jc w:val="center"/>
              <w:textAlignment w:val="center"/>
              <w:rPr>
                <w:rFonts w:hint="eastAsia"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r>
    </w:tbl>
    <w:p>
      <w:pPr>
        <w:pStyle w:val="2"/>
        <w:numPr>
          <w:ilvl w:val="0"/>
          <w:numId w:val="0"/>
        </w:numPr>
        <w:rPr>
          <w:rFonts w:hint="eastAsia"/>
        </w:rPr>
      </w:pP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textAlignment w:val="center"/>
              <w:rPr>
                <w:rFonts w:hint="eastAsia"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w:t>
            </w:r>
          </w:p>
        </w:tc>
      </w:tr>
    </w:tbl>
    <w:p>
      <w:pPr>
        <w:keepNext w:val="0"/>
        <w:keepLines w:val="0"/>
        <w:widowControl/>
        <w:suppressLineNumbers w:val="0"/>
        <w:jc w:val="left"/>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333333"/>
          <w:kern w:val="0"/>
          <w:sz w:val="32"/>
          <w:szCs w:val="32"/>
          <w:shd w:val="clear" w:color="auto" w:fill="FFFFFF"/>
          <w:lang w:val="en-US" w:eastAsia="zh-CN" w:bidi="ar-SA"/>
        </w:rPr>
      </w:pPr>
      <w:r>
        <w:rPr>
          <w:rFonts w:hint="eastAsia" w:ascii="楷体_GB2312" w:hAnsi="楷体_GB2312" w:eastAsia="楷体_GB2312" w:cs="楷体_GB2312"/>
          <w:color w:val="333333"/>
          <w:kern w:val="0"/>
          <w:sz w:val="32"/>
          <w:szCs w:val="32"/>
          <w:shd w:val="clear" w:color="auto" w:fill="FFFFFF"/>
          <w:lang w:val="en-US" w:eastAsia="zh-CN" w:bidi="ar-SA"/>
        </w:rPr>
        <w:t>（一）政府信息公开工作人员业务素质有待进一步提高</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目前，局内设机构信息公开工作人员均为兼职人员，对依申请公开信息的范围、答复意见等具体业务掌握还不够熟练。下一步，我局将进一步加强信息公开工作人员队伍建设和日常业务培训，在重点组织学习《中华人民共和国政府信息公开条例》等法规、制度的基础上，积极与区政务服务局及市局沟通，并加强与区其他部门及其他区市场监督管理局政府信息公开工作的交流，在实践中提升能力素质。</w:t>
      </w:r>
    </w:p>
    <w:p>
      <w:pPr>
        <w:pStyle w:val="2"/>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333333"/>
          <w:kern w:val="0"/>
          <w:sz w:val="32"/>
          <w:szCs w:val="32"/>
          <w:shd w:val="clear" w:color="auto" w:fill="FFFFFF"/>
          <w:lang w:val="en-US" w:eastAsia="zh-CN" w:bidi="ar-SA"/>
        </w:rPr>
      </w:pPr>
      <w:r>
        <w:rPr>
          <w:rFonts w:hint="eastAsia" w:ascii="楷体_GB2312" w:hAnsi="楷体_GB2312" w:eastAsia="楷体_GB2312" w:cs="楷体_GB2312"/>
          <w:color w:val="333333"/>
          <w:kern w:val="0"/>
          <w:sz w:val="32"/>
          <w:szCs w:val="32"/>
          <w:shd w:val="clear" w:color="auto" w:fill="FFFFFF"/>
          <w:lang w:val="en-US" w:eastAsia="zh-CN" w:bidi="ar-SA"/>
        </w:rPr>
        <w:t>依申请公开的效率还不够高</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因市场监管局职责、职能较多，故我局内设机构较多，因此在处理依申请公开时流程较复杂、内部流转时间较长。为提高工作效率，我局强化办事效率，精简、优化依申请公开流程，促进政府信息公开工作的有序衔接，按实效公开。</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75"/>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其他需要报告的事项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default" w:eastAsia="宋体"/>
          <w:lang w:val="en-US" w:eastAsia="zh-CN"/>
        </w:rPr>
      </w:pPr>
      <w:r>
        <w:rPr>
          <w:rFonts w:hint="eastAsia" w:ascii="仿宋_GB2312" w:hAnsi="仿宋_GB2312" w:eastAsia="仿宋_GB2312" w:cs="仿宋_GB2312"/>
          <w:spacing w:val="8"/>
          <w:kern w:val="0"/>
          <w:sz w:val="32"/>
          <w:szCs w:val="32"/>
          <w:lang w:eastAsia="zh-CN"/>
        </w:rPr>
        <w:t>本单位依据《政府信息公开信息处理费管理办法》收取信息处理费，</w:t>
      </w:r>
      <w:r>
        <w:rPr>
          <w:rFonts w:hint="eastAsia" w:ascii="仿宋_GB2312" w:hAnsi="仿宋_GB2312" w:eastAsia="仿宋_GB2312" w:cs="仿宋_GB2312"/>
          <w:spacing w:val="8"/>
          <w:kern w:val="0"/>
          <w:sz w:val="32"/>
          <w:szCs w:val="32"/>
          <w:lang w:val="en-US" w:eastAsia="zh-CN"/>
        </w:rPr>
        <w:t>2021年发出收费通知的件数0件，总金额0元。实际收取的总金额0元。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A8D91"/>
    <w:multiLevelType w:val="singleLevel"/>
    <w:tmpl w:val="A02A8D91"/>
    <w:lvl w:ilvl="0" w:tentative="0">
      <w:start w:val="6"/>
      <w:numFmt w:val="chineseCounting"/>
      <w:suff w:val="nothing"/>
      <w:lvlText w:val="%1、"/>
      <w:lvlJc w:val="left"/>
      <w:rPr>
        <w:rFonts w:hint="eastAsia"/>
      </w:rPr>
    </w:lvl>
  </w:abstractNum>
  <w:abstractNum w:abstractNumId="1">
    <w:nsid w:val="CFE04211"/>
    <w:multiLevelType w:val="singleLevel"/>
    <w:tmpl w:val="CFE04211"/>
    <w:lvl w:ilvl="0" w:tentative="0">
      <w:start w:val="2"/>
      <w:numFmt w:val="chineseCounting"/>
      <w:suff w:val="nothing"/>
      <w:lvlText w:val="（%1）"/>
      <w:lvlJc w:val="left"/>
      <w:rPr>
        <w:rFonts w:hint="eastAsia"/>
      </w:rPr>
    </w:lvl>
  </w:abstractNum>
  <w:abstractNum w:abstractNumId="2">
    <w:nsid w:val="482323E3"/>
    <w:multiLevelType w:val="singleLevel"/>
    <w:tmpl w:val="482323E3"/>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D3760"/>
    <w:rsid w:val="004C60A2"/>
    <w:rsid w:val="007E3C72"/>
    <w:rsid w:val="00905A25"/>
    <w:rsid w:val="020E71A9"/>
    <w:rsid w:val="02415124"/>
    <w:rsid w:val="02786D33"/>
    <w:rsid w:val="028824D2"/>
    <w:rsid w:val="029D3473"/>
    <w:rsid w:val="033F75A7"/>
    <w:rsid w:val="03F73624"/>
    <w:rsid w:val="040E55CD"/>
    <w:rsid w:val="044A153F"/>
    <w:rsid w:val="049C2189"/>
    <w:rsid w:val="04D26270"/>
    <w:rsid w:val="04EE15C9"/>
    <w:rsid w:val="04F228CA"/>
    <w:rsid w:val="04F63991"/>
    <w:rsid w:val="052E165F"/>
    <w:rsid w:val="064B65CC"/>
    <w:rsid w:val="06812EE1"/>
    <w:rsid w:val="06970944"/>
    <w:rsid w:val="06F81F2C"/>
    <w:rsid w:val="07B26EA4"/>
    <w:rsid w:val="08B1130F"/>
    <w:rsid w:val="09296768"/>
    <w:rsid w:val="09AF7EF0"/>
    <w:rsid w:val="09C17258"/>
    <w:rsid w:val="0A7D7F5E"/>
    <w:rsid w:val="0B150470"/>
    <w:rsid w:val="0B3430B7"/>
    <w:rsid w:val="0BD56BCB"/>
    <w:rsid w:val="0BE80A18"/>
    <w:rsid w:val="0C62062B"/>
    <w:rsid w:val="0C6F6F62"/>
    <w:rsid w:val="0C872B5A"/>
    <w:rsid w:val="0D42567D"/>
    <w:rsid w:val="0D9A306A"/>
    <w:rsid w:val="0DD234B4"/>
    <w:rsid w:val="0DE71DA8"/>
    <w:rsid w:val="0DF316ED"/>
    <w:rsid w:val="0E4E2530"/>
    <w:rsid w:val="0E655F48"/>
    <w:rsid w:val="0EAC08FD"/>
    <w:rsid w:val="0EB33DA3"/>
    <w:rsid w:val="0EDB793B"/>
    <w:rsid w:val="0FB840B9"/>
    <w:rsid w:val="107022E9"/>
    <w:rsid w:val="107635AC"/>
    <w:rsid w:val="11E20847"/>
    <w:rsid w:val="12711913"/>
    <w:rsid w:val="12B823B8"/>
    <w:rsid w:val="132C19A8"/>
    <w:rsid w:val="135468D1"/>
    <w:rsid w:val="13717736"/>
    <w:rsid w:val="139435F0"/>
    <w:rsid w:val="13B50411"/>
    <w:rsid w:val="141F0455"/>
    <w:rsid w:val="14347644"/>
    <w:rsid w:val="151C5039"/>
    <w:rsid w:val="153F5C15"/>
    <w:rsid w:val="15A517BE"/>
    <w:rsid w:val="16042EC6"/>
    <w:rsid w:val="164657DC"/>
    <w:rsid w:val="164930F8"/>
    <w:rsid w:val="18700628"/>
    <w:rsid w:val="19045320"/>
    <w:rsid w:val="196E7504"/>
    <w:rsid w:val="19D30DF8"/>
    <w:rsid w:val="1A4E35F1"/>
    <w:rsid w:val="1B021044"/>
    <w:rsid w:val="1B4F560D"/>
    <w:rsid w:val="1B804903"/>
    <w:rsid w:val="1B981D22"/>
    <w:rsid w:val="1C146F13"/>
    <w:rsid w:val="1CB65556"/>
    <w:rsid w:val="1D764C8E"/>
    <w:rsid w:val="1E5F2284"/>
    <w:rsid w:val="1ECE51C9"/>
    <w:rsid w:val="1ED63760"/>
    <w:rsid w:val="1EDE4820"/>
    <w:rsid w:val="1F3246F3"/>
    <w:rsid w:val="1F6C0451"/>
    <w:rsid w:val="1F7F1057"/>
    <w:rsid w:val="1F805991"/>
    <w:rsid w:val="1FB70A05"/>
    <w:rsid w:val="1FD20EF8"/>
    <w:rsid w:val="205948CF"/>
    <w:rsid w:val="207E72C9"/>
    <w:rsid w:val="20BF1BAB"/>
    <w:rsid w:val="214A183A"/>
    <w:rsid w:val="217970BD"/>
    <w:rsid w:val="217C43A3"/>
    <w:rsid w:val="21BE46A7"/>
    <w:rsid w:val="221916A3"/>
    <w:rsid w:val="22530E54"/>
    <w:rsid w:val="22970F8F"/>
    <w:rsid w:val="229A36BC"/>
    <w:rsid w:val="230D09A4"/>
    <w:rsid w:val="23313DA4"/>
    <w:rsid w:val="234D10F2"/>
    <w:rsid w:val="23D03359"/>
    <w:rsid w:val="23E13AA7"/>
    <w:rsid w:val="24055C45"/>
    <w:rsid w:val="24AD6A00"/>
    <w:rsid w:val="24C957BD"/>
    <w:rsid w:val="24F86EB8"/>
    <w:rsid w:val="24F95694"/>
    <w:rsid w:val="252D5F87"/>
    <w:rsid w:val="25313F33"/>
    <w:rsid w:val="2635345D"/>
    <w:rsid w:val="269B1000"/>
    <w:rsid w:val="26E4530A"/>
    <w:rsid w:val="27450857"/>
    <w:rsid w:val="28270245"/>
    <w:rsid w:val="293A2264"/>
    <w:rsid w:val="29415418"/>
    <w:rsid w:val="294B6C61"/>
    <w:rsid w:val="29B072A2"/>
    <w:rsid w:val="2A45025A"/>
    <w:rsid w:val="2B333DD2"/>
    <w:rsid w:val="2B3C424E"/>
    <w:rsid w:val="2B532958"/>
    <w:rsid w:val="2BD35F58"/>
    <w:rsid w:val="2BEF66D0"/>
    <w:rsid w:val="2C0E5B4D"/>
    <w:rsid w:val="2C3B4648"/>
    <w:rsid w:val="2C6A4B31"/>
    <w:rsid w:val="2D2F16F5"/>
    <w:rsid w:val="2D5C5C3D"/>
    <w:rsid w:val="2D821657"/>
    <w:rsid w:val="2DD54137"/>
    <w:rsid w:val="2DDC31FF"/>
    <w:rsid w:val="2E7748E9"/>
    <w:rsid w:val="2F96563F"/>
    <w:rsid w:val="2FE276FA"/>
    <w:rsid w:val="30053F3F"/>
    <w:rsid w:val="302E7C69"/>
    <w:rsid w:val="30393452"/>
    <w:rsid w:val="311C5D46"/>
    <w:rsid w:val="31221AAE"/>
    <w:rsid w:val="31A90371"/>
    <w:rsid w:val="321A3455"/>
    <w:rsid w:val="322967AA"/>
    <w:rsid w:val="3287317A"/>
    <w:rsid w:val="33640185"/>
    <w:rsid w:val="33DE32D3"/>
    <w:rsid w:val="33F234B5"/>
    <w:rsid w:val="340121BB"/>
    <w:rsid w:val="357E56A1"/>
    <w:rsid w:val="35B37C7E"/>
    <w:rsid w:val="35D60064"/>
    <w:rsid w:val="35F53E4C"/>
    <w:rsid w:val="371317CB"/>
    <w:rsid w:val="375B5583"/>
    <w:rsid w:val="37730718"/>
    <w:rsid w:val="380F2A19"/>
    <w:rsid w:val="39F24E9D"/>
    <w:rsid w:val="3A2A123A"/>
    <w:rsid w:val="3A3A045B"/>
    <w:rsid w:val="3A9C38AA"/>
    <w:rsid w:val="3ABF3204"/>
    <w:rsid w:val="3B756D10"/>
    <w:rsid w:val="3B7C2E46"/>
    <w:rsid w:val="3C1E4A81"/>
    <w:rsid w:val="3C1F004B"/>
    <w:rsid w:val="3C561226"/>
    <w:rsid w:val="3C6F3921"/>
    <w:rsid w:val="3D33236F"/>
    <w:rsid w:val="3D5575B9"/>
    <w:rsid w:val="3D675D48"/>
    <w:rsid w:val="3DE27304"/>
    <w:rsid w:val="3DE3398F"/>
    <w:rsid w:val="3E507E93"/>
    <w:rsid w:val="3E6A4CC4"/>
    <w:rsid w:val="3EDB230C"/>
    <w:rsid w:val="3EF04536"/>
    <w:rsid w:val="3F7055D5"/>
    <w:rsid w:val="40202743"/>
    <w:rsid w:val="407469D9"/>
    <w:rsid w:val="409177FE"/>
    <w:rsid w:val="40A43966"/>
    <w:rsid w:val="40B5396D"/>
    <w:rsid w:val="41067A3B"/>
    <w:rsid w:val="41681AA4"/>
    <w:rsid w:val="41F04AD1"/>
    <w:rsid w:val="42E26C3F"/>
    <w:rsid w:val="42FD7032"/>
    <w:rsid w:val="430946EC"/>
    <w:rsid w:val="438617CE"/>
    <w:rsid w:val="43AD1B51"/>
    <w:rsid w:val="43CC784E"/>
    <w:rsid w:val="43E82013"/>
    <w:rsid w:val="44091833"/>
    <w:rsid w:val="445302CB"/>
    <w:rsid w:val="445C63DC"/>
    <w:rsid w:val="4528068B"/>
    <w:rsid w:val="452A205E"/>
    <w:rsid w:val="45A80999"/>
    <w:rsid w:val="45C93C9F"/>
    <w:rsid w:val="45E1481D"/>
    <w:rsid w:val="45FC24C8"/>
    <w:rsid w:val="46265D99"/>
    <w:rsid w:val="46323BFD"/>
    <w:rsid w:val="4645591C"/>
    <w:rsid w:val="464D5AF9"/>
    <w:rsid w:val="46F96160"/>
    <w:rsid w:val="47BA6ADF"/>
    <w:rsid w:val="48FB686C"/>
    <w:rsid w:val="490A7538"/>
    <w:rsid w:val="49B27564"/>
    <w:rsid w:val="49D8545B"/>
    <w:rsid w:val="49ED2F85"/>
    <w:rsid w:val="4A4A7C82"/>
    <w:rsid w:val="4A72338C"/>
    <w:rsid w:val="4ABD57DE"/>
    <w:rsid w:val="4BD66B07"/>
    <w:rsid w:val="4C246C0F"/>
    <w:rsid w:val="4C3D62E5"/>
    <w:rsid w:val="4C501409"/>
    <w:rsid w:val="4C7822C4"/>
    <w:rsid w:val="4C8E2713"/>
    <w:rsid w:val="4CB423E8"/>
    <w:rsid w:val="4CE631CF"/>
    <w:rsid w:val="4DC81A94"/>
    <w:rsid w:val="4DD20D2E"/>
    <w:rsid w:val="4DE72CF4"/>
    <w:rsid w:val="4E09785D"/>
    <w:rsid w:val="4E33395E"/>
    <w:rsid w:val="4E6A5458"/>
    <w:rsid w:val="4F0F5AEA"/>
    <w:rsid w:val="4F2A0F3C"/>
    <w:rsid w:val="4F7D3760"/>
    <w:rsid w:val="502C4E66"/>
    <w:rsid w:val="503C2AB6"/>
    <w:rsid w:val="50A14C0F"/>
    <w:rsid w:val="50CD587D"/>
    <w:rsid w:val="50ED47AE"/>
    <w:rsid w:val="514E0621"/>
    <w:rsid w:val="521771EE"/>
    <w:rsid w:val="523A0D10"/>
    <w:rsid w:val="524F6D29"/>
    <w:rsid w:val="52536ED4"/>
    <w:rsid w:val="52680B99"/>
    <w:rsid w:val="5270411D"/>
    <w:rsid w:val="52B74F2B"/>
    <w:rsid w:val="52C11F56"/>
    <w:rsid w:val="52EE117B"/>
    <w:rsid w:val="53804244"/>
    <w:rsid w:val="53860714"/>
    <w:rsid w:val="539A59D6"/>
    <w:rsid w:val="54D23757"/>
    <w:rsid w:val="54FB202A"/>
    <w:rsid w:val="550300AC"/>
    <w:rsid w:val="556B479E"/>
    <w:rsid w:val="55984CDF"/>
    <w:rsid w:val="55FF7BC6"/>
    <w:rsid w:val="56CF07DB"/>
    <w:rsid w:val="57123B8F"/>
    <w:rsid w:val="571D232C"/>
    <w:rsid w:val="57444BC0"/>
    <w:rsid w:val="57FF6610"/>
    <w:rsid w:val="592F1291"/>
    <w:rsid w:val="593604E3"/>
    <w:rsid w:val="59E90A76"/>
    <w:rsid w:val="5A1929C5"/>
    <w:rsid w:val="5A402632"/>
    <w:rsid w:val="5A627818"/>
    <w:rsid w:val="5AE20C8E"/>
    <w:rsid w:val="5B762BD7"/>
    <w:rsid w:val="5BDD269C"/>
    <w:rsid w:val="5CBF0D53"/>
    <w:rsid w:val="5D1B0A27"/>
    <w:rsid w:val="5DA81594"/>
    <w:rsid w:val="5E0D1215"/>
    <w:rsid w:val="5E4731B0"/>
    <w:rsid w:val="5E752623"/>
    <w:rsid w:val="5F4D3471"/>
    <w:rsid w:val="5F553810"/>
    <w:rsid w:val="5F58272D"/>
    <w:rsid w:val="5F906FBC"/>
    <w:rsid w:val="5FAC2F2F"/>
    <w:rsid w:val="606A7595"/>
    <w:rsid w:val="60E6164B"/>
    <w:rsid w:val="61094AED"/>
    <w:rsid w:val="61642F7F"/>
    <w:rsid w:val="62271303"/>
    <w:rsid w:val="62717AAD"/>
    <w:rsid w:val="62BA3BC2"/>
    <w:rsid w:val="62D0507D"/>
    <w:rsid w:val="62E771C0"/>
    <w:rsid w:val="634D0C1A"/>
    <w:rsid w:val="6438103A"/>
    <w:rsid w:val="647071F0"/>
    <w:rsid w:val="64B73FC9"/>
    <w:rsid w:val="64EF1219"/>
    <w:rsid w:val="64F43170"/>
    <w:rsid w:val="65426A45"/>
    <w:rsid w:val="65626708"/>
    <w:rsid w:val="65BF097A"/>
    <w:rsid w:val="66AF01B1"/>
    <w:rsid w:val="66D05DF1"/>
    <w:rsid w:val="66E02B4F"/>
    <w:rsid w:val="66E75135"/>
    <w:rsid w:val="674D3BDA"/>
    <w:rsid w:val="679F39BD"/>
    <w:rsid w:val="67EA4D84"/>
    <w:rsid w:val="68242118"/>
    <w:rsid w:val="68794E2A"/>
    <w:rsid w:val="68D50067"/>
    <w:rsid w:val="68FD050C"/>
    <w:rsid w:val="69534666"/>
    <w:rsid w:val="69B74F3D"/>
    <w:rsid w:val="6A371582"/>
    <w:rsid w:val="6A3A59E9"/>
    <w:rsid w:val="6A6A1795"/>
    <w:rsid w:val="6B2B61C0"/>
    <w:rsid w:val="6C163BBE"/>
    <w:rsid w:val="6C7B5CFF"/>
    <w:rsid w:val="6CC34ACB"/>
    <w:rsid w:val="6E1460A5"/>
    <w:rsid w:val="6E4D2E4D"/>
    <w:rsid w:val="6E652366"/>
    <w:rsid w:val="6E9E2487"/>
    <w:rsid w:val="6F0717A9"/>
    <w:rsid w:val="6F380C6B"/>
    <w:rsid w:val="6F8D6E3B"/>
    <w:rsid w:val="70581E7B"/>
    <w:rsid w:val="72A817F1"/>
    <w:rsid w:val="72B51B2E"/>
    <w:rsid w:val="72D40749"/>
    <w:rsid w:val="72E709FA"/>
    <w:rsid w:val="730E6A19"/>
    <w:rsid w:val="732773ED"/>
    <w:rsid w:val="7369191F"/>
    <w:rsid w:val="737D0576"/>
    <w:rsid w:val="73B05474"/>
    <w:rsid w:val="749411FD"/>
    <w:rsid w:val="750F5271"/>
    <w:rsid w:val="75482526"/>
    <w:rsid w:val="75DA4C27"/>
    <w:rsid w:val="767A6AE8"/>
    <w:rsid w:val="77640B1D"/>
    <w:rsid w:val="77AF42A0"/>
    <w:rsid w:val="77D33DB9"/>
    <w:rsid w:val="77E60872"/>
    <w:rsid w:val="77FD48F7"/>
    <w:rsid w:val="780A315D"/>
    <w:rsid w:val="783215E8"/>
    <w:rsid w:val="7A0C27BD"/>
    <w:rsid w:val="7A9A63B2"/>
    <w:rsid w:val="7ADC13AC"/>
    <w:rsid w:val="7BDE5FC6"/>
    <w:rsid w:val="7C1628CC"/>
    <w:rsid w:val="7C17157F"/>
    <w:rsid w:val="7CFA28C4"/>
    <w:rsid w:val="7D261D06"/>
    <w:rsid w:val="7D47620A"/>
    <w:rsid w:val="7DBA2AC1"/>
    <w:rsid w:val="7E480740"/>
    <w:rsid w:val="7F1B3A4D"/>
    <w:rsid w:val="7F8F2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unhideWhenUsed/>
    <w:qFormat/>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2021-12-17T06:05:00Z</dcterms:created>
  <dc:creator>XYSD</dc:creator>
  <cp:lastModifiedBy>XYSD</cp:lastModifiedBy>
  <dcterms:modified xsi:type="dcterms:W3CDTF">2022-01-11T02:15:03Z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C4017A6D75214A19B5B2DEFC21E9DA13</vt:lpwstr>
  </property>
</Properties>
</file>