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小标宋简体" w:hAnsi="方正小标宋简体" w:eastAsia="方正小标宋简体" w:cs="方正小标宋简体"/>
          <w:sz w:val="44"/>
          <w:szCs w:val="44"/>
        </w:rPr>
      </w:pPr>
    </w:p>
    <w:p>
      <w:pPr>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北京市通州区统计局2021年政府信息公开</w:t>
      </w:r>
    </w:p>
    <w:p>
      <w:pPr>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工作年度报告</w:t>
      </w:r>
    </w:p>
    <w:p>
      <w:pPr>
        <w:spacing w:line="560" w:lineRule="exact"/>
        <w:jc w:val="center"/>
        <w:rPr>
          <w:sz w:val="44"/>
          <w:szCs w:val="44"/>
        </w:rPr>
      </w:pPr>
    </w:p>
    <w:p>
      <w:pPr>
        <w:widowControl/>
        <w:spacing w:line="560" w:lineRule="exact"/>
        <w:jc w:val="left"/>
        <w:rPr>
          <w:rFonts w:ascii="仿宋_GB2312" w:hAnsi="宋体" w:eastAsia="仿宋_GB2312" w:cs="宋体"/>
          <w:spacing w:val="8"/>
          <w:kern w:val="0"/>
          <w:sz w:val="32"/>
          <w:szCs w:val="32"/>
        </w:rPr>
      </w:pPr>
      <w:r>
        <w:rPr>
          <w:rFonts w:hint="eastAsia" w:ascii="微软雅黑" w:hAnsi="微软雅黑" w:eastAsia="微软雅黑" w:cs="宋体"/>
          <w:color w:val="404040"/>
          <w:kern w:val="0"/>
          <w:sz w:val="24"/>
        </w:rPr>
        <w:t>　</w:t>
      </w:r>
      <w:r>
        <w:rPr>
          <w:rFonts w:hint="eastAsia" w:ascii="微软雅黑" w:hAnsi="微软雅黑" w:eastAsia="微软雅黑" w:cs="宋体"/>
          <w:color w:val="404040"/>
          <w:kern w:val="0"/>
          <w:sz w:val="32"/>
          <w:szCs w:val="32"/>
        </w:rPr>
        <w:t xml:space="preserve"> </w:t>
      </w:r>
      <w:r>
        <w:rPr>
          <w:rFonts w:ascii="微软雅黑" w:hAnsi="微软雅黑" w:eastAsia="微软雅黑" w:cs="宋体"/>
          <w:color w:val="404040"/>
          <w:kern w:val="0"/>
          <w:sz w:val="32"/>
          <w:szCs w:val="32"/>
        </w:rPr>
        <w:t xml:space="preserve">  </w:t>
      </w:r>
      <w:r>
        <w:rPr>
          <w:rFonts w:hint="eastAsia" w:ascii="仿宋_GB2312" w:hAnsi="宋体" w:eastAsia="仿宋_GB2312" w:cs="宋体"/>
          <w:spacing w:val="8"/>
          <w:kern w:val="0"/>
          <w:sz w:val="32"/>
          <w:szCs w:val="32"/>
        </w:rPr>
        <w:t>依据《中华人民共和国政府信息公开条例》(以下简称《政府信息公开条例》)第五十条规定，编制本报告。</w:t>
      </w:r>
    </w:p>
    <w:p>
      <w:pPr>
        <w:numPr>
          <w:numId w:val="0"/>
        </w:numPr>
        <w:spacing w:line="560" w:lineRule="exact"/>
        <w:ind w:firstLine="960" w:firstLineChars="3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一、总体情况</w:t>
      </w:r>
    </w:p>
    <w:p>
      <w:pPr>
        <w:widowControl/>
        <w:spacing w:line="560" w:lineRule="exact"/>
        <w:ind w:firstLine="672" w:firstLineChars="200"/>
        <w:jc w:val="left"/>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lang w:val="en-US" w:eastAsia="zh-CN"/>
        </w:rPr>
        <w:t>（一）主动公开情况</w:t>
      </w:r>
    </w:p>
    <w:p>
      <w:pPr>
        <w:widowControl/>
        <w:spacing w:line="560" w:lineRule="exact"/>
        <w:ind w:firstLine="672" w:firstLineChars="200"/>
        <w:jc w:val="left"/>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lang w:val="en-US" w:eastAsia="zh-CN"/>
        </w:rPr>
        <w:t>本年度，我局严格按照《政府信息公开条例》的规定，积极推进主动公开工作。主动公开政府信息247条，内容涵盖政策法规、工作动态、重点领域、规划计划等方面。对涉及地区群众切身利益和需要社会公众广泛知晓或者参与的重要信息均进行了及时、准确的公开。 </w:t>
      </w:r>
    </w:p>
    <w:p>
      <w:pPr>
        <w:widowControl/>
        <w:spacing w:line="560" w:lineRule="exact"/>
        <w:ind w:firstLine="672" w:firstLineChars="200"/>
        <w:jc w:val="left"/>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lang w:val="en-US" w:eastAsia="zh-CN"/>
        </w:rPr>
        <w:t>（二）依申请公开办理情况</w:t>
      </w:r>
    </w:p>
    <w:p>
      <w:pPr>
        <w:widowControl/>
        <w:spacing w:line="560" w:lineRule="exact"/>
        <w:ind w:firstLine="672" w:firstLineChars="200"/>
        <w:jc w:val="left"/>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lang w:val="en-US" w:eastAsia="zh-CN"/>
        </w:rPr>
        <w:t>我局建立了信息公开依申请受理机制，对于公民、法人或其他组织提出的政府信息公开申请，配备专人受理，做到规范受理、及时处理、认真答复。本年度收到政府信息公开申请4条。</w:t>
      </w:r>
    </w:p>
    <w:p>
      <w:pPr>
        <w:widowControl/>
        <w:spacing w:line="560" w:lineRule="exact"/>
        <w:ind w:firstLine="672" w:firstLineChars="200"/>
        <w:jc w:val="left"/>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lang w:val="en-US" w:eastAsia="zh-CN"/>
        </w:rPr>
        <w:t>（三）政府信息资源的规范化、标准化管理情况</w:t>
      </w:r>
    </w:p>
    <w:p>
      <w:pPr>
        <w:widowControl/>
        <w:spacing w:line="560" w:lineRule="exact"/>
        <w:ind w:firstLine="672" w:firstLineChars="200"/>
        <w:jc w:val="left"/>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lang w:val="en-US" w:eastAsia="zh-CN"/>
        </w:rPr>
        <w:t>结合实际工作，我局进一步完善《北京市通州区统计局政府信息主动公开全清单》和《北京市通州区统计局信息公开指南》，并按照要求发布《政府信息公开工作年度报告》。进一步健全完善决策咨询制度、政务信息发布协调机制和信息公开保密审查制度，确保政务公开工作的规范运行。</w:t>
      </w:r>
    </w:p>
    <w:p>
      <w:pPr>
        <w:widowControl/>
        <w:spacing w:line="560" w:lineRule="exact"/>
        <w:ind w:firstLine="672" w:firstLineChars="200"/>
        <w:jc w:val="left"/>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lang w:val="en-US" w:eastAsia="zh-CN"/>
        </w:rPr>
        <w:t>（四）平台建设情况</w:t>
      </w:r>
    </w:p>
    <w:p>
      <w:pPr>
        <w:widowControl/>
        <w:spacing w:line="560" w:lineRule="exact"/>
        <w:ind w:firstLine="672" w:firstLineChars="200"/>
        <w:jc w:val="left"/>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val="en-US" w:eastAsia="zh-CN"/>
        </w:rPr>
        <w:t>本年度我局多次完善政府信息公开工作制度、梳理信息公开全清单、规范信息公开工作流程，全面加强政府信息公开平台建设。在巩固现有公开渠道的基础上，依托微信公众号新媒体、市级信息网站、区级融媒体平台进行信息发布，及时、全面地将各方面工作开展情况向社会公布。</w:t>
      </w:r>
    </w:p>
    <w:p>
      <w:pPr>
        <w:widowControl/>
        <w:spacing w:line="560" w:lineRule="exact"/>
        <w:ind w:firstLine="672" w:firstLineChars="200"/>
        <w:jc w:val="left"/>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lang w:val="en-US" w:eastAsia="zh-CN"/>
        </w:rPr>
        <w:t>（五）政府信息公开监督保障及教育培训情况</w:t>
      </w:r>
    </w:p>
    <w:p>
      <w:pPr>
        <w:widowControl/>
        <w:spacing w:line="560" w:lineRule="exact"/>
        <w:ind w:firstLine="672" w:firstLineChars="200"/>
        <w:jc w:val="left"/>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lang w:val="en-US" w:eastAsia="zh-CN"/>
        </w:rPr>
        <w:t>1.完善了信息公开申请受理、保密审查、监督检查等一系列制度，严格了政府信息公开程序，积极探索多种监督评议方式，公开投诉电话，畅通群众来信、来电、来访诉求渠道，及时进行反馈回复，自觉接受社会各界监督，确保网站上公开的信息全面、准确。</w:t>
      </w:r>
    </w:p>
    <w:p>
      <w:pPr>
        <w:widowControl/>
        <w:spacing w:line="560" w:lineRule="exact"/>
        <w:ind w:firstLine="672" w:firstLineChars="200"/>
        <w:jc w:val="left"/>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lang w:val="en-US" w:eastAsia="zh-CN"/>
        </w:rPr>
        <w:t>2.组织机关干部认真学习政府信息公开法规条例，增强机关干部的大局意识、法制意识、服务意识、创新意识和责任意识。通过举办政务开放日活动，深入宣传贯彻政府信息公开条例，重点围绕依申请公开流程开展咨询，提高公众对政府信息公开的认知度。</w:t>
      </w:r>
    </w:p>
    <w:p>
      <w:pPr>
        <w:pStyle w:val="2"/>
      </w:pPr>
    </w:p>
    <w:p>
      <w:pPr>
        <w:pStyle w:val="2"/>
      </w:pPr>
    </w:p>
    <w:p>
      <w:pPr>
        <w:pStyle w:val="2"/>
      </w:pPr>
    </w:p>
    <w:p>
      <w:pPr>
        <w:pStyle w:val="2"/>
      </w:pPr>
    </w:p>
    <w:p>
      <w:pPr>
        <w:pStyle w:val="2"/>
      </w:pPr>
    </w:p>
    <w:p>
      <w:pPr>
        <w:numPr>
          <w:ilvl w:val="0"/>
          <w:numId w:val="0"/>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主动公开政府信息情况</w:t>
      </w:r>
    </w:p>
    <w:p>
      <w:pPr>
        <w:pStyle w:val="2"/>
      </w:pPr>
    </w:p>
    <w:tbl>
      <w:tblPr>
        <w:tblStyle w:val="9"/>
        <w:tblW w:w="9740" w:type="dxa"/>
        <w:jc w:val="center"/>
        <w:tblLayout w:type="autofit"/>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本年制发件数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本年废止件数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现行有效件</w:t>
            </w:r>
            <w:r>
              <w:rPr>
                <w:rFonts w:hint="eastAsia" w:ascii="宋体" w:hAnsi="宋体" w:cs="宋体"/>
                <w:kern w:val="0"/>
                <w:sz w:val="20"/>
                <w:szCs w:val="20"/>
                <w:lang w:bidi="ar"/>
              </w:rPr>
              <w:t>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规章</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宋体" w:hAnsi="宋体" w:cs="宋体"/>
                <w:color w:val="000000"/>
                <w:kern w:val="0"/>
                <w:sz w:val="20"/>
                <w:szCs w:val="20"/>
                <w:lang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宋体" w:hAnsi="宋体" w:cs="宋体"/>
                <w:color w:val="000000"/>
                <w:kern w:val="0"/>
                <w:sz w:val="20"/>
                <w:szCs w:val="20"/>
                <w:lang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Cs w:val="21"/>
                <w:lang w:bidi="ar"/>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宋体" w:hAnsi="宋体" w:cs="宋体"/>
                <w:color w:val="000000"/>
                <w:kern w:val="0"/>
                <w:sz w:val="20"/>
                <w:szCs w:val="20"/>
                <w:lang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宋体" w:hAnsi="宋体" w:cs="宋体"/>
                <w:color w:val="000000"/>
                <w:kern w:val="0"/>
                <w:sz w:val="20"/>
                <w:szCs w:val="20"/>
                <w:lang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Cs w:val="21"/>
                <w:lang w:bidi="ar"/>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color w:val="000000"/>
                <w:kern w:val="0"/>
                <w:sz w:val="20"/>
                <w:szCs w:val="20"/>
                <w:lang w:bidi="ar"/>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Cs w:val="21"/>
                <w:lang w:bidi="ar"/>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color w:val="000000"/>
                <w:kern w:val="0"/>
                <w:sz w:val="20"/>
                <w:szCs w:val="20"/>
                <w:lang w:bidi="ar"/>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宋体" w:hAnsi="宋体" w:cs="宋体"/>
                <w:color w:val="000000"/>
                <w:kern w:val="0"/>
                <w:sz w:val="20"/>
                <w:szCs w:val="20"/>
                <w:lang w:bidi="ar"/>
              </w:rPr>
              <w:t>49</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宋体" w:hAnsi="宋体" w:cs="宋体"/>
                <w:color w:val="000000"/>
                <w:kern w:val="0"/>
                <w:sz w:val="20"/>
                <w:szCs w:val="20"/>
                <w:lang w:bidi="ar"/>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color w:val="000000"/>
                <w:kern w:val="0"/>
                <w:sz w:val="20"/>
                <w:szCs w:val="20"/>
                <w:lang w:bidi="ar"/>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000000"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jc w:val="center"/>
              <w:rPr>
                <w:rFonts w:ascii="宋体"/>
                <w:sz w:val="24"/>
              </w:rPr>
            </w:pPr>
            <w:r>
              <w:rPr>
                <w:rFonts w:hint="eastAsia" w:ascii="宋体"/>
                <w:sz w:val="24"/>
              </w:rPr>
              <w:t>0</w:t>
            </w:r>
          </w:p>
        </w:tc>
      </w:tr>
    </w:tbl>
    <w:p>
      <w:pPr>
        <w:pStyle w:val="2"/>
      </w:pPr>
    </w:p>
    <w:p>
      <w:pPr>
        <w:pStyle w:val="2"/>
      </w:pPr>
    </w:p>
    <w:p>
      <w:pPr>
        <w:numPr>
          <w:numId w:val="0"/>
        </w:numPr>
        <w:spacing w:line="560" w:lineRule="exact"/>
        <w:ind w:left="630" w:leftChars="0"/>
        <w:rPr>
          <w:rFonts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收到和处理政府信息公开申请情况</w:t>
      </w:r>
    </w:p>
    <w:p>
      <w:pPr>
        <w:pStyle w:val="7"/>
        <w:shd w:val="clear" w:color="auto" w:fill="FFFFFF"/>
        <w:spacing w:before="0" w:beforeAutospacing="0" w:after="0" w:afterAutospacing="0"/>
        <w:ind w:firstLine="420"/>
        <w:jc w:val="both"/>
        <w:rPr>
          <w:rFonts w:hint="default"/>
          <w:color w:val="333333"/>
        </w:rPr>
      </w:pPr>
    </w:p>
    <w:tbl>
      <w:tblPr>
        <w:tblStyle w:val="9"/>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6"/>
        <w:gridCol w:w="943"/>
        <w:gridCol w:w="3216"/>
        <w:gridCol w:w="688"/>
        <w:gridCol w:w="688"/>
        <w:gridCol w:w="688"/>
        <w:gridCol w:w="688"/>
        <w:gridCol w:w="688"/>
        <w:gridCol w:w="688"/>
        <w:gridCol w:w="69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restart"/>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widowControl/>
              <w:jc w:val="left"/>
            </w:pPr>
            <w:r>
              <w:rPr>
                <w:rFonts w:ascii="楷体" w:hAnsi="楷体" w:eastAsia="楷体" w:cs="楷体"/>
                <w:kern w:val="0"/>
                <w:sz w:val="20"/>
                <w:szCs w:val="20"/>
                <w:lang w:bidi="ar"/>
              </w:rPr>
              <w:t>（本列数据的勾稽关系为：第一项加第二项之和，等于第三项加第四项之和）</w:t>
            </w:r>
          </w:p>
        </w:tc>
        <w:tc>
          <w:tcPr>
            <w:tcW w:w="4998" w:type="dxa"/>
            <w:gridSpan w:val="7"/>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ascii="宋体"/>
                <w:sz w:val="24"/>
              </w:rPr>
            </w:pPr>
          </w:p>
        </w:tc>
        <w:tc>
          <w:tcPr>
            <w:tcW w:w="714" w:type="dxa"/>
            <w:vMerge w:val="restart"/>
            <w:tcBorders>
              <w:top w:val="nil"/>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自然人</w:t>
            </w:r>
          </w:p>
        </w:tc>
        <w:tc>
          <w:tcPr>
            <w:tcW w:w="3570" w:type="dxa"/>
            <w:gridSpan w:val="5"/>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法人或其他组织</w:t>
            </w:r>
          </w:p>
        </w:tc>
        <w:tc>
          <w:tcPr>
            <w:tcW w:w="714" w:type="dxa"/>
            <w:vMerge w:val="restart"/>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ascii="宋体"/>
                <w:sz w:val="24"/>
              </w:rPr>
            </w:pPr>
          </w:p>
        </w:tc>
        <w:tc>
          <w:tcPr>
            <w:tcW w:w="714" w:type="dxa"/>
            <w:vMerge w:val="continue"/>
            <w:tcBorders>
              <w:top w:val="nil"/>
              <w:left w:val="nil"/>
              <w:bottom w:val="single" w:color="auto" w:sz="8" w:space="0"/>
              <w:right w:val="single" w:color="auto" w:sz="8" w:space="0"/>
            </w:tcBorders>
            <w:shd w:val="clear" w:color="auto" w:fill="9BC2E6"/>
            <w:tcMar>
              <w:left w:w="57" w:type="dxa"/>
              <w:right w:w="57" w:type="dxa"/>
            </w:tcMar>
            <w:vAlign w:val="center"/>
          </w:tcPr>
          <w:p>
            <w:pPr>
              <w:rPr>
                <w:rFonts w:ascii="宋体"/>
                <w:sz w:val="24"/>
              </w:rPr>
            </w:pPr>
          </w:p>
        </w:tc>
        <w:tc>
          <w:tcPr>
            <w:tcW w:w="714" w:type="dxa"/>
            <w:tcBorders>
              <w:top w:val="nil"/>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商业</w:t>
            </w:r>
          </w:p>
          <w:p>
            <w:pPr>
              <w:widowControl/>
              <w:jc w:val="center"/>
            </w:pPr>
            <w:r>
              <w:rPr>
                <w:rFonts w:hint="eastAsia" w:ascii="宋体" w:hAnsi="宋体" w:cs="宋体"/>
                <w:kern w:val="0"/>
                <w:sz w:val="20"/>
                <w:szCs w:val="20"/>
                <w:lang w:bidi="ar"/>
              </w:rPr>
              <w:t>企业</w:t>
            </w:r>
          </w:p>
        </w:tc>
        <w:tc>
          <w:tcPr>
            <w:tcW w:w="714" w:type="dxa"/>
            <w:tcBorders>
              <w:top w:val="nil"/>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科研</w:t>
            </w:r>
          </w:p>
          <w:p>
            <w:pPr>
              <w:widowControl/>
              <w:jc w:val="center"/>
            </w:pPr>
            <w:r>
              <w:rPr>
                <w:rFonts w:hint="eastAsia" w:ascii="宋体" w:hAnsi="宋体" w:cs="宋体"/>
                <w:kern w:val="0"/>
                <w:sz w:val="20"/>
                <w:szCs w:val="20"/>
                <w:lang w:bidi="ar"/>
              </w:rPr>
              <w:t>机构</w:t>
            </w:r>
          </w:p>
        </w:tc>
        <w:tc>
          <w:tcPr>
            <w:tcW w:w="714"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社会公益组织</w:t>
            </w:r>
          </w:p>
        </w:tc>
        <w:tc>
          <w:tcPr>
            <w:tcW w:w="714"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法律服务机构</w:t>
            </w:r>
          </w:p>
        </w:tc>
        <w:tc>
          <w:tcPr>
            <w:tcW w:w="714"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其他</w:t>
            </w:r>
          </w:p>
        </w:tc>
        <w:tc>
          <w:tcPr>
            <w:tcW w:w="714" w:type="dxa"/>
            <w:vMerge w:val="continue"/>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rPr>
                <w:rFonts w:ascii="宋体"/>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kern w:val="0"/>
                <w:sz w:val="20"/>
                <w:szCs w:val="20"/>
                <w:lang w:bidi="ar"/>
              </w:rPr>
              <w:t>一、本年新收政府信息公开申请数量</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4</w:t>
            </w:r>
            <w:r>
              <w:rPr>
                <w:rFonts w:cs="Calibri"/>
                <w:kern w:val="0"/>
                <w:sz w:val="20"/>
                <w:szCs w:val="20"/>
                <w:lang w:bidi="ar"/>
              </w:rPr>
              <w:t> </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4</w:t>
            </w:r>
            <w:r>
              <w:rPr>
                <w:rFonts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kern w:val="0"/>
                <w:sz w:val="20"/>
                <w:szCs w:val="20"/>
                <w:lang w:bidi="ar"/>
              </w:rPr>
              <w:t>二、上年结转政府信息公开申请数量</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restart"/>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kern w:val="0"/>
                <w:sz w:val="20"/>
                <w:szCs w:val="20"/>
                <w:lang w:bidi="ar"/>
              </w:rPr>
              <w:t>三、本年度办理结果</w:t>
            </w:r>
          </w:p>
        </w:tc>
        <w:tc>
          <w:tcPr>
            <w:tcW w:w="4365"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（一）予以公开</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2</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714" w:type="dxa"/>
            <w:tcBorders>
              <w:top w:val="single" w:color="auto" w:sz="8" w:space="0"/>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4365"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（二）部分公开</w:t>
            </w:r>
            <w:r>
              <w:rPr>
                <w:rFonts w:ascii="楷体" w:hAnsi="楷体" w:eastAsia="楷体" w:cs="楷体"/>
                <w:kern w:val="0"/>
                <w:sz w:val="20"/>
                <w:szCs w:val="20"/>
                <w:lang w:bidi="ar"/>
              </w:rPr>
              <w:t>（区分处理的，只计这一情形，不计其他情形）</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tcPr>
          <w:p>
            <w:pPr>
              <w:widowControl/>
              <w:jc w:val="center"/>
              <w:rPr>
                <w:rFonts w:cs="Calibri"/>
                <w:kern w:val="0"/>
                <w:sz w:val="20"/>
                <w:szCs w:val="20"/>
                <w:lang w:bidi="ar"/>
              </w:rPr>
            </w:pPr>
          </w:p>
          <w:p>
            <w:pPr>
              <w:widowControl/>
              <w:jc w:val="center"/>
              <w:rPr>
                <w:rFonts w:cs="Calibri"/>
                <w:kern w:val="0"/>
                <w:sz w:val="20"/>
                <w:szCs w:val="20"/>
                <w:lang w:bidi="ar"/>
              </w:rP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59"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（三）不予公开</w:t>
            </w:r>
          </w:p>
        </w:tc>
        <w:tc>
          <w:tcPr>
            <w:tcW w:w="3406"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1.属于国家秘密</w:t>
            </w:r>
          </w:p>
        </w:tc>
        <w:tc>
          <w:tcPr>
            <w:tcW w:w="714"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c>
          <w:tcPr>
            <w:tcW w:w="714" w:type="dxa"/>
            <w:tcBorders>
              <w:top w:val="single" w:color="auto" w:sz="8" w:space="0"/>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59"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406"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2.其他法律行政法规禁止公开</w:t>
            </w:r>
          </w:p>
        </w:tc>
        <w:tc>
          <w:tcPr>
            <w:tcW w:w="714"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59"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406"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3.危及“三安全一稳定”</w:t>
            </w:r>
          </w:p>
        </w:tc>
        <w:tc>
          <w:tcPr>
            <w:tcW w:w="714"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59"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406"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4.保护第三方合法权益</w:t>
            </w:r>
          </w:p>
        </w:tc>
        <w:tc>
          <w:tcPr>
            <w:tcW w:w="714"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59"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406"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5.属于三类内部事务信息</w:t>
            </w:r>
          </w:p>
        </w:tc>
        <w:tc>
          <w:tcPr>
            <w:tcW w:w="714"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59"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406"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6.属于四类过程性信息</w:t>
            </w:r>
          </w:p>
        </w:tc>
        <w:tc>
          <w:tcPr>
            <w:tcW w:w="714"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59"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406"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7.属于行政执法案卷</w:t>
            </w:r>
          </w:p>
        </w:tc>
        <w:tc>
          <w:tcPr>
            <w:tcW w:w="714"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59"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406"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8.属于行政查询事项</w:t>
            </w:r>
          </w:p>
        </w:tc>
        <w:tc>
          <w:tcPr>
            <w:tcW w:w="714"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59"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（四）无法提供</w:t>
            </w:r>
          </w:p>
        </w:tc>
        <w:tc>
          <w:tcPr>
            <w:tcW w:w="3406"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1.本机关不掌握相关政府信息</w:t>
            </w:r>
          </w:p>
        </w:tc>
        <w:tc>
          <w:tcPr>
            <w:tcW w:w="714"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1</w:t>
            </w:r>
          </w:p>
        </w:tc>
        <w:tc>
          <w:tcPr>
            <w:tcW w:w="714"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59"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406"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2.没有现成信息需要另行制作</w:t>
            </w:r>
          </w:p>
        </w:tc>
        <w:tc>
          <w:tcPr>
            <w:tcW w:w="714"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59"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406"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3.补正后申请内容仍不明确</w:t>
            </w:r>
          </w:p>
        </w:tc>
        <w:tc>
          <w:tcPr>
            <w:tcW w:w="714"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59"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（五）不予处理</w:t>
            </w:r>
          </w:p>
        </w:tc>
        <w:tc>
          <w:tcPr>
            <w:tcW w:w="3406"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1.信访举报投诉类申请</w:t>
            </w:r>
          </w:p>
        </w:tc>
        <w:tc>
          <w:tcPr>
            <w:tcW w:w="714"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59"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406"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2.重复申请</w:t>
            </w:r>
          </w:p>
        </w:tc>
        <w:tc>
          <w:tcPr>
            <w:tcW w:w="714"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59"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406"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3.要求提供公开出版物</w:t>
            </w:r>
          </w:p>
        </w:tc>
        <w:tc>
          <w:tcPr>
            <w:tcW w:w="714"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59"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406"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4.无正当理由大量反复申请</w:t>
            </w:r>
          </w:p>
        </w:tc>
        <w:tc>
          <w:tcPr>
            <w:tcW w:w="714"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85"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59"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406" w:type="dxa"/>
            <w:tcBorders>
              <w:top w:val="nil"/>
              <w:left w:val="nil"/>
              <w:bottom w:val="outset" w:color="auto" w:sz="8" w:space="0"/>
              <w:right w:val="single" w:color="auto" w:sz="8" w:space="0"/>
            </w:tcBorders>
            <w:shd w:val="clear" w:color="auto" w:fill="DDEBF7"/>
            <w:tcMar>
              <w:left w:w="57" w:type="dxa"/>
              <w:right w:w="57" w:type="dxa"/>
            </w:tcMar>
            <w:vAlign w:val="center"/>
          </w:tcPr>
          <w:p>
            <w:pPr>
              <w:widowControl/>
            </w:pPr>
            <w:r>
              <w:rPr>
                <w:rFonts w:hint="eastAsia" w:ascii="宋体" w:hAnsi="宋体" w:cs="宋体"/>
                <w:kern w:val="0"/>
                <w:sz w:val="20"/>
                <w:szCs w:val="20"/>
                <w:lang w:bidi="ar"/>
              </w:rPr>
              <w:t>5.要求行政机关确认或重新出具已获取信息</w:t>
            </w:r>
          </w:p>
        </w:tc>
        <w:tc>
          <w:tcPr>
            <w:tcW w:w="714" w:type="dxa"/>
            <w:tcBorders>
              <w:top w:val="nil"/>
              <w:left w:val="nil"/>
              <w:bottom w:val="outset"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c>
          <w:tcPr>
            <w:tcW w:w="714" w:type="dxa"/>
            <w:tcBorders>
              <w:top w:val="nil"/>
              <w:left w:val="nil"/>
              <w:bottom w:val="outset"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c>
          <w:tcPr>
            <w:tcW w:w="714" w:type="dxa"/>
            <w:tcBorders>
              <w:top w:val="nil"/>
              <w:left w:val="nil"/>
              <w:bottom w:val="outset"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c>
          <w:tcPr>
            <w:tcW w:w="714" w:type="dxa"/>
            <w:tcBorders>
              <w:top w:val="nil"/>
              <w:left w:val="nil"/>
              <w:bottom w:val="outset"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c>
          <w:tcPr>
            <w:tcW w:w="714" w:type="dxa"/>
            <w:tcBorders>
              <w:top w:val="nil"/>
              <w:left w:val="nil"/>
              <w:bottom w:val="outset"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c>
          <w:tcPr>
            <w:tcW w:w="714" w:type="dxa"/>
            <w:tcBorders>
              <w:top w:val="nil"/>
              <w:left w:val="nil"/>
              <w:bottom w:val="outset"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c>
          <w:tcPr>
            <w:tcW w:w="714" w:type="dxa"/>
            <w:tcBorders>
              <w:top w:val="nil"/>
              <w:left w:val="nil"/>
              <w:bottom w:val="outset"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59" w:type="dxa"/>
            <w:vMerge w:val="restart"/>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（六）其他处理</w:t>
            </w:r>
          </w:p>
        </w:tc>
        <w:tc>
          <w:tcPr>
            <w:tcW w:w="3406"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Pr>
            <w:r>
              <w:rPr>
                <w:rFonts w:hint="eastAsia" w:ascii="宋体" w:hAnsi="宋体" w:cs="宋体"/>
                <w:kern w:val="0"/>
                <w:sz w:val="20"/>
                <w:szCs w:val="20"/>
                <w:lang w:bidi="ar"/>
              </w:rPr>
              <w:t>1.申请人无正当理由逾期不补正、行政机关不再处理其政府信息公开申请</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tcPr>
          <w:p>
            <w:pPr>
              <w:widowControl/>
              <w:jc w:val="center"/>
              <w:rPr>
                <w:rFonts w:cs="Calibri"/>
                <w:kern w:val="0"/>
                <w:sz w:val="20"/>
                <w:szCs w:val="20"/>
                <w:lang w:bidi="ar"/>
              </w:rPr>
            </w:pPr>
          </w:p>
          <w:p>
            <w:pPr>
              <w:widowControl/>
              <w:jc w:val="cente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59"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406"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Pr>
            <w:r>
              <w:rPr>
                <w:rFonts w:hint="eastAsia" w:ascii="宋体" w:hAnsi="宋体" w:cs="宋体"/>
                <w:kern w:val="0"/>
                <w:sz w:val="20"/>
                <w:szCs w:val="20"/>
                <w:lang w:bidi="ar"/>
              </w:rPr>
              <w:t>2.申请人逾期未按收费通知要求缴纳费用、行政机关不再处理其政府信息公开申请</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tcPr>
          <w:p>
            <w:pPr>
              <w:widowControl/>
              <w:jc w:val="center"/>
              <w:rPr>
                <w:rFonts w:cs="Calibri"/>
                <w:kern w:val="0"/>
                <w:sz w:val="20"/>
                <w:szCs w:val="20"/>
                <w:lang w:bidi="ar"/>
              </w:rPr>
            </w:pPr>
          </w:p>
          <w:p>
            <w:pPr>
              <w:widowControl/>
              <w:ind w:firstLine="200" w:firstLineChars="100"/>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59"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406"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3.其他</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1</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1</w:t>
            </w:r>
            <w:r>
              <w:rPr>
                <w:rFonts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4365"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（七）总计</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4</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kern w:val="0"/>
                <w:sz w:val="20"/>
                <w:szCs w:val="20"/>
                <w:lang w:bidi="ar"/>
              </w:rPr>
              <w:t>四、结转下年度继续办理</w:t>
            </w:r>
          </w:p>
        </w:tc>
        <w:tc>
          <w:tcPr>
            <w:tcW w:w="0" w:type="auto"/>
            <w:tcBorders>
              <w:top w:val="outset" w:color="auto" w:sz="6" w:space="0"/>
              <w:left w:val="nil"/>
              <w:bottom w:val="outset" w:color="auto" w:sz="6" w:space="0"/>
              <w:right w:val="outset" w:color="auto" w:sz="6" w:space="0"/>
            </w:tcBorders>
            <w:vAlign w:val="center"/>
          </w:tcPr>
          <w:p>
            <w:pPr>
              <w:jc w:val="center"/>
              <w:rPr>
                <w:rFonts w:ascii="宋体"/>
                <w:sz w:val="24"/>
              </w:rPr>
            </w:pPr>
            <w:r>
              <w:rPr>
                <w:rFonts w:hint="eastAsia" w:ascii="宋体"/>
                <w:sz w:val="24"/>
              </w:rPr>
              <w:t>0</w:t>
            </w:r>
          </w:p>
        </w:tc>
        <w:tc>
          <w:tcPr>
            <w:tcW w:w="0" w:type="auto"/>
            <w:tcBorders>
              <w:top w:val="outset" w:color="auto" w:sz="6" w:space="0"/>
              <w:left w:val="nil"/>
              <w:bottom w:val="outset" w:color="auto" w:sz="6" w:space="0"/>
              <w:right w:val="outset" w:color="auto" w:sz="6" w:space="0"/>
            </w:tcBorders>
            <w:vAlign w:val="center"/>
          </w:tcPr>
          <w:p>
            <w:pPr>
              <w:jc w:val="center"/>
              <w:rPr>
                <w:rFonts w:ascii="宋体"/>
                <w:sz w:val="24"/>
              </w:rPr>
            </w:pPr>
            <w:r>
              <w:rPr>
                <w:rFonts w:hint="eastAsia" w:ascii="宋体"/>
                <w:sz w:val="24"/>
              </w:rPr>
              <w:t>0</w:t>
            </w:r>
          </w:p>
        </w:tc>
        <w:tc>
          <w:tcPr>
            <w:tcW w:w="0" w:type="auto"/>
            <w:tcBorders>
              <w:top w:val="outset" w:color="auto" w:sz="6" w:space="0"/>
              <w:left w:val="nil"/>
              <w:bottom w:val="outset" w:color="auto" w:sz="6" w:space="0"/>
              <w:right w:val="outset" w:color="auto" w:sz="6" w:space="0"/>
            </w:tcBorders>
            <w:vAlign w:val="center"/>
          </w:tcPr>
          <w:p>
            <w:pPr>
              <w:jc w:val="center"/>
              <w:rPr>
                <w:rFonts w:ascii="宋体"/>
                <w:sz w:val="24"/>
              </w:rPr>
            </w:pPr>
            <w:r>
              <w:rPr>
                <w:rFonts w:hint="eastAsia" w:ascii="宋体"/>
                <w:sz w:val="24"/>
              </w:rPr>
              <w:t>0</w:t>
            </w:r>
          </w:p>
        </w:tc>
        <w:tc>
          <w:tcPr>
            <w:tcW w:w="0" w:type="auto"/>
            <w:tcBorders>
              <w:top w:val="outset" w:color="auto" w:sz="6" w:space="0"/>
              <w:left w:val="nil"/>
              <w:bottom w:val="outset" w:color="auto" w:sz="6" w:space="0"/>
              <w:right w:val="outset" w:color="auto" w:sz="6" w:space="0"/>
            </w:tcBorders>
            <w:vAlign w:val="center"/>
          </w:tcPr>
          <w:p>
            <w:pPr>
              <w:jc w:val="center"/>
              <w:rPr>
                <w:rFonts w:ascii="宋体"/>
                <w:sz w:val="24"/>
              </w:rPr>
            </w:pPr>
            <w:r>
              <w:rPr>
                <w:rFonts w:hint="eastAsia" w:ascii="宋体"/>
                <w:sz w:val="24"/>
              </w:rPr>
              <w:t>0</w:t>
            </w:r>
          </w:p>
        </w:tc>
        <w:tc>
          <w:tcPr>
            <w:tcW w:w="0" w:type="auto"/>
            <w:tcBorders>
              <w:top w:val="outset" w:color="auto" w:sz="6" w:space="0"/>
              <w:left w:val="nil"/>
              <w:bottom w:val="outset" w:color="auto" w:sz="6" w:space="0"/>
              <w:right w:val="outset" w:color="auto" w:sz="6" w:space="0"/>
            </w:tcBorders>
            <w:vAlign w:val="center"/>
          </w:tcPr>
          <w:p>
            <w:pPr>
              <w:jc w:val="center"/>
              <w:rPr>
                <w:rFonts w:ascii="宋体"/>
                <w:sz w:val="24"/>
              </w:rPr>
            </w:pPr>
            <w:r>
              <w:rPr>
                <w:rFonts w:hint="eastAsia" w:ascii="宋体"/>
                <w:sz w:val="24"/>
              </w:rPr>
              <w:t>0</w:t>
            </w:r>
          </w:p>
        </w:tc>
        <w:tc>
          <w:tcPr>
            <w:tcW w:w="0" w:type="auto"/>
            <w:tcBorders>
              <w:top w:val="outset" w:color="auto" w:sz="6" w:space="0"/>
              <w:left w:val="nil"/>
              <w:bottom w:val="outset" w:color="auto" w:sz="6" w:space="0"/>
              <w:right w:val="outset" w:color="auto" w:sz="6" w:space="0"/>
            </w:tcBorders>
            <w:vAlign w:val="center"/>
          </w:tcPr>
          <w:p>
            <w:pPr>
              <w:jc w:val="center"/>
              <w:rPr>
                <w:rFonts w:ascii="宋体"/>
                <w:sz w:val="24"/>
              </w:rPr>
            </w:pPr>
            <w:r>
              <w:rPr>
                <w:rFonts w:hint="eastAsia" w:ascii="宋体"/>
                <w:sz w:val="24"/>
              </w:rPr>
              <w:t>0</w:t>
            </w:r>
          </w:p>
        </w:tc>
        <w:tc>
          <w:tcPr>
            <w:tcW w:w="0" w:type="auto"/>
            <w:tcBorders>
              <w:top w:val="outset" w:color="auto" w:sz="6" w:space="0"/>
              <w:left w:val="nil"/>
              <w:bottom w:val="outset" w:color="auto" w:sz="6" w:space="0"/>
              <w:right w:val="outset" w:color="auto" w:sz="6" w:space="0"/>
            </w:tcBorders>
            <w:vAlign w:val="center"/>
          </w:tcPr>
          <w:p>
            <w:pPr>
              <w:jc w:val="center"/>
              <w:rPr>
                <w:rFonts w:ascii="宋体"/>
                <w:sz w:val="24"/>
              </w:rPr>
            </w:pPr>
            <w:r>
              <w:rPr>
                <w:rFonts w:hint="eastAsia" w:ascii="宋体"/>
                <w:sz w:val="24"/>
              </w:rPr>
              <w:t>0</w:t>
            </w:r>
          </w:p>
        </w:tc>
      </w:tr>
    </w:tbl>
    <w:p>
      <w:pPr>
        <w:pStyle w:val="2"/>
        <w:ind w:left="420" w:leftChars="200"/>
      </w:pPr>
    </w:p>
    <w:p>
      <w:pPr>
        <w:pStyle w:val="2"/>
        <w:ind w:left="420" w:leftChars="200"/>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四、政府信息公开行政复议、行政诉讼情况</w:t>
      </w:r>
    </w:p>
    <w:p>
      <w:pPr>
        <w:widowControl/>
        <w:jc w:val="center"/>
      </w:pPr>
    </w:p>
    <w:tbl>
      <w:tblPr>
        <w:tblStyle w:val="9"/>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jc w:val="center"/>
            </w:pPr>
            <w:r>
              <w:rPr>
                <w:rFonts w:hint="eastAsia" w:ascii="宋体" w:hAnsi="宋体" w:cs="宋体"/>
                <w:kern w:val="0"/>
                <w:sz w:val="20"/>
                <w:szCs w:val="20"/>
                <w:lang w:bidi="ar"/>
              </w:rPr>
              <w:t>行政复议</w:t>
            </w:r>
          </w:p>
        </w:tc>
        <w:tc>
          <w:tcPr>
            <w:tcW w:w="6428" w:type="dxa"/>
            <w:gridSpan w:val="10"/>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jc w:val="center"/>
            </w:pPr>
            <w:r>
              <w:rPr>
                <w:rFonts w:hint="eastAsia" w:ascii="宋体" w:hAnsi="宋体" w:cs="宋体"/>
                <w:kern w:val="0"/>
                <w:sz w:val="20"/>
                <w:szCs w:val="20"/>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结果维持</w:t>
            </w:r>
          </w:p>
        </w:tc>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总计</w:t>
            </w:r>
          </w:p>
        </w:tc>
        <w:tc>
          <w:tcPr>
            <w:tcW w:w="3213"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jc w:val="center"/>
            </w:pPr>
            <w:r>
              <w:rPr>
                <w:rFonts w:hint="eastAsia" w:ascii="宋体" w:hAnsi="宋体" w:cs="宋体"/>
                <w:kern w:val="0"/>
                <w:sz w:val="20"/>
                <w:szCs w:val="20"/>
                <w:lang w:bidi="ar"/>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jc w:val="center"/>
            </w:pPr>
            <w:r>
              <w:rPr>
                <w:rFonts w:hint="eastAsia" w:ascii="宋体" w:hAnsi="宋体" w:cs="宋体"/>
                <w:kern w:val="0"/>
                <w:sz w:val="20"/>
                <w:szCs w:val="20"/>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14" w:hRule="atLeast"/>
          <w:jc w:val="center"/>
        </w:trPr>
        <w:tc>
          <w:tcPr>
            <w:tcW w:w="642"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642"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642"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642"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642"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color w:val="000000"/>
                <w:kern w:val="0"/>
                <w:sz w:val="20"/>
                <w:szCs w:val="20"/>
                <w:lang w:bidi="ar"/>
              </w:rPr>
              <w:t>总计</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color w:val="000000"/>
                <w:kern w:val="0"/>
                <w:sz w:val="20"/>
                <w:szCs w:val="20"/>
                <w:lang w:bidi="ar"/>
              </w:rPr>
              <w:t>其他</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结果</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color w:val="000000"/>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ascii="黑体" w:hAnsi="宋体" w:eastAsia="黑体" w:cs="黑体"/>
                <w:kern w:val="0"/>
                <w:sz w:val="20"/>
                <w:szCs w:val="20"/>
                <w:lang w:bidi="ar"/>
              </w:rPr>
              <w:t> </w:t>
            </w:r>
            <w:r>
              <w:rPr>
                <w:rFonts w:hint="eastAsia" w:ascii="黑体" w:hAnsi="宋体" w:eastAsia="黑体" w:cs="黑体"/>
                <w:kern w:val="0"/>
                <w:sz w:val="20"/>
                <w:szCs w:val="20"/>
                <w:lang w:bidi="ar"/>
              </w:rPr>
              <w:t>0</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ascii="黑体" w:hAnsi="宋体" w:eastAsia="黑体" w:cs="黑体"/>
                <w:kern w:val="0"/>
                <w:sz w:val="20"/>
                <w:szCs w:val="20"/>
                <w:lang w:bidi="ar"/>
              </w:rPr>
              <w:t> </w:t>
            </w:r>
            <w:r>
              <w:rPr>
                <w:rFonts w:hint="eastAsia" w:ascii="黑体" w:hAnsi="宋体" w:eastAsia="黑体" w:cs="黑体"/>
                <w:kern w:val="0"/>
                <w:sz w:val="20"/>
                <w:szCs w:val="20"/>
                <w:lang w:bidi="ar"/>
              </w:rPr>
              <w:t>0</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ascii="黑体" w:hAnsi="宋体" w:eastAsia="黑体" w:cs="黑体"/>
                <w:kern w:val="0"/>
                <w:sz w:val="20"/>
                <w:szCs w:val="20"/>
                <w:lang w:bidi="ar"/>
              </w:rPr>
              <w:t> </w:t>
            </w:r>
            <w:r>
              <w:rPr>
                <w:rFonts w:hint="eastAsia" w:ascii="黑体" w:hAnsi="宋体" w:eastAsia="黑体" w:cs="黑体"/>
                <w:kern w:val="0"/>
                <w:sz w:val="20"/>
                <w:szCs w:val="20"/>
                <w:lang w:bidi="ar"/>
              </w:rPr>
              <w:t>0</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ascii="黑体" w:hAnsi="宋体" w:eastAsia="黑体" w:cs="黑体"/>
                <w:kern w:val="0"/>
                <w:sz w:val="20"/>
                <w:szCs w:val="20"/>
                <w:lang w:bidi="ar"/>
              </w:rPr>
              <w:t> </w:t>
            </w:r>
            <w:r>
              <w:rPr>
                <w:rFonts w:hint="eastAsia" w:ascii="黑体" w:hAnsi="宋体" w:eastAsia="黑体" w:cs="黑体"/>
                <w:kern w:val="0"/>
                <w:sz w:val="20"/>
                <w:szCs w:val="20"/>
                <w:lang w:bidi="ar"/>
              </w:rPr>
              <w:t>0</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ascii="黑体" w:hAnsi="宋体" w:eastAsia="黑体" w:cs="黑体"/>
                <w:kern w:val="0"/>
                <w:sz w:val="20"/>
                <w:szCs w:val="20"/>
                <w:lang w:bidi="ar"/>
              </w:rPr>
              <w:t> </w:t>
            </w:r>
            <w:r>
              <w:rPr>
                <w:rFonts w:hint="eastAsia" w:ascii="黑体" w:hAnsi="宋体" w:eastAsia="黑体" w:cs="黑体"/>
                <w:kern w:val="0"/>
                <w:sz w:val="20"/>
                <w:szCs w:val="20"/>
                <w:lang w:bidi="ar"/>
              </w:rPr>
              <w:t>0</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ascii="黑体" w:hAnsi="宋体" w:eastAsia="黑体" w:cs="黑体"/>
                <w:kern w:val="0"/>
                <w:sz w:val="20"/>
                <w:szCs w:val="20"/>
                <w:lang w:bidi="ar"/>
              </w:rPr>
              <w:t> </w:t>
            </w:r>
            <w:r>
              <w:rPr>
                <w:rFonts w:hint="eastAsia" w:ascii="黑体" w:hAnsi="宋体" w:eastAsia="黑体" w:cs="黑体"/>
                <w:kern w:val="0"/>
                <w:sz w:val="20"/>
                <w:szCs w:val="20"/>
                <w:lang w:bidi="ar"/>
              </w:rPr>
              <w:t>0</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ascii="黑体" w:hAnsi="宋体" w:eastAsia="黑体" w:cs="黑体"/>
                <w:kern w:val="0"/>
                <w:sz w:val="20"/>
                <w:szCs w:val="20"/>
                <w:lang w:bidi="ar"/>
              </w:rPr>
              <w:t> </w:t>
            </w:r>
            <w:r>
              <w:rPr>
                <w:rFonts w:hint="eastAsia" w:ascii="黑体" w:hAnsi="宋体" w:eastAsia="黑体" w:cs="黑体"/>
                <w:kern w:val="0"/>
                <w:sz w:val="20"/>
                <w:szCs w:val="20"/>
                <w:lang w:bidi="ar"/>
              </w:rPr>
              <w:t>0</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ascii="黑体" w:hAnsi="宋体" w:eastAsia="黑体" w:cs="黑体"/>
                <w:kern w:val="0"/>
                <w:sz w:val="20"/>
                <w:szCs w:val="20"/>
                <w:lang w:bidi="ar"/>
              </w:rPr>
              <w:t> </w:t>
            </w:r>
            <w:r>
              <w:rPr>
                <w:rFonts w:hint="eastAsia" w:ascii="黑体" w:hAnsi="宋体" w:eastAsia="黑体" w:cs="黑体"/>
                <w:kern w:val="0"/>
                <w:sz w:val="20"/>
                <w:szCs w:val="20"/>
                <w:lang w:bidi="ar"/>
              </w:rPr>
              <w:t>0</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ascii="黑体" w:hAnsi="宋体" w:eastAsia="黑体" w:cs="黑体"/>
                <w:kern w:val="0"/>
                <w:sz w:val="20"/>
                <w:szCs w:val="20"/>
                <w:lang w:bidi="ar"/>
              </w:rPr>
              <w:t> </w:t>
            </w:r>
            <w:r>
              <w:rPr>
                <w:rFonts w:hint="eastAsia" w:ascii="黑体" w:hAnsi="宋体" w:eastAsia="黑体" w:cs="黑体"/>
                <w:kern w:val="0"/>
                <w:sz w:val="20"/>
                <w:szCs w:val="20"/>
                <w:lang w:bidi="ar"/>
              </w:rPr>
              <w:t>0</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ascii="黑体" w:hAnsi="宋体" w:eastAsia="黑体" w:cs="黑体"/>
                <w:kern w:val="0"/>
                <w:sz w:val="20"/>
                <w:szCs w:val="20"/>
                <w:lang w:bidi="ar"/>
              </w:rPr>
              <w:t> </w:t>
            </w:r>
            <w:r>
              <w:rPr>
                <w:rFonts w:hint="eastAsia" w:ascii="黑体" w:hAnsi="宋体" w:eastAsia="黑体" w:cs="黑体"/>
                <w:kern w:val="0"/>
                <w:sz w:val="20"/>
                <w:szCs w:val="20"/>
                <w:lang w:bidi="ar"/>
              </w:rPr>
              <w:t>0</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ascii="黑体" w:hAnsi="宋体" w:eastAsia="黑体" w:cs="黑体"/>
                <w:kern w:val="0"/>
                <w:sz w:val="20"/>
                <w:szCs w:val="20"/>
                <w:lang w:bidi="ar"/>
              </w:rPr>
              <w:t> </w:t>
            </w:r>
            <w:r>
              <w:rPr>
                <w:rFonts w:hint="eastAsia" w:ascii="黑体" w:hAnsi="宋体" w:eastAsia="黑体" w:cs="黑体"/>
                <w:kern w:val="0"/>
                <w:sz w:val="20"/>
                <w:szCs w:val="20"/>
                <w:lang w:bidi="ar"/>
              </w:rPr>
              <w:t>0</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ascii="黑体" w:hAnsi="宋体" w:eastAsia="黑体" w:cs="黑体"/>
                <w:kern w:val="0"/>
                <w:sz w:val="20"/>
                <w:szCs w:val="20"/>
                <w:lang w:bidi="ar"/>
              </w:rPr>
              <w:t> </w:t>
            </w:r>
            <w:r>
              <w:rPr>
                <w:rFonts w:hint="eastAsia" w:ascii="黑体" w:hAnsi="宋体" w:eastAsia="黑体" w:cs="黑体"/>
                <w:kern w:val="0"/>
                <w:sz w:val="20"/>
                <w:szCs w:val="20"/>
                <w:lang w:bidi="ar"/>
              </w:rPr>
              <w:t>0</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ascii="黑体" w:hAnsi="宋体" w:eastAsia="黑体" w:cs="黑体"/>
                <w:kern w:val="0"/>
                <w:sz w:val="20"/>
                <w:szCs w:val="20"/>
                <w:lang w:bidi="ar"/>
              </w:rPr>
              <w:t> </w:t>
            </w:r>
            <w:r>
              <w:rPr>
                <w:rFonts w:hint="eastAsia" w:ascii="黑体" w:hAnsi="宋体" w:eastAsia="黑体" w:cs="黑体"/>
                <w:kern w:val="0"/>
                <w:sz w:val="20"/>
                <w:szCs w:val="20"/>
                <w:lang w:bidi="ar"/>
              </w:rPr>
              <w:t>0</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ascii="黑体" w:hAnsi="宋体" w:eastAsia="黑体" w:cs="黑体"/>
                <w:kern w:val="0"/>
                <w:sz w:val="20"/>
                <w:szCs w:val="20"/>
                <w:lang w:bidi="ar"/>
              </w:rPr>
              <w:t> </w:t>
            </w:r>
            <w:r>
              <w:rPr>
                <w:rFonts w:hint="eastAsia" w:ascii="黑体" w:hAnsi="宋体" w:eastAsia="黑体" w:cs="黑体"/>
                <w:kern w:val="0"/>
                <w:sz w:val="20"/>
                <w:szCs w:val="20"/>
                <w:lang w:bidi="ar"/>
              </w:rPr>
              <w:t>0</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宋体"/>
                <w:sz w:val="24"/>
              </w:rPr>
            </w:pPr>
            <w:r>
              <w:rPr>
                <w:rFonts w:ascii="黑体" w:hAnsi="宋体" w:eastAsia="黑体" w:cs="黑体"/>
                <w:kern w:val="0"/>
                <w:sz w:val="20"/>
                <w:szCs w:val="20"/>
                <w:lang w:bidi="ar"/>
              </w:rPr>
              <w:t> </w:t>
            </w:r>
            <w:r>
              <w:rPr>
                <w:rFonts w:hint="eastAsia" w:ascii="黑体" w:hAnsi="宋体" w:eastAsia="黑体" w:cs="黑体"/>
                <w:kern w:val="0"/>
                <w:sz w:val="20"/>
                <w:szCs w:val="20"/>
                <w:lang w:bidi="ar"/>
              </w:rPr>
              <w:t>0</w:t>
            </w:r>
          </w:p>
        </w:tc>
      </w:tr>
    </w:tbl>
    <w:p>
      <w:pPr>
        <w:widowControl/>
        <w:jc w:val="left"/>
      </w:pPr>
    </w:p>
    <w:p>
      <w:pPr>
        <w:widowControl/>
        <w:spacing w:line="560" w:lineRule="exact"/>
        <w:ind w:firstLine="672" w:firstLineChars="200"/>
        <w:jc w:val="left"/>
        <w:rPr>
          <w:rFonts w:ascii="宋体" w:hAnsi="宋体" w:cs="宋体"/>
          <w:spacing w:val="8"/>
          <w:kern w:val="0"/>
          <w:sz w:val="24"/>
        </w:rPr>
      </w:pPr>
      <w:r>
        <w:rPr>
          <w:rFonts w:ascii="黑体" w:hAnsi="黑体" w:eastAsia="黑体" w:cs="宋体"/>
          <w:spacing w:val="8"/>
          <w:kern w:val="0"/>
          <w:sz w:val="32"/>
          <w:szCs w:val="32"/>
        </w:rPr>
        <w:t>五、存在的主要问题及改进情况</w:t>
      </w:r>
    </w:p>
    <w:p>
      <w:pPr>
        <w:pStyle w:val="2"/>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年度局队政府信息公开工作取得了一定成绩，但是与当前北京城市副中心高质量发展要求还存在一定距离，个别信息内容不够鲜活、站位不够高，信息公开的质量还有待提升，数据发布形式仍需进一步创新、新媒体服务产品还可进一步丰富。2022年，局队将进一步加强政府信息公开工作的教育培训工作，着力提高机关工作人员的思想认识和能力水平，加强信息内容的提炼和升华，全面推动政府信息工作纵深发展，更便利地服务社会公众。</w:t>
      </w:r>
    </w:p>
    <w:p>
      <w:pPr>
        <w:widowControl/>
        <w:numPr>
          <w:ilvl w:val="0"/>
          <w:numId w:val="1"/>
        </w:numPr>
        <w:spacing w:line="560" w:lineRule="exact"/>
        <w:ind w:firstLine="675"/>
        <w:jc w:val="left"/>
        <w:rPr>
          <w:rFonts w:ascii="黑体" w:hAnsi="黑体" w:eastAsia="黑体" w:cs="宋体"/>
          <w:spacing w:val="8"/>
          <w:kern w:val="0"/>
          <w:sz w:val="32"/>
          <w:szCs w:val="32"/>
        </w:rPr>
      </w:pPr>
      <w:r>
        <w:rPr>
          <w:rFonts w:ascii="黑体" w:hAnsi="黑体" w:eastAsia="黑体" w:cs="宋体"/>
          <w:spacing w:val="8"/>
          <w:kern w:val="0"/>
          <w:sz w:val="32"/>
          <w:szCs w:val="32"/>
        </w:rPr>
        <w:t>其他需要报告的事项</w:t>
      </w:r>
    </w:p>
    <w:p>
      <w:pPr>
        <w:pStyle w:val="2"/>
        <w:ind w:firstLine="640" w:firstLineChars="200"/>
      </w:pPr>
      <w:r>
        <w:rPr>
          <w:rFonts w:hint="eastAsia" w:ascii="仿宋_GB2312" w:hAnsi="仿宋_GB2312" w:eastAsia="仿宋_GB2312" w:cs="仿宋_GB2312"/>
          <w:color w:val="000000"/>
          <w:sz w:val="32"/>
          <w:szCs w:val="32"/>
        </w:rPr>
        <w:t>依据《政府信息公开信息处理费管理办法》收取信息处理费的情况，在此处专门报告。</w:t>
      </w:r>
      <w:r>
        <w:rPr>
          <w:rFonts w:hint="eastAsia" w:ascii="仿宋_GB2312" w:hAnsi="仿宋_GB2312" w:eastAsia="仿宋_GB2312" w:cs="仿宋_GB2312"/>
          <w:color w:val="000000"/>
          <w:sz w:val="32"/>
          <w:szCs w:val="32"/>
          <w:lang w:val="en"/>
        </w:rPr>
        <w:t>一是发出收费通知的件数和总金额为</w:t>
      </w:r>
      <w:r>
        <w:rPr>
          <w:rFonts w:hint="eastAsia"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lang w:val="en"/>
        </w:rPr>
        <w:t>，二是实际收取的总金额为</w:t>
      </w:r>
      <w:r>
        <w:rPr>
          <w:rFonts w:hint="eastAsia"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lang w:val="en"/>
        </w:rPr>
        <w:t>。</w:t>
      </w:r>
    </w:p>
    <w:p>
      <w:pPr>
        <w:widowControl/>
        <w:spacing w:line="560" w:lineRule="exact"/>
        <w:jc w:val="left"/>
        <w:rPr>
          <w:rFonts w:ascii="仿宋_GB2312" w:hAnsi="宋体" w:eastAsia="仿宋_GB2312" w:cs="宋体"/>
          <w:color w:val="9BC2E6"/>
          <w:spacing w:val="8"/>
          <w:kern w:val="0"/>
          <w:sz w:val="32"/>
          <w:szCs w:val="32"/>
        </w:rPr>
      </w:pPr>
      <w:r>
        <w:rPr>
          <w:rFonts w:ascii="宋体" w:hAnsi="宋体" w:cs="宋体"/>
          <w:spacing w:val="8"/>
          <w:kern w:val="0"/>
          <w:sz w:val="32"/>
          <w:szCs w:val="32"/>
        </w:rPr>
        <w:t>　　</w:t>
      </w:r>
      <w:r>
        <w:rPr>
          <w:rFonts w:hint="eastAsia" w:ascii="仿宋_GB2312" w:hAnsi="仿宋_GB2312" w:eastAsia="仿宋_GB2312" w:cs="仿宋_GB2312"/>
          <w:sz w:val="32"/>
          <w:szCs w:val="32"/>
        </w:rPr>
        <w:t>北京市通州区人民政府网站网址为http://www.bjtzh.gov.cn/,如需了解更多政府信息，请登录查询。</w:t>
      </w:r>
    </w:p>
    <w:p/>
    <w:p/>
    <w:p/>
    <w:p>
      <w:pPr>
        <w:pStyle w:val="2"/>
      </w:pPr>
    </w:p>
    <w:p>
      <w:pPr>
        <w:pStyle w:val="2"/>
      </w:pPr>
    </w:p>
    <w:p>
      <w:pPr>
        <w:pStyle w:val="2"/>
      </w:pPr>
    </w:p>
    <w:p>
      <w:pPr>
        <w:pStyle w:val="2"/>
      </w:pPr>
    </w:p>
    <w:p>
      <w:pPr>
        <w:pStyle w:val="2"/>
      </w:pPr>
    </w:p>
    <w:p>
      <w:pPr>
        <w:pStyle w:val="2"/>
      </w:pPr>
    </w:p>
    <w:p>
      <w:pPr>
        <w:pStyle w:val="2"/>
      </w:pPr>
    </w:p>
    <w:p>
      <w:pPr>
        <w:pStyle w:val="2"/>
      </w:pPr>
    </w:p>
    <w:p>
      <w:pPr>
        <w:adjustRightInd w:val="0"/>
        <w:snapToGrid w:val="0"/>
        <w:spacing w:line="560" w:lineRule="exact"/>
        <w:rPr>
          <w:rFonts w:ascii="仿宋_GB2312" w:hAnsi="仿宋_GB2312" w:eastAsia="仿宋_GB2312" w:cs="仿宋_GB2312"/>
          <w:sz w:val="32"/>
          <w:szCs w:val="32"/>
        </w:rPr>
      </w:pPr>
      <w:bookmarkStart w:id="0" w:name="_GoBack"/>
      <w:bookmarkEnd w:id="0"/>
    </w:p>
    <w:sectPr>
      <w:footerReference r:id="rId3"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08EA9C"/>
    <w:multiLevelType w:val="singleLevel"/>
    <w:tmpl w:val="0E08EA9C"/>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255B57"/>
    <w:rsid w:val="00200F7F"/>
    <w:rsid w:val="00464028"/>
    <w:rsid w:val="00A10B4D"/>
    <w:rsid w:val="010F5CB0"/>
    <w:rsid w:val="020E7372"/>
    <w:rsid w:val="037D5E10"/>
    <w:rsid w:val="03B71E3C"/>
    <w:rsid w:val="04D1276B"/>
    <w:rsid w:val="07F813C7"/>
    <w:rsid w:val="0A826F96"/>
    <w:rsid w:val="0CBB1A54"/>
    <w:rsid w:val="0E7E0858"/>
    <w:rsid w:val="14470F9D"/>
    <w:rsid w:val="14A17984"/>
    <w:rsid w:val="157214B0"/>
    <w:rsid w:val="16D943ED"/>
    <w:rsid w:val="17217E52"/>
    <w:rsid w:val="19D73DAC"/>
    <w:rsid w:val="1E3F1448"/>
    <w:rsid w:val="1F1D44C4"/>
    <w:rsid w:val="247B746E"/>
    <w:rsid w:val="256446AD"/>
    <w:rsid w:val="27470A1C"/>
    <w:rsid w:val="29AE54B9"/>
    <w:rsid w:val="2CA6446F"/>
    <w:rsid w:val="2CEB6771"/>
    <w:rsid w:val="2EF6189F"/>
    <w:rsid w:val="30FB3D2A"/>
    <w:rsid w:val="32F87D28"/>
    <w:rsid w:val="38780662"/>
    <w:rsid w:val="3D255B57"/>
    <w:rsid w:val="3FB74917"/>
    <w:rsid w:val="425B2749"/>
    <w:rsid w:val="44117DA3"/>
    <w:rsid w:val="44266623"/>
    <w:rsid w:val="4C074CEF"/>
    <w:rsid w:val="4D1D4114"/>
    <w:rsid w:val="4E6C0C17"/>
    <w:rsid w:val="53350B0D"/>
    <w:rsid w:val="54945422"/>
    <w:rsid w:val="558F7F2F"/>
    <w:rsid w:val="55CC51C1"/>
    <w:rsid w:val="575437DF"/>
    <w:rsid w:val="5AFA3E4F"/>
    <w:rsid w:val="5B7B3CC8"/>
    <w:rsid w:val="5D7A42DF"/>
    <w:rsid w:val="5DA9301B"/>
    <w:rsid w:val="5DED1905"/>
    <w:rsid w:val="5E282F0F"/>
    <w:rsid w:val="5E7231FE"/>
    <w:rsid w:val="5F46224E"/>
    <w:rsid w:val="62AD78B3"/>
    <w:rsid w:val="65A63F93"/>
    <w:rsid w:val="666138CB"/>
    <w:rsid w:val="68B639C3"/>
    <w:rsid w:val="6CEB6ECC"/>
    <w:rsid w:val="74064D96"/>
    <w:rsid w:val="780218A6"/>
    <w:rsid w:val="7BE92A89"/>
    <w:rsid w:val="7C6402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annotation text"/>
    <w:basedOn w:val="1"/>
    <w:link w:val="13"/>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7">
    <w:name w:val="Normal (Web)"/>
    <w:basedOn w:val="1"/>
    <w:unhideWhenUsed/>
    <w:qFormat/>
    <w:uiPriority w:val="99"/>
    <w:pPr>
      <w:widowControl/>
      <w:spacing w:before="100" w:beforeAutospacing="1" w:after="100" w:afterAutospacing="1"/>
      <w:jc w:val="left"/>
    </w:pPr>
    <w:rPr>
      <w:rFonts w:hint="eastAsia" w:ascii="宋体" w:hAnsi="宋体" w:cs="宋体"/>
      <w:color w:val="000000"/>
      <w:kern w:val="0"/>
      <w:sz w:val="24"/>
    </w:rPr>
  </w:style>
  <w:style w:type="paragraph" w:styleId="8">
    <w:name w:val="annotation subject"/>
    <w:basedOn w:val="3"/>
    <w:next w:val="3"/>
    <w:link w:val="14"/>
    <w:qFormat/>
    <w:uiPriority w:val="0"/>
    <w:rPr>
      <w:b/>
      <w:bCs/>
    </w:rPr>
  </w:style>
  <w:style w:type="character" w:styleId="11">
    <w:name w:val="Hyperlink"/>
    <w:basedOn w:val="10"/>
    <w:qFormat/>
    <w:uiPriority w:val="0"/>
    <w:rPr>
      <w:color w:val="000000"/>
      <w:u w:val="none"/>
    </w:rPr>
  </w:style>
  <w:style w:type="character" w:styleId="12">
    <w:name w:val="annotation reference"/>
    <w:basedOn w:val="10"/>
    <w:uiPriority w:val="0"/>
    <w:rPr>
      <w:sz w:val="21"/>
      <w:szCs w:val="21"/>
    </w:rPr>
  </w:style>
  <w:style w:type="character" w:customStyle="1" w:styleId="13">
    <w:name w:val="批注文字 字符"/>
    <w:basedOn w:val="10"/>
    <w:link w:val="3"/>
    <w:uiPriority w:val="0"/>
    <w:rPr>
      <w:rFonts w:ascii="Calibri" w:hAnsi="Calibri"/>
      <w:kern w:val="2"/>
      <w:sz w:val="21"/>
      <w:szCs w:val="24"/>
    </w:rPr>
  </w:style>
  <w:style w:type="character" w:customStyle="1" w:styleId="14">
    <w:name w:val="批注主题 字符"/>
    <w:basedOn w:val="13"/>
    <w:link w:val="8"/>
    <w:uiPriority w:val="0"/>
    <w:rPr>
      <w:rFonts w:ascii="Calibri" w:hAnsi="Calibri"/>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330</Words>
  <Characters>1884</Characters>
  <Lines>15</Lines>
  <Paragraphs>4</Paragraphs>
  <TotalTime>3</TotalTime>
  <ScaleCrop>false</ScaleCrop>
  <LinksUpToDate>false</LinksUpToDate>
  <CharactersWithSpaces>2210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2019-12-09T05:53:00Z</dcterms:created>
  <dc:creator>一米阳光66</dc:creator>
  <cp:lastModifiedBy>Administrator</cp:lastModifiedBy>
  <cp:lastPrinted>2019-12-12T01:52:00Z</cp:lastPrinted>
  <dcterms:modified xsi:type="dcterms:W3CDTF">2022-01-06T09:19:48Z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4B2767E7225C4DC38A6A9A99C0F02284</vt:lpwstr>
  </property>
</Properties>
</file>