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中央生态环境保护督察整改情况公示表</w:t>
      </w:r>
    </w:p>
    <w:p>
      <w:pPr>
        <w:spacing w:line="56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w:t>
      </w:r>
      <w:r>
        <w:rPr>
          <w:rFonts w:hint="eastAsia" w:ascii="仿宋_GB2312" w:eastAsia="仿宋_GB2312"/>
          <w:sz w:val="28"/>
          <w:szCs w:val="28"/>
        </w:rPr>
        <w:t>通州区</w:t>
      </w:r>
      <w:r>
        <w:rPr>
          <w:rFonts w:hint="eastAsia" w:ascii="仿宋_GB2312" w:hAnsi="Times New Roman" w:eastAsia="仿宋_GB2312"/>
          <w:sz w:val="28"/>
          <w:szCs w:val="28"/>
        </w:rPr>
        <w:t>）</w:t>
      </w:r>
    </w:p>
    <w:p/>
    <w:tbl>
      <w:tblPr>
        <w:tblStyle w:val="8"/>
        <w:tblW w:w="849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2074"/>
        <w:gridCol w:w="1389"/>
        <w:gridCol w:w="503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7" w:hRule="atLeast"/>
          <w:jc w:val="center"/>
        </w:trPr>
        <w:tc>
          <w:tcPr>
            <w:tcW w:w="2074" w:type="dxa"/>
            <w:vMerge w:val="restart"/>
            <w:tcBorders>
              <w:top w:val="single" w:color="auto" w:sz="8" w:space="0"/>
              <w:left w:val="single" w:color="auto" w:sz="8" w:space="0"/>
              <w:right w:val="single" w:color="auto" w:sz="8" w:space="0"/>
            </w:tcBorders>
            <w:noWrap w:val="0"/>
            <w:tcMar>
              <w:left w:w="108" w:type="dxa"/>
              <w:right w:w="108" w:type="dxa"/>
            </w:tcMar>
            <w:vAlign w:val="center"/>
          </w:tcPr>
          <w:p>
            <w:pPr>
              <w:snapToGrid w:val="0"/>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信访问题</w:t>
            </w:r>
          </w:p>
        </w:tc>
        <w:tc>
          <w:tcPr>
            <w:tcW w:w="1389" w:type="dxa"/>
            <w:tcBorders>
              <w:top w:val="single" w:color="auto" w:sz="8" w:space="0"/>
              <w:left w:val="nil"/>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lang w:eastAsia="zh-CN"/>
              </w:rPr>
              <w:t>信访</w:t>
            </w:r>
            <w:r>
              <w:rPr>
                <w:rFonts w:hint="eastAsia" w:ascii="黑体" w:hAnsi="黑体" w:eastAsia="黑体" w:cs="黑体"/>
                <w:sz w:val="28"/>
                <w:szCs w:val="28"/>
              </w:rPr>
              <w:t>编号</w:t>
            </w:r>
          </w:p>
        </w:tc>
        <w:tc>
          <w:tcPr>
            <w:tcW w:w="5035" w:type="dxa"/>
            <w:tcBorders>
              <w:top w:val="single" w:color="auto" w:sz="8" w:space="0"/>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X2BJ202009230033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730" w:hRule="atLeast"/>
          <w:jc w:val="center"/>
        </w:trPr>
        <w:tc>
          <w:tcPr>
            <w:tcW w:w="2074"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center"/>
              <w:rPr>
                <w:rFonts w:ascii="黑体" w:hAnsi="黑体" w:eastAsia="黑体" w:cs="黑体"/>
                <w:sz w:val="22"/>
                <w:szCs w:val="28"/>
              </w:rPr>
            </w:pPr>
          </w:p>
        </w:tc>
        <w:tc>
          <w:tcPr>
            <w:tcW w:w="1389" w:type="dxa"/>
            <w:tcBorders>
              <w:top w:val="single" w:color="auto" w:sz="8" w:space="0"/>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center"/>
              <w:rPr>
                <w:rFonts w:ascii="黑体" w:hAnsi="黑体" w:eastAsia="黑体" w:cs="黑体"/>
                <w:sz w:val="22"/>
                <w:szCs w:val="28"/>
              </w:rPr>
            </w:pPr>
            <w:r>
              <w:rPr>
                <w:rFonts w:hint="eastAsia" w:ascii="黑体" w:hAnsi="黑体" w:eastAsia="黑体" w:cs="黑体"/>
                <w:sz w:val="28"/>
                <w:szCs w:val="28"/>
              </w:rPr>
              <w:t>问题概述</w:t>
            </w:r>
          </w:p>
        </w:tc>
        <w:tc>
          <w:tcPr>
            <w:tcW w:w="5035" w:type="dxa"/>
            <w:tcBorders>
              <w:top w:val="single" w:color="auto" w:sz="8" w:space="0"/>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通州区榆景苑一区小区污水直排，居民生活污水在小区地下长久积存，导致小区夏天蚊虫滋生，臭气满院，严重影响居民居住环境。小区管理人员定期将污水用水泵往院外排放。</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64" w:hRule="atLeast"/>
          <w:jc w:val="center"/>
        </w:trPr>
        <w:tc>
          <w:tcPr>
            <w:tcW w:w="2074" w:type="dxa"/>
            <w:tcBorders>
              <w:top w:val="nil"/>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rPr>
              <w:t>责任单位</w:t>
            </w:r>
          </w:p>
        </w:tc>
        <w:tc>
          <w:tcPr>
            <w:tcW w:w="6424" w:type="dxa"/>
            <w:gridSpan w:val="2"/>
            <w:tcBorders>
              <w:top w:val="nil"/>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永顺镇、区住房城乡建设委、区水务局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35" w:hRule="atLeast"/>
          <w:jc w:val="center"/>
        </w:trPr>
        <w:tc>
          <w:tcPr>
            <w:tcW w:w="2074" w:type="dxa"/>
            <w:tcBorders>
              <w:top w:val="nil"/>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rPr>
              <w:t>整改目标</w:t>
            </w:r>
          </w:p>
        </w:tc>
        <w:tc>
          <w:tcPr>
            <w:tcW w:w="6424" w:type="dxa"/>
            <w:gridSpan w:val="2"/>
            <w:tcBorders>
              <w:top w:val="nil"/>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协调小区业主出资自行接入市政管线。</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31" w:hRule="atLeast"/>
          <w:jc w:val="center"/>
        </w:trPr>
        <w:tc>
          <w:tcPr>
            <w:tcW w:w="2074" w:type="dxa"/>
            <w:tcBorders>
              <w:top w:val="nil"/>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rPr>
              <w:t>整改措施</w:t>
            </w:r>
          </w:p>
        </w:tc>
        <w:tc>
          <w:tcPr>
            <w:tcW w:w="6424"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val="0"/>
              <w:numPr>
                <w:ilvl w:val="0"/>
                <w:numId w:val="0"/>
              </w:numPr>
              <w:kinsoku/>
              <w:wordWrap/>
              <w:overflowPunct w:val="0"/>
              <w:topLinePunct/>
              <w:autoSpaceDE/>
              <w:autoSpaceDN/>
              <w:bidi w:val="0"/>
              <w:adjustRightInd/>
              <w:snapToGrid/>
              <w:spacing w:beforeAutospacing="0" w:afterAutospacing="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榆景苑高档独栋别墅区外部市政配套管线可以满足小区居民污水、雨水排放需求，故协调小区业主自行出资接入市政管线。</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573" w:hRule="atLeast"/>
          <w:jc w:val="center"/>
        </w:trPr>
        <w:tc>
          <w:tcPr>
            <w:tcW w:w="207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rPr>
              <w:t>整改主要工作</w:t>
            </w:r>
          </w:p>
          <w:p>
            <w:pPr>
              <w:snapToGrid w:val="0"/>
              <w:jc w:val="center"/>
              <w:rPr>
                <w:rFonts w:ascii="黑体" w:hAnsi="黑体" w:eastAsia="黑体" w:cs="黑体"/>
                <w:sz w:val="28"/>
                <w:szCs w:val="28"/>
              </w:rPr>
            </w:pPr>
            <w:r>
              <w:rPr>
                <w:rFonts w:hint="eastAsia" w:ascii="黑体" w:hAnsi="黑体" w:eastAsia="黑体" w:cs="黑体"/>
                <w:sz w:val="28"/>
                <w:szCs w:val="28"/>
              </w:rPr>
              <w:t>及成效</w:t>
            </w:r>
          </w:p>
        </w:tc>
        <w:tc>
          <w:tcPr>
            <w:tcW w:w="6424"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val="0"/>
              <w:numPr>
                <w:ilvl w:val="0"/>
                <w:numId w:val="0"/>
              </w:numPr>
              <w:kinsoku/>
              <w:wordWrap/>
              <w:overflowPunct w:val="0"/>
              <w:topLinePunct/>
              <w:autoSpaceDE/>
              <w:autoSpaceDN/>
              <w:bidi w:val="0"/>
              <w:adjustRightInd/>
              <w:snapToGrid/>
              <w:spacing w:beforeAutospacing="0" w:afterAutospacing="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榆景苑高档独栋别墅区外部市政配套管线可以满足小区居民污水、雨水排放需求，只需要小区业主就出资问题达成一致意见即可进行市政改造接入市政管线，该案件已办结。</w:t>
            </w:r>
          </w:p>
          <w:p>
            <w:pPr>
              <w:keepNext w:val="0"/>
              <w:keepLines w:val="0"/>
              <w:pageBreakBefore w:val="0"/>
              <w:widowControl w:val="0"/>
              <w:numPr>
                <w:ilvl w:val="0"/>
                <w:numId w:val="0"/>
              </w:numPr>
              <w:kinsoku/>
              <w:wordWrap/>
              <w:overflowPunct w:val="0"/>
              <w:topLinePunct/>
              <w:autoSpaceDE/>
              <w:autoSpaceDN/>
              <w:bidi w:val="0"/>
              <w:adjustRightInd/>
              <w:snapToGrid/>
              <w:spacing w:beforeAutospacing="0" w:afterAutospacing="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为了帮助小区居民使用市政设施，永顺镇多次召开协调会，主动向区级部门发函，帮助小区业主推进前期施工手续和出资问题。现榆景苑小区持有69栋产权的最大业主北京桓丰苑投资管理有限公司主动担当，自筹资金，先行垫资，在榆纪路对小区外自来水、污水管网进行施工铺设，施工已完毕。目前，已解决小区污水、自来水存在安全隐患的问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66" w:hRule="atLeast"/>
          <w:jc w:val="center"/>
        </w:trPr>
        <w:tc>
          <w:tcPr>
            <w:tcW w:w="207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rPr>
              <w:t>整改时间</w:t>
            </w:r>
          </w:p>
        </w:tc>
        <w:tc>
          <w:tcPr>
            <w:tcW w:w="6424"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center"/>
              <w:rPr>
                <w:rFonts w:hint="eastAsia" w:ascii="仿宋_GB2312" w:hAnsi="仿宋_GB2312" w:eastAsia="仿宋_GB2312" w:cs="仿宋_GB2312"/>
                <w:color w:val="595959"/>
                <w:kern w:val="0"/>
                <w:sz w:val="24"/>
                <w:szCs w:val="24"/>
              </w:rPr>
            </w:pPr>
            <w:r>
              <w:rPr>
                <w:rFonts w:hint="eastAsia" w:ascii="仿宋_GB2312" w:hAnsi="仿宋_GB2312" w:eastAsia="仿宋_GB2312" w:cs="仿宋_GB2312"/>
                <w:color w:val="595959"/>
                <w:kern w:val="0"/>
                <w:sz w:val="24"/>
                <w:szCs w:val="24"/>
              </w:rPr>
              <w:t>2022年7月</w:t>
            </w:r>
          </w:p>
        </w:tc>
      </w:tr>
    </w:tbl>
    <w:p>
      <w:pPr>
        <w:pStyle w:val="7"/>
      </w:pPr>
    </w:p>
    <w:p>
      <w:r>
        <w:br w:type="page"/>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中央生态环境保护督察整改情况公示表</w:t>
      </w:r>
    </w:p>
    <w:p>
      <w:pPr>
        <w:spacing w:line="56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w:t>
      </w:r>
      <w:r>
        <w:rPr>
          <w:rFonts w:hint="eastAsia" w:ascii="仿宋_GB2312" w:eastAsia="仿宋_GB2312"/>
          <w:sz w:val="28"/>
          <w:szCs w:val="28"/>
        </w:rPr>
        <w:t>通州区</w:t>
      </w:r>
      <w:r>
        <w:rPr>
          <w:rFonts w:hint="eastAsia" w:ascii="仿宋_GB2312" w:hAnsi="Times New Roman" w:eastAsia="仿宋_GB2312"/>
          <w:sz w:val="28"/>
          <w:szCs w:val="28"/>
        </w:rPr>
        <w:t>）</w:t>
      </w:r>
    </w:p>
    <w:p/>
    <w:tbl>
      <w:tblPr>
        <w:tblStyle w:val="8"/>
        <w:tblW w:w="849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2074"/>
        <w:gridCol w:w="1389"/>
        <w:gridCol w:w="503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7" w:hRule="atLeast"/>
          <w:jc w:val="center"/>
        </w:trPr>
        <w:tc>
          <w:tcPr>
            <w:tcW w:w="2074" w:type="dxa"/>
            <w:vMerge w:val="restart"/>
            <w:tcBorders>
              <w:top w:val="single" w:color="auto" w:sz="8" w:space="0"/>
              <w:left w:val="single" w:color="auto" w:sz="8" w:space="0"/>
              <w:right w:val="single" w:color="auto" w:sz="8" w:space="0"/>
            </w:tcBorders>
            <w:noWrap w:val="0"/>
            <w:tcMar>
              <w:left w:w="108" w:type="dxa"/>
              <w:right w:w="108" w:type="dxa"/>
            </w:tcMar>
            <w:vAlign w:val="center"/>
          </w:tcPr>
          <w:p>
            <w:pPr>
              <w:snapToGrid w:val="0"/>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信访问题</w:t>
            </w:r>
          </w:p>
        </w:tc>
        <w:tc>
          <w:tcPr>
            <w:tcW w:w="1389" w:type="dxa"/>
            <w:tcBorders>
              <w:top w:val="single" w:color="auto" w:sz="8" w:space="0"/>
              <w:left w:val="nil"/>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lang w:eastAsia="zh-CN"/>
              </w:rPr>
              <w:t>信访</w:t>
            </w:r>
            <w:r>
              <w:rPr>
                <w:rFonts w:hint="eastAsia" w:ascii="黑体" w:hAnsi="黑体" w:eastAsia="黑体" w:cs="黑体"/>
                <w:sz w:val="28"/>
                <w:szCs w:val="28"/>
              </w:rPr>
              <w:t>编号</w:t>
            </w:r>
          </w:p>
        </w:tc>
        <w:tc>
          <w:tcPr>
            <w:tcW w:w="5035" w:type="dxa"/>
            <w:tcBorders>
              <w:top w:val="single" w:color="auto" w:sz="8" w:space="0"/>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D2BJ202009210005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730" w:hRule="atLeast"/>
          <w:jc w:val="center"/>
        </w:trPr>
        <w:tc>
          <w:tcPr>
            <w:tcW w:w="2074"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center"/>
              <w:rPr>
                <w:rFonts w:ascii="黑体" w:hAnsi="黑体" w:eastAsia="黑体" w:cs="黑体"/>
                <w:sz w:val="22"/>
                <w:szCs w:val="28"/>
              </w:rPr>
            </w:pPr>
          </w:p>
        </w:tc>
        <w:tc>
          <w:tcPr>
            <w:tcW w:w="1389" w:type="dxa"/>
            <w:tcBorders>
              <w:top w:val="single" w:color="auto" w:sz="8" w:space="0"/>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center"/>
              <w:rPr>
                <w:rFonts w:ascii="黑体" w:hAnsi="黑体" w:eastAsia="黑体" w:cs="黑体"/>
                <w:sz w:val="22"/>
                <w:szCs w:val="28"/>
              </w:rPr>
            </w:pPr>
            <w:r>
              <w:rPr>
                <w:rFonts w:hint="eastAsia" w:ascii="黑体" w:hAnsi="黑体" w:eastAsia="黑体" w:cs="黑体"/>
                <w:sz w:val="28"/>
                <w:szCs w:val="28"/>
              </w:rPr>
              <w:t>问题概述</w:t>
            </w:r>
          </w:p>
        </w:tc>
        <w:tc>
          <w:tcPr>
            <w:tcW w:w="5035" w:type="dxa"/>
            <w:tcBorders>
              <w:top w:val="single" w:color="auto" w:sz="8" w:space="0"/>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通州区永顺镇新建卢庄村在2014年拆迁后周边环境脏乱差，未拆住户至今未进行煤改电，希望清理周边环境并对未拆住户进行煤改电。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64" w:hRule="atLeast"/>
          <w:jc w:val="center"/>
        </w:trPr>
        <w:tc>
          <w:tcPr>
            <w:tcW w:w="2074" w:type="dxa"/>
            <w:tcBorders>
              <w:top w:val="nil"/>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rPr>
              <w:t>责任单位</w:t>
            </w:r>
          </w:p>
        </w:tc>
        <w:tc>
          <w:tcPr>
            <w:tcW w:w="6424" w:type="dxa"/>
            <w:gridSpan w:val="2"/>
            <w:tcBorders>
              <w:top w:val="nil"/>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永顺镇、区农业农村局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35" w:hRule="atLeast"/>
          <w:jc w:val="center"/>
        </w:trPr>
        <w:tc>
          <w:tcPr>
            <w:tcW w:w="2074" w:type="dxa"/>
            <w:tcBorders>
              <w:top w:val="nil"/>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rPr>
              <w:t>整改目标</w:t>
            </w:r>
          </w:p>
        </w:tc>
        <w:tc>
          <w:tcPr>
            <w:tcW w:w="6424" w:type="dxa"/>
            <w:gridSpan w:val="2"/>
            <w:tcBorders>
              <w:top w:val="nil"/>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保持卢庄区域环境卫生干净整洁，确保该区域达到无煤化。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31" w:hRule="atLeast"/>
          <w:jc w:val="center"/>
        </w:trPr>
        <w:tc>
          <w:tcPr>
            <w:tcW w:w="2074" w:type="dxa"/>
            <w:tcBorders>
              <w:top w:val="nil"/>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rPr>
              <w:t>整改措施</w:t>
            </w:r>
          </w:p>
        </w:tc>
        <w:tc>
          <w:tcPr>
            <w:tcW w:w="6424" w:type="dxa"/>
            <w:gridSpan w:val="2"/>
            <w:tcBorders>
              <w:top w:val="nil"/>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聘请专业管护队加强对卢庄区域的日常巡查，发现问题立即整改。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573" w:hRule="atLeast"/>
          <w:jc w:val="center"/>
        </w:trPr>
        <w:tc>
          <w:tcPr>
            <w:tcW w:w="207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rPr>
              <w:t>整改主要工作</w:t>
            </w:r>
          </w:p>
          <w:p>
            <w:pPr>
              <w:snapToGrid w:val="0"/>
              <w:jc w:val="center"/>
              <w:rPr>
                <w:rFonts w:ascii="黑体" w:hAnsi="黑体" w:eastAsia="黑体" w:cs="黑体"/>
                <w:sz w:val="28"/>
                <w:szCs w:val="28"/>
              </w:rPr>
            </w:pPr>
            <w:r>
              <w:rPr>
                <w:rFonts w:hint="eastAsia" w:ascii="黑体" w:hAnsi="黑体" w:eastAsia="黑体" w:cs="黑体"/>
                <w:sz w:val="28"/>
                <w:szCs w:val="28"/>
              </w:rPr>
              <w:t>及成效</w:t>
            </w:r>
          </w:p>
        </w:tc>
        <w:tc>
          <w:tcPr>
            <w:tcW w:w="6424"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left"/>
              <w:rPr>
                <w:rFonts w:hint="eastAsia" w:ascii="仿宋_GB2312" w:hAnsi="仿宋_GB2312" w:eastAsia="仿宋_GB2312" w:cs="仿宋_GB2312"/>
                <w:color w:val="auto"/>
                <w:kern w:val="0"/>
                <w:sz w:val="24"/>
                <w:szCs w:val="24"/>
                <w:lang w:val="en-US" w:eastAsia="zh-CN"/>
              </w:rPr>
            </w:pPr>
            <w:bookmarkStart w:id="0" w:name="_GoBack"/>
            <w:bookmarkEnd w:id="0"/>
            <w:r>
              <w:rPr>
                <w:rFonts w:hint="eastAsia" w:ascii="仿宋_GB2312" w:hAnsi="仿宋_GB2312" w:eastAsia="仿宋_GB2312" w:cs="仿宋_GB2312"/>
                <w:color w:val="auto"/>
                <w:kern w:val="0"/>
                <w:sz w:val="24"/>
                <w:szCs w:val="24"/>
                <w:lang w:val="en-US" w:eastAsia="zh-CN"/>
              </w:rPr>
              <w:t>永顺镇责成新建村、珠江地产公司对专业管护公司加强监督，每日安排专人进行清扫，保证卢庄地区环境卫生保持干净整洁。</w:t>
            </w:r>
          </w:p>
          <w:p>
            <w:pPr>
              <w:overflowPunct w:val="0"/>
              <w:topLinePunct/>
              <w:spacing w:beforeAutospacing="1" w:afterAutospacing="1"/>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针对未拆住户煤改电问题，永顺镇工作人员已到现场核实，该区域还剩5户滞留户，其中三户共用一块电表，两户多年欠缴电费未通电，此地区已不具备煤改电条件。下一步，永顺镇将组织城管、安监、环保、网格片区等各种力量，加强对卢庄区域的看护巡查，杜绝该地区出现燃煤现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66" w:hRule="atLeast"/>
          <w:jc w:val="center"/>
        </w:trPr>
        <w:tc>
          <w:tcPr>
            <w:tcW w:w="207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rPr>
              <w:t>整改时间</w:t>
            </w:r>
          </w:p>
        </w:tc>
        <w:tc>
          <w:tcPr>
            <w:tcW w:w="6424"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center"/>
              <w:rPr>
                <w:rFonts w:hint="eastAsia" w:ascii="仿宋_GB2312" w:hAnsi="仿宋_GB2312" w:eastAsia="仿宋_GB2312" w:cs="仿宋_GB2312"/>
                <w:color w:val="595959"/>
                <w:kern w:val="0"/>
                <w:sz w:val="24"/>
                <w:szCs w:val="24"/>
              </w:rPr>
            </w:pPr>
            <w:r>
              <w:rPr>
                <w:rFonts w:hint="eastAsia" w:ascii="仿宋_GB2312" w:hAnsi="仿宋_GB2312" w:eastAsia="仿宋_GB2312" w:cs="仿宋_GB2312"/>
                <w:color w:val="auto"/>
                <w:kern w:val="0"/>
                <w:sz w:val="24"/>
                <w:szCs w:val="24"/>
                <w:lang w:val="en-US" w:eastAsia="zh-CN"/>
              </w:rPr>
              <w:t>2020年9月至2022年9月</w:t>
            </w:r>
          </w:p>
        </w:tc>
      </w:tr>
    </w:tbl>
    <w:p>
      <w:pPr>
        <w:pStyle w:val="7"/>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jMjQ3MzVhOWZhMWViZmUzYmNlNzhjZWU0ZDk1NzMifQ=="/>
  </w:docVars>
  <w:rsids>
    <w:rsidRoot w:val="5C3D0BEF"/>
    <w:rsid w:val="00F2767E"/>
    <w:rsid w:val="12D80F38"/>
    <w:rsid w:val="17B44FF8"/>
    <w:rsid w:val="1BE20179"/>
    <w:rsid w:val="27511C09"/>
    <w:rsid w:val="36B4157D"/>
    <w:rsid w:val="36F248B9"/>
    <w:rsid w:val="37A67389"/>
    <w:rsid w:val="3D6F17AE"/>
    <w:rsid w:val="3E1A1890"/>
    <w:rsid w:val="40213C4A"/>
    <w:rsid w:val="477E66CE"/>
    <w:rsid w:val="5C3D0BEF"/>
    <w:rsid w:val="5D1A5D3E"/>
    <w:rsid w:val="5DEA08CA"/>
    <w:rsid w:val="62D431B0"/>
    <w:rsid w:val="764F7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qFormat="1" w:unhideWhenUsed="0"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9"/>
    <w:pPr>
      <w:keepNext/>
      <w:keepLines/>
      <w:spacing w:before="260" w:after="260" w:line="416" w:lineRule="auto"/>
      <w:outlineLvl w:val="1"/>
    </w:pPr>
    <w:rPr>
      <w:rFonts w:ascii="Cambria" w:hAnsi="Cambria" w:eastAsia="宋体" w:cs="Times New Roman"/>
      <w:b/>
      <w:bCs/>
      <w:szCs w:val="32"/>
    </w:rPr>
  </w:style>
  <w:style w:type="paragraph" w:styleId="5">
    <w:name w:val="heading 4"/>
    <w:basedOn w:val="4"/>
    <w:next w:val="1"/>
    <w:qFormat/>
    <w:uiPriority w:val="0"/>
    <w:pPr>
      <w:spacing w:before="240" w:after="60" w:line="360" w:lineRule="auto"/>
      <w:outlineLvl w:val="3"/>
    </w:pPr>
    <w:rPr>
      <w:rFonts w:ascii="Cambria" w:hAnsi="Cambria" w:eastAsia="仿宋_GB2312" w:cs="Times New Roman"/>
      <w:iCs/>
      <w:sz w:val="28"/>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spacing w:after="0"/>
      <w:ind w:firstLine="420" w:firstLineChars="100"/>
    </w:pPr>
  </w:style>
  <w:style w:type="paragraph" w:styleId="3">
    <w:name w:val="Body Text"/>
    <w:basedOn w:val="1"/>
    <w:qFormat/>
    <w:uiPriority w:val="99"/>
    <w:pPr>
      <w:spacing w:after="120"/>
    </w:pPr>
  </w:style>
  <w:style w:type="paragraph" w:styleId="6">
    <w:name w:val="toc 3"/>
    <w:basedOn w:val="1"/>
    <w:next w:val="1"/>
    <w:qFormat/>
    <w:uiPriority w:val="99"/>
    <w:pPr>
      <w:ind w:left="840" w:leftChars="400"/>
    </w:pPr>
  </w:style>
  <w:style w:type="paragraph" w:styleId="7">
    <w:name w:val="index 9"/>
    <w:basedOn w:val="1"/>
    <w:next w:val="1"/>
    <w:qFormat/>
    <w:uiPriority w:val="0"/>
    <w:pPr>
      <w:ind w:left="1600" w:leftChars="16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848</Words>
  <Characters>891</Characters>
  <Lines>0</Lines>
  <Paragraphs>0</Paragraphs>
  <TotalTime>5</TotalTime>
  <ScaleCrop>false</ScaleCrop>
  <LinksUpToDate>false</LinksUpToDate>
  <CharactersWithSpaces>891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2022-01-27T03:07:00Z</dcterms:created>
  <dc:creator>Administrator</dc:creator>
  <cp:lastModifiedBy>张乐同</cp:lastModifiedBy>
  <dcterms:modified xsi:type="dcterms:W3CDTF">2022-10-09T08:08:02Z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E81386A51B1643B298BEE37C48100DE4</vt:lpwstr>
  </property>
</Properties>
</file>