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127914"/>
    <w:rsid w:val="022A2E24"/>
    <w:rsid w:val="022E5173"/>
    <w:rsid w:val="025649A5"/>
    <w:rsid w:val="0292339B"/>
    <w:rsid w:val="02EE116F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9315C8F"/>
    <w:rsid w:val="0A341EAF"/>
    <w:rsid w:val="0A60637E"/>
    <w:rsid w:val="0A620AA0"/>
    <w:rsid w:val="0A7D57DC"/>
    <w:rsid w:val="0B9257DC"/>
    <w:rsid w:val="0C7071D1"/>
    <w:rsid w:val="0ED202B1"/>
    <w:rsid w:val="0EFD2620"/>
    <w:rsid w:val="0F4E1845"/>
    <w:rsid w:val="0F853FF2"/>
    <w:rsid w:val="10093DA5"/>
    <w:rsid w:val="101210C7"/>
    <w:rsid w:val="10BA3D2C"/>
    <w:rsid w:val="111E587A"/>
    <w:rsid w:val="116326B4"/>
    <w:rsid w:val="11904057"/>
    <w:rsid w:val="11F560A5"/>
    <w:rsid w:val="12F952F5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594902"/>
    <w:rsid w:val="1A6730C3"/>
    <w:rsid w:val="1B9E2D48"/>
    <w:rsid w:val="1D887195"/>
    <w:rsid w:val="1DC40A44"/>
    <w:rsid w:val="1EBD29E4"/>
    <w:rsid w:val="1F110DE9"/>
    <w:rsid w:val="1F9E650F"/>
    <w:rsid w:val="20291DCE"/>
    <w:rsid w:val="20320ECE"/>
    <w:rsid w:val="203C6D40"/>
    <w:rsid w:val="207866A7"/>
    <w:rsid w:val="20F01C8B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A33045"/>
    <w:rsid w:val="2DD27272"/>
    <w:rsid w:val="2DDC5888"/>
    <w:rsid w:val="2EE50BEB"/>
    <w:rsid w:val="2EFF1945"/>
    <w:rsid w:val="31A16699"/>
    <w:rsid w:val="31AB417C"/>
    <w:rsid w:val="32CB3626"/>
    <w:rsid w:val="330D68FA"/>
    <w:rsid w:val="34271086"/>
    <w:rsid w:val="348D3665"/>
    <w:rsid w:val="356C62E3"/>
    <w:rsid w:val="36A119FB"/>
    <w:rsid w:val="37196326"/>
    <w:rsid w:val="379C259E"/>
    <w:rsid w:val="37A87DA9"/>
    <w:rsid w:val="39853F9F"/>
    <w:rsid w:val="3AA83779"/>
    <w:rsid w:val="3B0954D1"/>
    <w:rsid w:val="3B5A188F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47D1FF7"/>
    <w:rsid w:val="459E2E2D"/>
    <w:rsid w:val="45AC16F1"/>
    <w:rsid w:val="46624EAD"/>
    <w:rsid w:val="46F52C78"/>
    <w:rsid w:val="47CC5D51"/>
    <w:rsid w:val="48344318"/>
    <w:rsid w:val="48C8384B"/>
    <w:rsid w:val="49D310E0"/>
    <w:rsid w:val="49F277BC"/>
    <w:rsid w:val="4B222F02"/>
    <w:rsid w:val="4BFC353A"/>
    <w:rsid w:val="4C486DAE"/>
    <w:rsid w:val="4CD71DA0"/>
    <w:rsid w:val="4CFB26C0"/>
    <w:rsid w:val="4D673B78"/>
    <w:rsid w:val="4D73608C"/>
    <w:rsid w:val="4DE414C1"/>
    <w:rsid w:val="4E40110C"/>
    <w:rsid w:val="4E583347"/>
    <w:rsid w:val="4EF7020E"/>
    <w:rsid w:val="4F3B7EBF"/>
    <w:rsid w:val="4F8B4779"/>
    <w:rsid w:val="50492604"/>
    <w:rsid w:val="51355E94"/>
    <w:rsid w:val="516867E6"/>
    <w:rsid w:val="51A056CA"/>
    <w:rsid w:val="51E42798"/>
    <w:rsid w:val="550D21E9"/>
    <w:rsid w:val="553E5415"/>
    <w:rsid w:val="5557338A"/>
    <w:rsid w:val="567231CD"/>
    <w:rsid w:val="56760D9B"/>
    <w:rsid w:val="578D0486"/>
    <w:rsid w:val="57A0051F"/>
    <w:rsid w:val="583F4939"/>
    <w:rsid w:val="58FA1B6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9E912AF"/>
    <w:rsid w:val="6A2E3D63"/>
    <w:rsid w:val="6A967A77"/>
    <w:rsid w:val="6CBC6878"/>
    <w:rsid w:val="6CD40DBF"/>
    <w:rsid w:val="6E143DC8"/>
    <w:rsid w:val="6E804461"/>
    <w:rsid w:val="71775AB0"/>
    <w:rsid w:val="72195ED6"/>
    <w:rsid w:val="72A41658"/>
    <w:rsid w:val="72FC49FE"/>
    <w:rsid w:val="734B0AAB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02252F"/>
    <w:rsid w:val="7AD258DE"/>
    <w:rsid w:val="7C9F25F3"/>
    <w:rsid w:val="7D081745"/>
    <w:rsid w:val="7D945CD3"/>
    <w:rsid w:val="7E3E411D"/>
    <w:rsid w:val="7E474901"/>
    <w:rsid w:val="7EE95410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0.01110836830412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747844325332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38512035010941"/>
                  <c:y val="0.007457469121416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820568927789934"/>
                  <c:y val="-0.03146119785597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235.8</c:v>
                </c:pt>
                <c:pt idx="1" c:formatCode="General">
                  <c:v>373.6</c:v>
                </c:pt>
                <c:pt idx="2" c:formatCode="General">
                  <c:v>504.4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50000"/>
                </a:schemeClr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50800" dir="17220000" algn="ctr" rotWithShape="0">
                <a:srgbClr val="000000">
                  <a:alpha val="43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117.7</c:v>
                </c:pt>
                <c:pt idx="1">
                  <c:v>107.3</c:v>
                </c:pt>
                <c:pt idx="2">
                  <c:v>103.7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121084920891185"/>
                  <c:y val="0.04761904761904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36</c:v>
                </c:pt>
                <c:pt idx="1" c:formatCode="General">
                  <c:v>13.5</c:v>
                </c:pt>
                <c:pt idx="2" c:formatCode="General">
                  <c:v>21.6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905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22252010723861"/>
          <c:y val="0.155313956068338"/>
          <c:w val="0.878848596020883"/>
          <c:h val="0.63678721988018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.0296317200507972"/>
                  <c:y val="0.073219436432216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27.5</c:v>
                </c:pt>
                <c:pt idx="1">
                  <c:v>-9.7</c:v>
                </c:pt>
                <c:pt idx="2">
                  <c:v>-1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79.9</c:v>
                </c:pt>
                <c:pt idx="1">
                  <c:v>124.2</c:v>
                </c:pt>
                <c:pt idx="2">
                  <c:v>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125284738041"/>
                  <c:y val="-0.04025944978751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98974943052392"/>
                  <c:y val="-0.023484679042719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6.9</c:v>
                </c:pt>
                <c:pt idx="1">
                  <c:v>8.1</c:v>
                </c:pt>
                <c:pt idx="2">
                  <c:v>6.9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Sheet1!$D$18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ser>
          <c:idx val="1"/>
          <c:order val="1"/>
          <c:tx>
            <c:strRef>
              <c:f>Sheet1!$D$19</c:f>
              <c:strCache>
                <c:ptCount val="1"/>
                <c:pt idx="0">
                  <c:v>2025年（元）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16669.9921588575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delete val="1"/>
            </c:dLbl>
            <c:dLbl>
              <c:idx val="2"/>
              <c:layout>
                <c:manualLayout>
                  <c:x val="0.025700934579439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57009345794393"/>
                  <c:y val="-0.007093875620714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2025年（亿元）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202647932991084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60794379897325"/>
                  <c:y val="0.0257250945775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79019068535416"/>
                  <c:y val="0.009620997808154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11.7</c:v>
                </c:pt>
                <c:pt idx="1" c:formatCode="0.0_ ">
                  <c:v>20.5</c:v>
                </c:pt>
                <c:pt idx="2" c:formatCode="0.0_ ">
                  <c:v>35.3</c:v>
                </c:pt>
                <c:pt idx="3">
                  <c:v>47.2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2025年增速（%）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0.5</c:v>
                </c:pt>
                <c:pt idx="1">
                  <c:v>0.6</c:v>
                </c:pt>
                <c:pt idx="2" c:formatCode="0.0_ ">
                  <c:v>3</c:v>
                </c:pt>
                <c:pt idx="3">
                  <c:v>4.6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163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2025-05-21T08:45:09Z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